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1D8B" w:rsidRPr="00DB4A95" w:rsidRDefault="00411D8B" w:rsidP="00DB2ECF">
      <w:pPr>
        <w:spacing w:line="240" w:lineRule="atLeast"/>
        <w:jc w:val="both"/>
        <w:rPr>
          <w:rFonts w:asciiTheme="majorBidi" w:hAnsiTheme="majorBidi" w:cstheme="majorBidi"/>
          <w:i/>
          <w:iCs/>
          <w:sz w:val="28"/>
          <w:szCs w:val="28"/>
        </w:rPr>
      </w:pPr>
      <w:r w:rsidRPr="0023176B">
        <w:rPr>
          <w:rFonts w:asciiTheme="majorBidi" w:hAnsiTheme="majorBidi" w:cstheme="majorBidi"/>
          <w:b/>
          <w:bCs/>
          <w:sz w:val="32"/>
          <w:szCs w:val="32"/>
        </w:rPr>
        <w:t>Introduction et problématique </w:t>
      </w:r>
    </w:p>
    <w:p w:rsidR="00411D8B" w:rsidRPr="008F6999" w:rsidRDefault="00411D8B" w:rsidP="00411D8B">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L’Algérie et grâce à la diversité des ressources  naturelle possède des capacités de production diverse, soit des productions d’origines animales ou végétales (Youbi, 2008). </w:t>
      </w:r>
    </w:p>
    <w:p w:rsidR="00411D8B" w:rsidRPr="008F6999" w:rsidRDefault="00411D8B" w:rsidP="00411D8B">
      <w:pPr>
        <w:autoSpaceDE w:val="0"/>
        <w:autoSpaceDN w:val="0"/>
        <w:adjustRightInd w:val="0"/>
        <w:spacing w:line="312" w:lineRule="auto"/>
        <w:ind w:firstLine="284"/>
        <w:jc w:val="both"/>
        <w:rPr>
          <w:rFonts w:asciiTheme="majorBidi" w:eastAsia="TimesNewRoman0" w:hAnsiTheme="majorBidi" w:cstheme="majorBidi"/>
          <w:sz w:val="28"/>
          <w:szCs w:val="28"/>
        </w:rPr>
      </w:pPr>
      <w:r w:rsidRPr="008F6999">
        <w:rPr>
          <w:rFonts w:asciiTheme="majorBidi" w:hAnsiTheme="majorBidi" w:cstheme="majorBidi"/>
          <w:sz w:val="28"/>
          <w:szCs w:val="28"/>
        </w:rPr>
        <w:t>La filière avicole prend une place importante en Algérie, et les autorités encouragent cette activité par le financement et la recherche scientifique  dans ce domaine,  aussi par la mise en œuvre des politiques avicoles</w:t>
      </w:r>
      <w:r w:rsidR="005C32D3">
        <w:rPr>
          <w:rFonts w:asciiTheme="majorBidi" w:hAnsiTheme="majorBidi" w:cstheme="majorBidi"/>
          <w:sz w:val="28"/>
          <w:szCs w:val="28"/>
        </w:rPr>
        <w:t xml:space="preserve"> </w:t>
      </w:r>
      <w:r w:rsidRPr="008F6999">
        <w:rPr>
          <w:rFonts w:asciiTheme="majorBidi" w:hAnsiTheme="majorBidi" w:cstheme="majorBidi"/>
          <w:sz w:val="28"/>
          <w:szCs w:val="28"/>
        </w:rPr>
        <w:t xml:space="preserve">qui a été confiée dès 1970 à l’ONAB </w:t>
      </w:r>
      <w:r w:rsidRPr="008F6999">
        <w:rPr>
          <w:rFonts w:asciiTheme="majorBidi" w:eastAsia="TimesNewRoman0" w:hAnsiTheme="majorBidi" w:cstheme="majorBidi"/>
          <w:sz w:val="28"/>
          <w:szCs w:val="28"/>
        </w:rPr>
        <w:t>et depuis1980 aux trois offices régionaux d’aviculture du centre, de l’ouest et de l’est (ORAC, ORAVIO, ORAVIE)issus de la restructuration de l’ONAB</w:t>
      </w:r>
      <w:r w:rsidRPr="008F6999">
        <w:rPr>
          <w:rFonts w:asciiTheme="majorBidi" w:hAnsiTheme="majorBidi" w:cstheme="majorBidi"/>
          <w:sz w:val="28"/>
          <w:szCs w:val="28"/>
        </w:rPr>
        <w:t>(Youbi, 2008).</w:t>
      </w:r>
    </w:p>
    <w:p w:rsidR="00411D8B" w:rsidRPr="008F6999" w:rsidRDefault="00411D8B" w:rsidP="00411D8B">
      <w:pPr>
        <w:spacing w:line="312" w:lineRule="auto"/>
        <w:ind w:firstLine="284"/>
        <w:jc w:val="both"/>
        <w:rPr>
          <w:rFonts w:asciiTheme="majorBidi" w:hAnsiTheme="majorBidi" w:cstheme="majorBidi"/>
          <w:sz w:val="28"/>
          <w:szCs w:val="28"/>
        </w:rPr>
      </w:pPr>
      <w:r w:rsidRPr="008F6999">
        <w:rPr>
          <w:rFonts w:asciiTheme="majorBidi" w:eastAsia="Times New Roman" w:hAnsiTheme="majorBidi" w:cstheme="majorBidi"/>
          <w:sz w:val="28"/>
          <w:szCs w:val="28"/>
        </w:rPr>
        <w:t>Ces structures avicoles disposent de centres de reproducteurs et des couvoirs destinés à l’élaboration des facteurs deproduction avicole (œufs à couver et poussins d’un jour chair et ponte) ; ainsi qu’elles possèdent des unités d’engraissement de poulet de chair et des unités de production d’œufs de consommation. La disponibilité des matières premières avicoles sur le marché (Aliment, poussin, œufs à couver, produits vétérinaires…), l’exonération fiscale et les subventions étatiques de ces facteurs de production ont favorisé la multiplication des ateliers d’élevage avicole et ont augmenté la disponibilité jusqu’à 11.5 kg/hab./an en 1989. Avec l’enlèvement des subventions et l’établissement de la vérité des prix et  de la fiscalité, les disponibilités en 2012, selon les statistiques données par Kaci (2014),  ont passé à 8.87 kg/hab./an et 142 œufs/hab./an.</w:t>
      </w:r>
      <w:r>
        <w:rPr>
          <w:rFonts w:asciiTheme="majorBidi" w:eastAsia="Times New Roman" w:hAnsiTheme="majorBidi" w:cstheme="majorBidi"/>
          <w:sz w:val="28"/>
          <w:szCs w:val="28"/>
        </w:rPr>
        <w:t xml:space="preserve"> </w:t>
      </w:r>
      <w:r w:rsidRPr="008F6999">
        <w:rPr>
          <w:rFonts w:asciiTheme="majorBidi" w:eastAsia="Times New Roman" w:hAnsiTheme="majorBidi" w:cstheme="majorBidi"/>
          <w:sz w:val="28"/>
          <w:szCs w:val="28"/>
        </w:rPr>
        <w:t xml:space="preserve">Ces dernières sont offertes par une </w:t>
      </w:r>
      <w:r w:rsidRPr="008F6999">
        <w:rPr>
          <w:rFonts w:asciiTheme="majorBidi" w:hAnsiTheme="majorBidi" w:cstheme="majorBidi"/>
          <w:sz w:val="28"/>
          <w:szCs w:val="28"/>
        </w:rPr>
        <w:t>production avicole nationale de l’ordre de</w:t>
      </w:r>
      <w:r w:rsidRPr="008F6999">
        <w:rPr>
          <w:rFonts w:asciiTheme="majorBidi" w:eastAsia="Times New Roman" w:hAnsiTheme="majorBidi" w:cstheme="majorBidi"/>
          <w:sz w:val="28"/>
          <w:szCs w:val="28"/>
        </w:rPr>
        <w:t xml:space="preserve">2527890 quintaux de viandes blanches et 308550 tonnes d’œufs de consommation (FAOSTAT, 2015). </w:t>
      </w:r>
    </w:p>
    <w:p w:rsidR="00411D8B" w:rsidRPr="008F6999" w:rsidRDefault="00411D8B" w:rsidP="00411D8B">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Dans la région de notre étude, M’sila, l’aviculture a pris de l’ampleur de plus en plus depuis le début des années 2000. Selon les statistiques de la direction des services agricoles de 2015, la production avicole s’élève à 117460 qx de viandes blanches et 95756000 unités d’œufs de consommation en 2014 soit 4.65% du total de la production national. Cette production est offerte par 752 exploitations avicoles dont 85.10% sont spécialisées dans l’élevage de poulet de chair et 13.70% dans l’élevage de poules pondeuses.  </w:t>
      </w:r>
    </w:p>
    <w:p w:rsidR="00411D8B" w:rsidRPr="008F6999" w:rsidRDefault="00411D8B" w:rsidP="00411D8B">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lastRenderedPageBreak/>
        <w:t>En effet, les questions posées pour la réalisation de ce travail sont les suivantes :</w:t>
      </w:r>
    </w:p>
    <w:p w:rsidR="00411D8B" w:rsidRPr="008F6999" w:rsidRDefault="00411D8B" w:rsidP="00411D8B">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Est-ce-que la question de la durabilité économique est posée au niveau des exploitations avicoles de M’sila ?</w:t>
      </w:r>
    </w:p>
    <w:p w:rsidR="00411D8B" w:rsidRPr="008F6999" w:rsidRDefault="00411D8B" w:rsidP="00411D8B">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Quelles sont les mesures à mettre en œuvre pour  faire évoluer ces exploitations avicoles vers une meilleure durabilité ?</w:t>
      </w:r>
    </w:p>
    <w:p w:rsidR="00411D8B" w:rsidRPr="008F6999" w:rsidRDefault="00411D8B" w:rsidP="00411D8B">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méthode d’évaluation choisie est-elle adaptée  à ce contexte ?</w:t>
      </w:r>
    </w:p>
    <w:p w:rsidR="00411D8B" w:rsidRPr="008F6999" w:rsidRDefault="00411D8B" w:rsidP="00411D8B">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Pour répondre à ces questions, il est nécessaire de disposer d’un outil d’évaluation de la durabilité économique des exploitations d’élevage avicoles. L’outil choisi est la méthode de DIAMOND : Diagnostic de durabilité des ateliers d’élevage des Animaux Monogastrique déclinable par espèce décrite par Fortun-Lamothe  et al  en 2011.</w:t>
      </w:r>
    </w:p>
    <w:p w:rsidR="00411D8B" w:rsidRPr="008F6999" w:rsidRDefault="00411D8B" w:rsidP="00411D8B">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L’objectif souligné dans ce travail est de faire un diagnostic sur la situation de l’élevage avicole dans la wilaya de M’sila et d’évaluer le niveau de la durabilité économique des exploitations enquêtées dans la région d’étude.   </w:t>
      </w:r>
    </w:p>
    <w:p w:rsidR="00411D8B" w:rsidRPr="008F6999" w:rsidRDefault="00411D8B" w:rsidP="00411D8B">
      <w:pPr>
        <w:spacing w:line="312" w:lineRule="auto"/>
        <w:ind w:firstLine="284"/>
        <w:rPr>
          <w:rFonts w:asciiTheme="majorBidi" w:hAnsiTheme="majorBidi" w:cstheme="majorBidi"/>
          <w:b/>
          <w:bCs/>
          <w:sz w:val="28"/>
          <w:szCs w:val="28"/>
        </w:rPr>
      </w:pPr>
    </w:p>
    <w:p w:rsidR="00411D8B" w:rsidRPr="008F6999" w:rsidRDefault="00411D8B" w:rsidP="00411D8B">
      <w:pPr>
        <w:spacing w:line="312" w:lineRule="auto"/>
        <w:ind w:firstLine="284"/>
        <w:rPr>
          <w:rFonts w:asciiTheme="majorBidi" w:hAnsiTheme="majorBidi" w:cstheme="majorBidi"/>
          <w:b/>
          <w:bCs/>
          <w:sz w:val="28"/>
          <w:szCs w:val="28"/>
        </w:rPr>
      </w:pPr>
    </w:p>
    <w:p w:rsidR="00411D8B" w:rsidRDefault="00411D8B" w:rsidP="00411D8B">
      <w:pPr>
        <w:autoSpaceDE w:val="0"/>
        <w:autoSpaceDN w:val="0"/>
        <w:adjustRightInd w:val="0"/>
        <w:spacing w:line="240" w:lineRule="auto"/>
        <w:ind w:firstLine="284"/>
        <w:jc w:val="center"/>
        <w:rPr>
          <w:rFonts w:asciiTheme="majorBidi" w:hAnsiTheme="majorBidi" w:cstheme="majorBidi"/>
          <w:b/>
          <w:bCs/>
          <w:sz w:val="32"/>
          <w:szCs w:val="32"/>
        </w:rPr>
      </w:pPr>
    </w:p>
    <w:p w:rsidR="00411D8B" w:rsidRDefault="00411D8B" w:rsidP="00411D8B">
      <w:pPr>
        <w:autoSpaceDE w:val="0"/>
        <w:autoSpaceDN w:val="0"/>
        <w:adjustRightInd w:val="0"/>
        <w:spacing w:line="240" w:lineRule="auto"/>
        <w:ind w:firstLine="284"/>
        <w:jc w:val="center"/>
        <w:rPr>
          <w:rFonts w:asciiTheme="majorBidi" w:hAnsiTheme="majorBidi" w:cstheme="majorBidi"/>
          <w:b/>
          <w:bCs/>
          <w:sz w:val="32"/>
          <w:szCs w:val="32"/>
        </w:rPr>
      </w:pPr>
    </w:p>
    <w:p w:rsidR="00411D8B" w:rsidRDefault="00411D8B" w:rsidP="00411D8B">
      <w:pPr>
        <w:autoSpaceDE w:val="0"/>
        <w:autoSpaceDN w:val="0"/>
        <w:adjustRightInd w:val="0"/>
        <w:spacing w:line="240" w:lineRule="auto"/>
        <w:ind w:firstLine="284"/>
        <w:jc w:val="center"/>
        <w:rPr>
          <w:rFonts w:asciiTheme="majorBidi" w:hAnsiTheme="majorBidi" w:cstheme="majorBidi"/>
          <w:b/>
          <w:bCs/>
          <w:sz w:val="32"/>
          <w:szCs w:val="32"/>
        </w:rPr>
      </w:pPr>
    </w:p>
    <w:p w:rsidR="00411D8B" w:rsidRDefault="00411D8B" w:rsidP="00411D8B">
      <w:pPr>
        <w:autoSpaceDE w:val="0"/>
        <w:autoSpaceDN w:val="0"/>
        <w:adjustRightInd w:val="0"/>
        <w:spacing w:line="240" w:lineRule="auto"/>
        <w:ind w:firstLine="284"/>
        <w:jc w:val="center"/>
        <w:rPr>
          <w:rFonts w:asciiTheme="majorBidi" w:hAnsiTheme="majorBidi" w:cstheme="majorBidi"/>
          <w:b/>
          <w:bCs/>
          <w:sz w:val="32"/>
          <w:szCs w:val="32"/>
        </w:rPr>
      </w:pPr>
    </w:p>
    <w:p w:rsidR="00411D8B" w:rsidRDefault="00411D8B" w:rsidP="00411D8B">
      <w:pPr>
        <w:autoSpaceDE w:val="0"/>
        <w:autoSpaceDN w:val="0"/>
        <w:adjustRightInd w:val="0"/>
        <w:spacing w:line="240" w:lineRule="auto"/>
        <w:ind w:firstLine="284"/>
        <w:jc w:val="center"/>
        <w:rPr>
          <w:rFonts w:asciiTheme="majorBidi" w:hAnsiTheme="majorBidi" w:cstheme="majorBidi"/>
          <w:b/>
          <w:bCs/>
          <w:sz w:val="32"/>
          <w:szCs w:val="32"/>
        </w:rPr>
      </w:pPr>
    </w:p>
    <w:p w:rsidR="00411D8B" w:rsidRDefault="00411D8B" w:rsidP="00411D8B">
      <w:pPr>
        <w:autoSpaceDE w:val="0"/>
        <w:autoSpaceDN w:val="0"/>
        <w:adjustRightInd w:val="0"/>
        <w:spacing w:line="240" w:lineRule="auto"/>
        <w:ind w:firstLine="284"/>
        <w:jc w:val="center"/>
        <w:rPr>
          <w:rFonts w:asciiTheme="majorBidi" w:hAnsiTheme="majorBidi" w:cstheme="majorBidi"/>
          <w:b/>
          <w:bCs/>
          <w:sz w:val="32"/>
          <w:szCs w:val="32"/>
        </w:rPr>
      </w:pPr>
    </w:p>
    <w:p w:rsidR="00411D8B" w:rsidRDefault="00411D8B" w:rsidP="00411D8B">
      <w:pPr>
        <w:autoSpaceDE w:val="0"/>
        <w:autoSpaceDN w:val="0"/>
        <w:adjustRightInd w:val="0"/>
        <w:spacing w:line="240" w:lineRule="auto"/>
        <w:rPr>
          <w:rFonts w:asciiTheme="majorBidi" w:hAnsiTheme="majorBidi" w:cstheme="majorBidi"/>
          <w:b/>
          <w:bCs/>
          <w:sz w:val="32"/>
          <w:szCs w:val="32"/>
        </w:rPr>
      </w:pPr>
    </w:p>
    <w:p w:rsidR="004910DF" w:rsidRDefault="004910DF" w:rsidP="00411D8B"/>
    <w:sectPr w:rsidR="004910DF" w:rsidSect="00411D8B">
      <w:footerReference w:type="default" r:id="rId6"/>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627B" w:rsidRDefault="0018627B" w:rsidP="00DB2ECF">
      <w:pPr>
        <w:spacing w:after="0" w:line="240" w:lineRule="auto"/>
      </w:pPr>
      <w:r>
        <w:separator/>
      </w:r>
    </w:p>
  </w:endnote>
  <w:endnote w:type="continuationSeparator" w:id="1">
    <w:p w:rsidR="0018627B" w:rsidRDefault="0018627B" w:rsidP="00DB2E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NewRoman0">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8448"/>
      <w:docPartObj>
        <w:docPartGallery w:val="Page Numbers (Bottom of Page)"/>
        <w:docPartUnique/>
      </w:docPartObj>
    </w:sdtPr>
    <w:sdtContent>
      <w:p w:rsidR="00DB2ECF" w:rsidRDefault="00B8287A">
        <w:pPr>
          <w:pStyle w:val="Pieddepage"/>
          <w:jc w:val="center"/>
        </w:pPr>
        <w:fldSimple w:instr=" PAGE   \* MERGEFORMAT ">
          <w:r w:rsidR="005C32D3">
            <w:rPr>
              <w:noProof/>
            </w:rPr>
            <w:t>1</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627B" w:rsidRDefault="0018627B" w:rsidP="00DB2ECF">
      <w:pPr>
        <w:spacing w:after="0" w:line="240" w:lineRule="auto"/>
      </w:pPr>
      <w:r>
        <w:separator/>
      </w:r>
    </w:p>
  </w:footnote>
  <w:footnote w:type="continuationSeparator" w:id="1">
    <w:p w:rsidR="0018627B" w:rsidRDefault="0018627B" w:rsidP="00DB2EC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08"/>
  <w:hyphenationZone w:val="425"/>
  <w:characterSpacingControl w:val="doNotCompress"/>
  <w:footnotePr>
    <w:footnote w:id="0"/>
    <w:footnote w:id="1"/>
  </w:footnotePr>
  <w:endnotePr>
    <w:endnote w:id="0"/>
    <w:endnote w:id="1"/>
  </w:endnotePr>
  <w:compat/>
  <w:rsids>
    <w:rsidRoot w:val="00411D8B"/>
    <w:rsid w:val="0018627B"/>
    <w:rsid w:val="00391685"/>
    <w:rsid w:val="00411D8B"/>
    <w:rsid w:val="004910DF"/>
    <w:rsid w:val="005C32D3"/>
    <w:rsid w:val="009F5600"/>
    <w:rsid w:val="00B8287A"/>
    <w:rsid w:val="00DB2EC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1D8B"/>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B2ECF"/>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DB2ECF"/>
    <w:rPr>
      <w:rFonts w:eastAsiaTheme="minorEastAsia"/>
      <w:lang w:eastAsia="fr-FR"/>
    </w:rPr>
  </w:style>
  <w:style w:type="paragraph" w:styleId="Pieddepage">
    <w:name w:val="footer"/>
    <w:basedOn w:val="Normal"/>
    <w:link w:val="PieddepageCar"/>
    <w:uiPriority w:val="99"/>
    <w:unhideWhenUsed/>
    <w:rsid w:val="00DB2EC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B2ECF"/>
    <w:rPr>
      <w:rFonts w:eastAsiaTheme="minorEastAsia"/>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484</Words>
  <Characters>2665</Characters>
  <Application>Microsoft Office Word</Application>
  <DocSecurity>0</DocSecurity>
  <Lines>22</Lines>
  <Paragraphs>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3143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 STAR</dc:creator>
  <cp:lastModifiedBy>PCS</cp:lastModifiedBy>
  <cp:revision>4</cp:revision>
  <cp:lastPrinted>2015-06-22T08:03:00Z</cp:lastPrinted>
  <dcterms:created xsi:type="dcterms:W3CDTF">2015-06-22T07:56:00Z</dcterms:created>
  <dcterms:modified xsi:type="dcterms:W3CDTF">2015-09-20T09:19:00Z</dcterms:modified>
</cp:coreProperties>
</file>