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934" w:rsidRPr="006D49DD" w:rsidRDefault="006D49DD" w:rsidP="006D49DD">
      <w:pPr>
        <w:spacing w:line="360" w:lineRule="auto"/>
        <w:jc w:val="center"/>
        <w:rPr>
          <w:rFonts w:asciiTheme="majorBidi" w:hAnsiTheme="majorBidi" w:cstheme="majorBidi"/>
          <w:b/>
          <w:bCs/>
          <w:sz w:val="24"/>
          <w:szCs w:val="24"/>
        </w:rPr>
      </w:pPr>
      <w:bookmarkStart w:id="0" w:name="_GoBack"/>
      <w:bookmarkEnd w:id="0"/>
      <w:r w:rsidRPr="006D49DD">
        <w:rPr>
          <w:rFonts w:asciiTheme="majorBidi" w:hAnsiTheme="majorBidi" w:cstheme="majorBidi"/>
          <w:b/>
          <w:bCs/>
          <w:sz w:val="24"/>
          <w:szCs w:val="24"/>
        </w:rPr>
        <w:t>Chapitre II : Matériel et méthode</w:t>
      </w:r>
      <w:r w:rsidR="0047088C">
        <w:rPr>
          <w:rFonts w:asciiTheme="majorBidi" w:hAnsiTheme="majorBidi" w:cstheme="majorBidi"/>
          <w:b/>
          <w:bCs/>
          <w:sz w:val="24"/>
          <w:szCs w:val="24"/>
        </w:rPr>
        <w:t>s</w:t>
      </w:r>
    </w:p>
    <w:p w:rsidR="006D49DD" w:rsidRPr="006D49DD" w:rsidRDefault="006D49DD" w:rsidP="006D49DD">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D49DD">
        <w:rPr>
          <w:rFonts w:asciiTheme="majorBidi" w:hAnsiTheme="majorBidi" w:cstheme="majorBidi"/>
          <w:sz w:val="24"/>
          <w:szCs w:val="24"/>
        </w:rPr>
        <w:t>Ce chapitre comprend le choix et la description de la station d’é</w:t>
      </w:r>
      <w:r>
        <w:rPr>
          <w:rFonts w:asciiTheme="majorBidi" w:hAnsiTheme="majorBidi" w:cstheme="majorBidi"/>
          <w:sz w:val="24"/>
          <w:szCs w:val="24"/>
        </w:rPr>
        <w:t>tude</w:t>
      </w:r>
      <w:r w:rsidRPr="006D49DD">
        <w:rPr>
          <w:rFonts w:asciiTheme="majorBidi" w:hAnsiTheme="majorBidi" w:cstheme="majorBidi"/>
          <w:sz w:val="24"/>
          <w:szCs w:val="24"/>
        </w:rPr>
        <w:t>, les techniques utilisées sur terrain et au laboratoire et les</w:t>
      </w:r>
      <w:r>
        <w:rPr>
          <w:rFonts w:asciiTheme="majorBidi" w:hAnsiTheme="majorBidi" w:cstheme="majorBidi"/>
          <w:sz w:val="24"/>
          <w:szCs w:val="24"/>
        </w:rPr>
        <w:t xml:space="preserve"> </w:t>
      </w:r>
      <w:r w:rsidRPr="006D49DD">
        <w:rPr>
          <w:rFonts w:asciiTheme="majorBidi" w:hAnsiTheme="majorBidi" w:cstheme="majorBidi"/>
          <w:sz w:val="24"/>
          <w:szCs w:val="24"/>
        </w:rPr>
        <w:t>méthodes d’exploitation des résultats adoptée.</w:t>
      </w:r>
    </w:p>
    <w:p w:rsidR="006D49DD" w:rsidRPr="006D49DD" w:rsidRDefault="006D49DD" w:rsidP="006D49DD">
      <w:pPr>
        <w:autoSpaceDE w:val="0"/>
        <w:autoSpaceDN w:val="0"/>
        <w:adjustRightInd w:val="0"/>
        <w:spacing w:after="0" w:line="360" w:lineRule="auto"/>
        <w:jc w:val="both"/>
        <w:rPr>
          <w:rFonts w:asciiTheme="majorBidi" w:hAnsiTheme="majorBidi" w:cstheme="majorBidi"/>
          <w:b/>
          <w:bCs/>
          <w:sz w:val="24"/>
          <w:szCs w:val="24"/>
        </w:rPr>
      </w:pPr>
      <w:r w:rsidRPr="006D49DD">
        <w:rPr>
          <w:rFonts w:asciiTheme="majorBidi" w:hAnsiTheme="majorBidi" w:cstheme="majorBidi"/>
          <w:b/>
          <w:bCs/>
          <w:sz w:val="24"/>
          <w:szCs w:val="24"/>
        </w:rPr>
        <w:t>II.1.  Choix de la station d’é</w:t>
      </w:r>
      <w:r>
        <w:rPr>
          <w:rFonts w:asciiTheme="majorBidi" w:hAnsiTheme="majorBidi" w:cstheme="majorBidi"/>
          <w:b/>
          <w:bCs/>
          <w:sz w:val="24"/>
          <w:szCs w:val="24"/>
        </w:rPr>
        <w:t>tude (Nouara</w:t>
      </w:r>
      <w:r w:rsidRPr="006D49DD">
        <w:rPr>
          <w:rFonts w:asciiTheme="majorBidi" w:hAnsiTheme="majorBidi" w:cstheme="majorBidi"/>
          <w:b/>
          <w:bCs/>
          <w:sz w:val="24"/>
          <w:szCs w:val="24"/>
        </w:rPr>
        <w:t>)</w:t>
      </w:r>
    </w:p>
    <w:p w:rsidR="006D49DD" w:rsidRDefault="006D49DD" w:rsidP="001633C7">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D49DD">
        <w:rPr>
          <w:rFonts w:asciiTheme="majorBidi" w:hAnsiTheme="majorBidi" w:cstheme="majorBidi"/>
          <w:sz w:val="24"/>
          <w:szCs w:val="24"/>
        </w:rPr>
        <w:t>Le présent travail, qui consiste à effectuer un invent</w:t>
      </w:r>
      <w:r>
        <w:rPr>
          <w:rFonts w:asciiTheme="majorBidi" w:hAnsiTheme="majorBidi" w:cstheme="majorBidi"/>
          <w:sz w:val="24"/>
          <w:szCs w:val="24"/>
        </w:rPr>
        <w:t>aire arthropodologique dans un verger d’abricotier</w:t>
      </w:r>
      <w:r w:rsidRPr="006D49DD">
        <w:rPr>
          <w:rFonts w:asciiTheme="majorBidi" w:hAnsiTheme="majorBidi" w:cstheme="majorBidi"/>
          <w:sz w:val="24"/>
          <w:szCs w:val="24"/>
        </w:rPr>
        <w:t>, à fait l’objet d’une station à</w:t>
      </w:r>
      <w:r w:rsidR="001633C7">
        <w:rPr>
          <w:rFonts w:asciiTheme="majorBidi" w:hAnsiTheme="majorBidi" w:cstheme="majorBidi"/>
          <w:sz w:val="24"/>
          <w:szCs w:val="24"/>
        </w:rPr>
        <w:t xml:space="preserve"> Nouara (</w:t>
      </w:r>
      <w:r w:rsidR="001633C7" w:rsidRPr="00E56929">
        <w:rPr>
          <w:rFonts w:asciiTheme="majorBidi" w:hAnsiTheme="majorBidi" w:cstheme="majorBidi"/>
          <w:sz w:val="24"/>
          <w:szCs w:val="24"/>
        </w:rPr>
        <w:t xml:space="preserve">35   </w:t>
      </w:r>
      <w:r w:rsidR="001633C7" w:rsidRPr="00E56929">
        <w:rPr>
          <w:rFonts w:asciiTheme="majorBidi" w:hAnsiTheme="majorBidi" w:cstheme="majorBidi"/>
          <w:b/>
          <w:bCs/>
          <w:sz w:val="24"/>
          <w:szCs w:val="24"/>
        </w:rPr>
        <w:t>°</w:t>
      </w:r>
      <w:r w:rsidR="001633C7">
        <w:rPr>
          <w:rFonts w:asciiTheme="majorBidi" w:hAnsiTheme="majorBidi" w:cstheme="majorBidi"/>
          <w:sz w:val="24"/>
          <w:szCs w:val="24"/>
        </w:rPr>
        <w:t xml:space="preserve">   43°  </w:t>
      </w:r>
      <w:r w:rsidR="001633C7" w:rsidRPr="00E56929">
        <w:rPr>
          <w:rFonts w:asciiTheme="majorBidi" w:hAnsiTheme="majorBidi" w:cstheme="majorBidi"/>
          <w:sz w:val="24"/>
          <w:szCs w:val="24"/>
        </w:rPr>
        <w:t xml:space="preserve">  21</w:t>
      </w:r>
      <w:r w:rsidR="001633C7">
        <w:rPr>
          <w:rFonts w:asciiTheme="majorBidi" w:hAnsiTheme="majorBidi" w:cstheme="majorBidi"/>
          <w:sz w:val="24"/>
          <w:szCs w:val="24"/>
        </w:rPr>
        <w:t>°</w:t>
      </w:r>
      <w:r w:rsidR="001633C7" w:rsidRPr="00E56929">
        <w:rPr>
          <w:rFonts w:asciiTheme="majorBidi" w:hAnsiTheme="majorBidi" w:cstheme="majorBidi"/>
          <w:sz w:val="24"/>
          <w:szCs w:val="24"/>
        </w:rPr>
        <w:t xml:space="preserve">   Nord     4</w:t>
      </w:r>
      <w:r w:rsidR="001633C7">
        <w:rPr>
          <w:rFonts w:asciiTheme="majorBidi" w:hAnsiTheme="majorBidi" w:cstheme="majorBidi"/>
          <w:sz w:val="24"/>
          <w:szCs w:val="24"/>
        </w:rPr>
        <w:t>°</w:t>
      </w:r>
      <w:r w:rsidR="001633C7" w:rsidRPr="00E56929">
        <w:rPr>
          <w:rFonts w:asciiTheme="majorBidi" w:hAnsiTheme="majorBidi" w:cstheme="majorBidi"/>
          <w:sz w:val="24"/>
          <w:szCs w:val="24"/>
        </w:rPr>
        <w:t xml:space="preserve">   33</w:t>
      </w:r>
      <w:r w:rsidR="001633C7">
        <w:rPr>
          <w:rFonts w:asciiTheme="majorBidi" w:hAnsiTheme="majorBidi" w:cstheme="majorBidi"/>
          <w:sz w:val="24"/>
          <w:szCs w:val="24"/>
        </w:rPr>
        <w:t>°</w:t>
      </w:r>
      <w:r w:rsidR="001633C7" w:rsidRPr="00E56929">
        <w:rPr>
          <w:rFonts w:asciiTheme="majorBidi" w:hAnsiTheme="majorBidi" w:cstheme="majorBidi"/>
          <w:sz w:val="24"/>
          <w:szCs w:val="24"/>
        </w:rPr>
        <w:t xml:space="preserve">   35</w:t>
      </w:r>
      <w:r w:rsidR="001633C7">
        <w:rPr>
          <w:rFonts w:asciiTheme="majorBidi" w:hAnsiTheme="majorBidi" w:cstheme="majorBidi"/>
          <w:sz w:val="24"/>
          <w:szCs w:val="24"/>
        </w:rPr>
        <w:t>° Est)</w:t>
      </w:r>
      <w:r w:rsidRPr="006D49DD">
        <w:rPr>
          <w:rFonts w:asciiTheme="majorBidi" w:hAnsiTheme="majorBidi" w:cstheme="majorBidi"/>
          <w:sz w:val="24"/>
          <w:szCs w:val="24"/>
        </w:rPr>
        <w:t xml:space="preserve"> qui est située </w:t>
      </w:r>
      <w:r w:rsidR="001633C7">
        <w:rPr>
          <w:rFonts w:asciiTheme="majorBidi" w:hAnsiTheme="majorBidi" w:cstheme="majorBidi"/>
          <w:sz w:val="24"/>
          <w:szCs w:val="24"/>
        </w:rPr>
        <w:t>à proximité de la ville de M’sila coté Nord,</w:t>
      </w:r>
      <w:r w:rsidRPr="006D49DD">
        <w:rPr>
          <w:rFonts w:asciiTheme="majorBidi" w:hAnsiTheme="majorBidi" w:cstheme="majorBidi"/>
          <w:sz w:val="24"/>
          <w:szCs w:val="24"/>
        </w:rPr>
        <w:t xml:space="preserve"> sur une</w:t>
      </w:r>
      <w:r w:rsidR="001633C7">
        <w:rPr>
          <w:rFonts w:asciiTheme="majorBidi" w:hAnsiTheme="majorBidi" w:cstheme="majorBidi"/>
          <w:sz w:val="24"/>
          <w:szCs w:val="24"/>
        </w:rPr>
        <w:t xml:space="preserve"> </w:t>
      </w:r>
      <w:r w:rsidRPr="006D49DD">
        <w:rPr>
          <w:rFonts w:asciiTheme="majorBidi" w:hAnsiTheme="majorBidi" w:cstheme="majorBidi"/>
          <w:sz w:val="24"/>
          <w:szCs w:val="24"/>
        </w:rPr>
        <w:t xml:space="preserve">altitude de </w:t>
      </w:r>
      <w:r w:rsidR="001633C7">
        <w:rPr>
          <w:rFonts w:asciiTheme="majorBidi" w:hAnsiTheme="majorBidi" w:cstheme="majorBidi"/>
          <w:sz w:val="24"/>
          <w:szCs w:val="24"/>
        </w:rPr>
        <w:t>490 m. Pour le</w:t>
      </w:r>
      <w:r w:rsidRPr="006D49DD">
        <w:rPr>
          <w:rFonts w:asciiTheme="majorBidi" w:hAnsiTheme="majorBidi" w:cstheme="majorBidi"/>
          <w:sz w:val="24"/>
          <w:szCs w:val="24"/>
        </w:rPr>
        <w:t xml:space="preserve"> choix de</w:t>
      </w:r>
      <w:r w:rsidR="001633C7">
        <w:rPr>
          <w:rFonts w:asciiTheme="majorBidi" w:hAnsiTheme="majorBidi" w:cstheme="majorBidi"/>
          <w:sz w:val="24"/>
          <w:szCs w:val="24"/>
        </w:rPr>
        <w:t xml:space="preserve"> la</w:t>
      </w:r>
      <w:r w:rsidRPr="006D49DD">
        <w:rPr>
          <w:rFonts w:asciiTheme="majorBidi" w:hAnsiTheme="majorBidi" w:cstheme="majorBidi"/>
          <w:sz w:val="24"/>
          <w:szCs w:val="24"/>
        </w:rPr>
        <w:t xml:space="preserve"> station de la présente étude et dans le but</w:t>
      </w:r>
      <w:r w:rsidR="001633C7">
        <w:rPr>
          <w:rFonts w:asciiTheme="majorBidi" w:hAnsiTheme="majorBidi" w:cstheme="majorBidi"/>
          <w:sz w:val="24"/>
          <w:szCs w:val="24"/>
        </w:rPr>
        <w:t xml:space="preserve"> </w:t>
      </w:r>
      <w:r w:rsidRPr="006D49DD">
        <w:rPr>
          <w:rFonts w:asciiTheme="majorBidi" w:hAnsiTheme="majorBidi" w:cstheme="majorBidi"/>
          <w:sz w:val="24"/>
          <w:szCs w:val="24"/>
        </w:rPr>
        <w:t>d'avoir un aperç</w:t>
      </w:r>
      <w:r w:rsidR="001633C7">
        <w:rPr>
          <w:rFonts w:asciiTheme="majorBidi" w:hAnsiTheme="majorBidi" w:cstheme="majorBidi"/>
          <w:sz w:val="24"/>
          <w:szCs w:val="24"/>
        </w:rPr>
        <w:t>u général sur l'arthropodologie pendant les saison hivernal et printanière de l’année 2017</w:t>
      </w:r>
      <w:r w:rsidRPr="006D49DD">
        <w:rPr>
          <w:rFonts w:asciiTheme="majorBidi" w:hAnsiTheme="majorBidi" w:cstheme="majorBidi"/>
          <w:sz w:val="24"/>
          <w:szCs w:val="24"/>
        </w:rPr>
        <w:t>, le choix est</w:t>
      </w:r>
      <w:r w:rsidR="001633C7">
        <w:rPr>
          <w:rFonts w:asciiTheme="majorBidi" w:hAnsiTheme="majorBidi" w:cstheme="majorBidi"/>
          <w:sz w:val="24"/>
          <w:szCs w:val="24"/>
        </w:rPr>
        <w:t xml:space="preserve"> </w:t>
      </w:r>
      <w:r w:rsidRPr="006D49DD">
        <w:rPr>
          <w:rFonts w:asciiTheme="majorBidi" w:hAnsiTheme="majorBidi" w:cstheme="majorBidi"/>
          <w:sz w:val="24"/>
          <w:szCs w:val="24"/>
        </w:rPr>
        <w:t>réalisé selon l</w:t>
      </w:r>
      <w:r w:rsidR="001633C7">
        <w:rPr>
          <w:rFonts w:asciiTheme="majorBidi" w:hAnsiTheme="majorBidi" w:cstheme="majorBidi"/>
          <w:sz w:val="24"/>
          <w:szCs w:val="24"/>
        </w:rPr>
        <w:t xml:space="preserve">'accessibilité et la sécurité de la </w:t>
      </w:r>
      <w:r w:rsidRPr="006D49DD">
        <w:rPr>
          <w:rFonts w:asciiTheme="majorBidi" w:hAnsiTheme="majorBidi" w:cstheme="majorBidi"/>
          <w:sz w:val="24"/>
          <w:szCs w:val="24"/>
        </w:rPr>
        <w:t xml:space="preserve"> station ainsi que la présence du matériel animal et</w:t>
      </w:r>
      <w:r w:rsidR="001633C7">
        <w:rPr>
          <w:rFonts w:asciiTheme="majorBidi" w:hAnsiTheme="majorBidi" w:cstheme="majorBidi"/>
          <w:sz w:val="24"/>
          <w:szCs w:val="24"/>
        </w:rPr>
        <w:t xml:space="preserve"> </w:t>
      </w:r>
      <w:r w:rsidRPr="006D49DD">
        <w:rPr>
          <w:rFonts w:asciiTheme="majorBidi" w:hAnsiTheme="majorBidi" w:cstheme="majorBidi"/>
          <w:sz w:val="24"/>
          <w:szCs w:val="24"/>
        </w:rPr>
        <w:t>végé</w:t>
      </w:r>
      <w:r w:rsidR="001633C7">
        <w:rPr>
          <w:rFonts w:asciiTheme="majorBidi" w:hAnsiTheme="majorBidi" w:cstheme="majorBidi"/>
          <w:sz w:val="24"/>
          <w:szCs w:val="24"/>
        </w:rPr>
        <w:t>tal.</w:t>
      </w:r>
    </w:p>
    <w:p w:rsidR="001633C7" w:rsidRDefault="001633C7" w:rsidP="001633C7">
      <w:pPr>
        <w:autoSpaceDE w:val="0"/>
        <w:autoSpaceDN w:val="0"/>
        <w:adjustRightInd w:val="0"/>
        <w:spacing w:after="0" w:line="360" w:lineRule="auto"/>
        <w:jc w:val="both"/>
        <w:rPr>
          <w:rFonts w:asciiTheme="majorBidi" w:hAnsiTheme="majorBidi" w:cstheme="majorBidi"/>
          <w:sz w:val="24"/>
          <w:szCs w:val="24"/>
        </w:rPr>
      </w:pPr>
    </w:p>
    <w:p w:rsidR="0088355B" w:rsidRDefault="001633C7" w:rsidP="001633C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E56929">
        <w:rPr>
          <w:rFonts w:asciiTheme="majorBidi" w:hAnsiTheme="majorBidi" w:cstheme="majorBidi"/>
          <w:sz w:val="24"/>
          <w:szCs w:val="24"/>
        </w:rPr>
        <w:t xml:space="preserve"> Le  verger</w:t>
      </w:r>
      <w:r>
        <w:rPr>
          <w:rFonts w:asciiTheme="majorBidi" w:hAnsiTheme="majorBidi" w:cstheme="majorBidi"/>
          <w:sz w:val="24"/>
          <w:szCs w:val="24"/>
        </w:rPr>
        <w:t xml:space="preserve"> d’étude  </w:t>
      </w:r>
      <w:r w:rsidR="0088355B">
        <w:rPr>
          <w:rFonts w:asciiTheme="majorBidi" w:hAnsiTheme="majorBidi" w:cstheme="majorBidi"/>
          <w:sz w:val="24"/>
          <w:szCs w:val="24"/>
        </w:rPr>
        <w:t xml:space="preserve">s’étend   sur   une </w:t>
      </w:r>
      <w:r w:rsidRPr="00E56929">
        <w:rPr>
          <w:rFonts w:asciiTheme="majorBidi" w:hAnsiTheme="majorBidi" w:cstheme="majorBidi"/>
          <w:sz w:val="24"/>
          <w:szCs w:val="24"/>
        </w:rPr>
        <w:t xml:space="preserve">superficie   de  03   hectares ;   l’écartement   entre  </w:t>
      </w:r>
      <w:r>
        <w:rPr>
          <w:rFonts w:asciiTheme="majorBidi" w:hAnsiTheme="majorBidi" w:cstheme="majorBidi"/>
          <w:sz w:val="24"/>
          <w:szCs w:val="24"/>
        </w:rPr>
        <w:t>les</w:t>
      </w:r>
      <w:r w:rsidRPr="00E56929">
        <w:rPr>
          <w:rFonts w:asciiTheme="majorBidi" w:hAnsiTheme="majorBidi" w:cstheme="majorBidi"/>
          <w:sz w:val="24"/>
          <w:szCs w:val="24"/>
        </w:rPr>
        <w:t xml:space="preserve">  arbre   est   de   9   m,  soit  une   densité   de  200  arbres   p</w:t>
      </w:r>
      <w:r>
        <w:rPr>
          <w:rFonts w:asciiTheme="majorBidi" w:hAnsiTheme="majorBidi" w:cstheme="majorBidi"/>
          <w:sz w:val="24"/>
          <w:szCs w:val="24"/>
        </w:rPr>
        <w:t>ar  hectares,</w:t>
      </w:r>
      <w:r w:rsidRPr="00E56929">
        <w:rPr>
          <w:rFonts w:asciiTheme="majorBidi" w:hAnsiTheme="majorBidi" w:cstheme="majorBidi"/>
          <w:sz w:val="24"/>
          <w:szCs w:val="24"/>
        </w:rPr>
        <w:t xml:space="preserve"> </w:t>
      </w:r>
      <w:r>
        <w:rPr>
          <w:rFonts w:asciiTheme="majorBidi" w:hAnsiTheme="majorBidi" w:cstheme="majorBidi"/>
          <w:sz w:val="24"/>
          <w:szCs w:val="24"/>
        </w:rPr>
        <w:t>composé de plusieurs</w:t>
      </w:r>
      <w:r w:rsidRPr="00E56929">
        <w:rPr>
          <w:rFonts w:asciiTheme="majorBidi" w:hAnsiTheme="majorBidi" w:cstheme="majorBidi"/>
          <w:sz w:val="24"/>
          <w:szCs w:val="24"/>
        </w:rPr>
        <w:t xml:space="preserve">   variété</w:t>
      </w:r>
      <w:r>
        <w:rPr>
          <w:rFonts w:asciiTheme="majorBidi" w:hAnsiTheme="majorBidi" w:cstheme="majorBidi"/>
          <w:sz w:val="24"/>
          <w:szCs w:val="24"/>
        </w:rPr>
        <w:t xml:space="preserve">s et </w:t>
      </w:r>
      <w:r w:rsidRPr="00E56929">
        <w:rPr>
          <w:rFonts w:asciiTheme="majorBidi" w:hAnsiTheme="majorBidi" w:cstheme="majorBidi"/>
          <w:sz w:val="24"/>
          <w:szCs w:val="24"/>
        </w:rPr>
        <w:t xml:space="preserve">  bénéficie  d’une  irrigation  périodique   avec  un  bon   travail   d</w:t>
      </w:r>
      <w:r>
        <w:rPr>
          <w:rFonts w:asciiTheme="majorBidi" w:hAnsiTheme="majorBidi" w:cstheme="majorBidi"/>
          <w:sz w:val="24"/>
          <w:szCs w:val="24"/>
        </w:rPr>
        <w:t>u</w:t>
      </w:r>
      <w:r w:rsidRPr="00E56929">
        <w:rPr>
          <w:rFonts w:asciiTheme="majorBidi" w:hAnsiTheme="majorBidi" w:cstheme="majorBidi"/>
          <w:sz w:val="24"/>
          <w:szCs w:val="24"/>
        </w:rPr>
        <w:t xml:space="preserve">  sol.</w:t>
      </w:r>
      <w:r>
        <w:rPr>
          <w:rFonts w:asciiTheme="majorBidi" w:hAnsiTheme="majorBidi" w:cstheme="majorBidi"/>
          <w:sz w:val="24"/>
          <w:szCs w:val="24"/>
        </w:rPr>
        <w:t xml:space="preserve">  </w:t>
      </w:r>
    </w:p>
    <w:p w:rsidR="0088355B" w:rsidRPr="0088355B" w:rsidRDefault="001633C7" w:rsidP="0088355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0865DF">
        <w:rPr>
          <w:rFonts w:asciiTheme="majorBidi" w:hAnsiTheme="majorBidi" w:cstheme="majorBidi"/>
          <w:b/>
          <w:bCs/>
          <w:sz w:val="24"/>
          <w:szCs w:val="24"/>
        </w:rPr>
        <w:t>II.2.</w:t>
      </w:r>
      <w:r w:rsidR="0088355B" w:rsidRPr="0088355B">
        <w:rPr>
          <w:rFonts w:asciiTheme="majorBidi" w:hAnsiTheme="majorBidi" w:cstheme="majorBidi"/>
          <w:b/>
          <w:bCs/>
          <w:sz w:val="24"/>
          <w:szCs w:val="24"/>
        </w:rPr>
        <w:t>Méthodes d’échantillonnage</w:t>
      </w:r>
    </w:p>
    <w:p w:rsidR="0088355B" w:rsidRPr="0088355B" w:rsidRDefault="007D0533" w:rsidP="007D053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8355B" w:rsidRPr="0088355B">
        <w:rPr>
          <w:rFonts w:asciiTheme="majorBidi" w:hAnsiTheme="majorBidi" w:cstheme="majorBidi"/>
          <w:sz w:val="24"/>
          <w:szCs w:val="24"/>
        </w:rPr>
        <w:t>Pour la réalisation de la présente é</w:t>
      </w:r>
      <w:r>
        <w:rPr>
          <w:rFonts w:asciiTheme="majorBidi" w:hAnsiTheme="majorBidi" w:cstheme="majorBidi"/>
          <w:sz w:val="24"/>
          <w:szCs w:val="24"/>
        </w:rPr>
        <w:t xml:space="preserve">tude, la méthode </w:t>
      </w:r>
      <w:r w:rsidR="0088355B" w:rsidRPr="0088355B">
        <w:rPr>
          <w:rFonts w:asciiTheme="majorBidi" w:hAnsiTheme="majorBidi" w:cstheme="majorBidi"/>
          <w:sz w:val="24"/>
          <w:szCs w:val="24"/>
        </w:rPr>
        <w:t>d’é</w:t>
      </w:r>
      <w:r>
        <w:rPr>
          <w:rFonts w:asciiTheme="majorBidi" w:hAnsiTheme="majorBidi" w:cstheme="majorBidi"/>
          <w:sz w:val="24"/>
          <w:szCs w:val="24"/>
        </w:rPr>
        <w:t xml:space="preserve">chantillonnage </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utilisé</w:t>
      </w:r>
      <w:r>
        <w:rPr>
          <w:rFonts w:asciiTheme="majorBidi" w:hAnsiTheme="majorBidi" w:cstheme="majorBidi"/>
          <w:sz w:val="24"/>
          <w:szCs w:val="24"/>
        </w:rPr>
        <w:t>e, celle</w:t>
      </w:r>
      <w:r w:rsidR="0088355B" w:rsidRPr="0088355B">
        <w:rPr>
          <w:rFonts w:asciiTheme="majorBidi" w:hAnsiTheme="majorBidi" w:cstheme="majorBidi"/>
          <w:sz w:val="24"/>
          <w:szCs w:val="24"/>
        </w:rPr>
        <w:t xml:space="preserve"> des pots Barber, </w:t>
      </w:r>
      <w:r>
        <w:rPr>
          <w:rFonts w:asciiTheme="majorBidi" w:hAnsiTheme="majorBidi" w:cstheme="majorBidi"/>
          <w:sz w:val="24"/>
          <w:szCs w:val="24"/>
        </w:rPr>
        <w:t>l</w:t>
      </w:r>
      <w:r w:rsidR="0088355B" w:rsidRPr="0088355B">
        <w:rPr>
          <w:rFonts w:asciiTheme="majorBidi" w:hAnsiTheme="majorBidi" w:cstheme="majorBidi"/>
          <w:sz w:val="24"/>
          <w:szCs w:val="24"/>
        </w:rPr>
        <w:t>a durée</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 xml:space="preserve">de l’expérimentation est de </w:t>
      </w:r>
      <w:r>
        <w:rPr>
          <w:rFonts w:asciiTheme="majorBidi" w:hAnsiTheme="majorBidi" w:cstheme="majorBidi"/>
          <w:sz w:val="24"/>
          <w:szCs w:val="24"/>
        </w:rPr>
        <w:t>06</w:t>
      </w:r>
      <w:r w:rsidR="0088355B" w:rsidRPr="0088355B">
        <w:rPr>
          <w:rFonts w:asciiTheme="majorBidi" w:hAnsiTheme="majorBidi" w:cstheme="majorBidi"/>
          <w:sz w:val="24"/>
          <w:szCs w:val="24"/>
        </w:rPr>
        <w:t xml:space="preserve"> mois à partir de </w:t>
      </w:r>
      <w:r>
        <w:rPr>
          <w:rFonts w:asciiTheme="majorBidi" w:hAnsiTheme="majorBidi" w:cstheme="majorBidi"/>
          <w:sz w:val="24"/>
          <w:szCs w:val="24"/>
        </w:rPr>
        <w:t>Décembre</w:t>
      </w:r>
      <w:r w:rsidR="0088355B" w:rsidRPr="0088355B">
        <w:rPr>
          <w:rFonts w:asciiTheme="majorBidi" w:hAnsiTheme="majorBidi" w:cstheme="majorBidi"/>
          <w:sz w:val="24"/>
          <w:szCs w:val="24"/>
        </w:rPr>
        <w:t xml:space="preserve"> 201</w:t>
      </w:r>
      <w:r>
        <w:rPr>
          <w:rFonts w:asciiTheme="majorBidi" w:hAnsiTheme="majorBidi" w:cstheme="majorBidi"/>
          <w:sz w:val="24"/>
          <w:szCs w:val="24"/>
        </w:rPr>
        <w:t>6</w:t>
      </w:r>
      <w:r w:rsidR="0088355B" w:rsidRPr="0088355B">
        <w:rPr>
          <w:rFonts w:asciiTheme="majorBidi" w:hAnsiTheme="majorBidi" w:cstheme="majorBidi"/>
          <w:sz w:val="24"/>
          <w:szCs w:val="24"/>
        </w:rPr>
        <w:t xml:space="preserve"> jusqu’à </w:t>
      </w:r>
      <w:r>
        <w:rPr>
          <w:rFonts w:asciiTheme="majorBidi" w:hAnsiTheme="majorBidi" w:cstheme="majorBidi"/>
          <w:sz w:val="24"/>
          <w:szCs w:val="24"/>
        </w:rPr>
        <w:t>Mai</w:t>
      </w:r>
      <w:r w:rsidR="0088355B" w:rsidRPr="0088355B">
        <w:rPr>
          <w:rFonts w:asciiTheme="majorBidi" w:hAnsiTheme="majorBidi" w:cstheme="majorBidi"/>
          <w:sz w:val="24"/>
          <w:szCs w:val="24"/>
        </w:rPr>
        <w:t xml:space="preserve"> 201</w:t>
      </w:r>
      <w:r>
        <w:rPr>
          <w:rFonts w:asciiTheme="majorBidi" w:hAnsiTheme="majorBidi" w:cstheme="majorBidi"/>
          <w:sz w:val="24"/>
          <w:szCs w:val="24"/>
        </w:rPr>
        <w:t>7</w:t>
      </w:r>
      <w:r w:rsidR="0088355B" w:rsidRPr="0088355B">
        <w:rPr>
          <w:rFonts w:asciiTheme="majorBidi" w:hAnsiTheme="majorBidi" w:cstheme="majorBidi"/>
          <w:sz w:val="24"/>
          <w:szCs w:val="24"/>
        </w:rPr>
        <w:t xml:space="preserve"> à raison d’une</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sortie par mois.</w:t>
      </w:r>
    </w:p>
    <w:p w:rsidR="0088355B" w:rsidRPr="0088355B" w:rsidRDefault="007F392C" w:rsidP="0088355B">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II.3.</w:t>
      </w:r>
      <w:r w:rsidR="0088355B" w:rsidRPr="0088355B">
        <w:rPr>
          <w:rFonts w:asciiTheme="majorBidi" w:hAnsiTheme="majorBidi" w:cstheme="majorBidi"/>
          <w:b/>
          <w:bCs/>
          <w:sz w:val="24"/>
          <w:szCs w:val="24"/>
        </w:rPr>
        <w:t>Méthode des pots Barber</w:t>
      </w:r>
    </w:p>
    <w:p w:rsidR="007F392C" w:rsidRDefault="007F392C" w:rsidP="007F392C">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8355B" w:rsidRPr="0088355B">
        <w:rPr>
          <w:rFonts w:asciiTheme="majorBidi" w:hAnsiTheme="majorBidi" w:cstheme="majorBidi"/>
          <w:sz w:val="24"/>
          <w:szCs w:val="24"/>
        </w:rPr>
        <w:t>Ce type de piège sert à la capture des invertébrés, de moyen et de grande taille, qui</w:t>
      </w:r>
      <w:r w:rsidR="0088355B">
        <w:rPr>
          <w:rFonts w:asciiTheme="majorBidi" w:hAnsiTheme="majorBidi" w:cstheme="majorBidi"/>
          <w:sz w:val="24"/>
          <w:szCs w:val="24"/>
        </w:rPr>
        <w:t xml:space="preserve"> se </w:t>
      </w:r>
      <w:r w:rsidR="0088355B" w:rsidRPr="0088355B">
        <w:rPr>
          <w:rFonts w:asciiTheme="majorBidi" w:hAnsiTheme="majorBidi" w:cstheme="majorBidi"/>
          <w:sz w:val="24"/>
          <w:szCs w:val="24"/>
        </w:rPr>
        <w:t>déplacent à la surface du sol, tel que les col</w:t>
      </w:r>
      <w:r>
        <w:rPr>
          <w:rFonts w:asciiTheme="majorBidi" w:hAnsiTheme="majorBidi" w:cstheme="majorBidi"/>
          <w:sz w:val="24"/>
          <w:szCs w:val="24"/>
        </w:rPr>
        <w:t>é</w:t>
      </w:r>
      <w:r w:rsidR="0088355B" w:rsidRPr="0088355B">
        <w:rPr>
          <w:rFonts w:asciiTheme="majorBidi" w:hAnsiTheme="majorBidi" w:cstheme="majorBidi"/>
          <w:sz w:val="24"/>
          <w:szCs w:val="24"/>
        </w:rPr>
        <w:t>optères, en particulier les Carabidae</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(SOUTHWOOD, 1966 cité par BENKHELIL, 1992). Il consiste en un récipient de toute</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nature enterré de sorte à ce que l’ouverture soit à ras du sol (BENKHELIL, 1992).</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Dans le cas présent les pots pièges utilisés sont des boîtes de conserve cylindriques vides,</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récupérées, de 15 cm de diamètre et de 18 cm de hauteur et d’un volume d’1 litre (Fig. 9b).</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Chaque piège d’interception est rempli au deux tiers de sa hauteur avec de l’eau additionnée</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de détergent pour la fixation des espèces d’</w:t>
      </w:r>
      <w:r>
        <w:rPr>
          <w:rFonts w:asciiTheme="majorBidi" w:hAnsiTheme="majorBidi" w:cstheme="majorBidi"/>
          <w:sz w:val="24"/>
          <w:szCs w:val="24"/>
        </w:rPr>
        <w:t>arthropodes. Au total, 20</w:t>
      </w:r>
      <w:r w:rsidR="0088355B" w:rsidRPr="0088355B">
        <w:rPr>
          <w:rFonts w:asciiTheme="majorBidi" w:hAnsiTheme="majorBidi" w:cstheme="majorBidi"/>
          <w:sz w:val="24"/>
          <w:szCs w:val="24"/>
        </w:rPr>
        <w:t xml:space="preserve"> pots Barber sont placés</w:t>
      </w:r>
      <w:r w:rsidR="0088355B">
        <w:rPr>
          <w:rFonts w:asciiTheme="majorBidi" w:hAnsiTheme="majorBidi" w:cstheme="majorBidi"/>
          <w:sz w:val="24"/>
          <w:szCs w:val="24"/>
        </w:rPr>
        <w:t xml:space="preserve"> </w:t>
      </w:r>
      <w:r w:rsidR="0088355B" w:rsidRPr="0088355B">
        <w:rPr>
          <w:rFonts w:asciiTheme="majorBidi" w:hAnsiTheme="majorBidi" w:cstheme="majorBidi"/>
          <w:sz w:val="24"/>
          <w:szCs w:val="24"/>
        </w:rPr>
        <w:t>chaque mois dans l</w:t>
      </w:r>
      <w:r>
        <w:rPr>
          <w:rFonts w:asciiTheme="majorBidi" w:hAnsiTheme="majorBidi" w:cstheme="majorBidi"/>
          <w:sz w:val="24"/>
          <w:szCs w:val="24"/>
        </w:rPr>
        <w:t>e site d’étude</w:t>
      </w:r>
      <w:r w:rsidR="009C32A2">
        <w:rPr>
          <w:rFonts w:asciiTheme="majorBidi" w:hAnsiTheme="majorBidi" w:cstheme="majorBidi"/>
          <w:sz w:val="24"/>
          <w:szCs w:val="24"/>
        </w:rPr>
        <w:t xml:space="preserve"> (fig</w:t>
      </w:r>
      <w:r w:rsidR="0088355B" w:rsidRPr="0088355B">
        <w:rPr>
          <w:rFonts w:asciiTheme="majorBidi" w:hAnsiTheme="majorBidi" w:cstheme="majorBidi"/>
          <w:sz w:val="24"/>
          <w:szCs w:val="24"/>
        </w:rPr>
        <w:t>.</w:t>
      </w:r>
      <w:r w:rsidR="0047088C">
        <w:rPr>
          <w:rFonts w:asciiTheme="majorBidi" w:hAnsiTheme="majorBidi" w:cstheme="majorBidi"/>
          <w:sz w:val="24"/>
          <w:szCs w:val="24"/>
        </w:rPr>
        <w:t>47</w:t>
      </w:r>
      <w:r w:rsidR="00402532">
        <w:rPr>
          <w:rFonts w:asciiTheme="majorBidi" w:hAnsiTheme="majorBidi" w:cstheme="majorBidi"/>
          <w:sz w:val="24"/>
          <w:szCs w:val="24"/>
        </w:rPr>
        <w:t>).</w:t>
      </w:r>
      <w:r w:rsidR="0088355B" w:rsidRPr="0088355B">
        <w:rPr>
          <w:rFonts w:asciiTheme="majorBidi" w:hAnsiTheme="majorBidi" w:cstheme="majorBidi"/>
          <w:sz w:val="24"/>
          <w:szCs w:val="24"/>
        </w:rPr>
        <w:t xml:space="preserve"> </w:t>
      </w:r>
      <w:r>
        <w:rPr>
          <w:rFonts w:asciiTheme="majorBidi" w:hAnsiTheme="majorBidi" w:cstheme="majorBidi"/>
          <w:sz w:val="24"/>
          <w:szCs w:val="24"/>
        </w:rPr>
        <w:t xml:space="preserve">   </w:t>
      </w:r>
    </w:p>
    <w:p w:rsidR="0088355B" w:rsidRDefault="007F392C" w:rsidP="007F392C">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88355B" w:rsidRPr="0088355B">
        <w:rPr>
          <w:rFonts w:asciiTheme="majorBidi" w:hAnsiTheme="majorBidi" w:cstheme="majorBidi"/>
          <w:sz w:val="24"/>
          <w:szCs w:val="24"/>
        </w:rPr>
        <w:t>Au bout de 48 h le contenu de chaque pot</w:t>
      </w:r>
      <w:r w:rsidR="0088355B">
        <w:rPr>
          <w:rFonts w:asciiTheme="majorBidi" w:hAnsiTheme="majorBidi" w:cstheme="majorBidi"/>
          <w:sz w:val="24"/>
          <w:szCs w:val="24"/>
        </w:rPr>
        <w:t xml:space="preserve"> est </w:t>
      </w:r>
      <w:r w:rsidR="0088355B" w:rsidRPr="0088355B">
        <w:rPr>
          <w:rFonts w:asciiTheme="majorBidi" w:hAnsiTheme="majorBidi" w:cstheme="majorBidi"/>
          <w:sz w:val="24"/>
          <w:szCs w:val="24"/>
        </w:rPr>
        <w:t>récupéré séparément dans une bo</w:t>
      </w:r>
      <w:r>
        <w:rPr>
          <w:rFonts w:asciiTheme="majorBidi" w:hAnsiTheme="majorBidi" w:cstheme="majorBidi"/>
          <w:sz w:val="24"/>
          <w:szCs w:val="24"/>
        </w:rPr>
        <w:t xml:space="preserve">ite de Pétri  en mentionnant </w:t>
      </w:r>
      <w:r w:rsidR="0088355B" w:rsidRPr="0088355B">
        <w:rPr>
          <w:rFonts w:asciiTheme="majorBidi" w:hAnsiTheme="majorBidi" w:cstheme="majorBidi"/>
          <w:sz w:val="24"/>
          <w:szCs w:val="24"/>
        </w:rPr>
        <w:t xml:space="preserve"> la date</w:t>
      </w:r>
      <w:r w:rsidR="0088355B">
        <w:rPr>
          <w:rFonts w:ascii="Times New Roman" w:hAnsi="Times New Roman" w:cs="Times New Roman"/>
          <w:sz w:val="24"/>
          <w:szCs w:val="24"/>
        </w:rPr>
        <w:t>.</w:t>
      </w:r>
      <w:r w:rsidR="001633C7" w:rsidRPr="0088355B">
        <w:rPr>
          <w:rFonts w:asciiTheme="majorBidi" w:hAnsiTheme="majorBidi" w:cstheme="majorBidi"/>
          <w:sz w:val="24"/>
          <w:szCs w:val="24"/>
        </w:rPr>
        <w:t xml:space="preserve">  </w:t>
      </w:r>
    </w:p>
    <w:p w:rsidR="009C32A2" w:rsidRDefault="009C32A2" w:rsidP="009C32A2">
      <w:pPr>
        <w:autoSpaceDE w:val="0"/>
        <w:autoSpaceDN w:val="0"/>
        <w:adjustRightInd w:val="0"/>
        <w:spacing w:after="0" w:line="360" w:lineRule="auto"/>
        <w:jc w:val="center"/>
        <w:rPr>
          <w:rFonts w:asciiTheme="majorBidi" w:hAnsiTheme="majorBidi" w:cstheme="majorBidi"/>
          <w:sz w:val="24"/>
          <w:szCs w:val="24"/>
        </w:rPr>
      </w:pPr>
      <w:r w:rsidRPr="009C32A2">
        <w:rPr>
          <w:rFonts w:asciiTheme="majorBidi" w:hAnsiTheme="majorBidi" w:cstheme="majorBidi"/>
          <w:noProof/>
          <w:sz w:val="24"/>
          <w:szCs w:val="24"/>
          <w:lang w:val="en-US" w:eastAsia="en-US"/>
        </w:rPr>
        <w:drawing>
          <wp:inline distT="0" distB="0" distL="0" distR="0">
            <wp:extent cx="3990975" cy="2867025"/>
            <wp:effectExtent l="19050" t="0" r="9525" b="0"/>
            <wp:docPr id="24" name="Image 21" descr="C:\Users\MAISON XP\Desktop\IMG_20170228_085452.jpg"/>
            <wp:cNvGraphicFramePr/>
            <a:graphic xmlns:a="http://schemas.openxmlformats.org/drawingml/2006/main">
              <a:graphicData uri="http://schemas.openxmlformats.org/drawingml/2006/picture">
                <pic:pic xmlns:pic="http://schemas.openxmlformats.org/drawingml/2006/picture">
                  <pic:nvPicPr>
                    <pic:cNvPr id="3" name="Image 2" descr="C:\Users\MAISON XP\Desktop\IMG_20170228_085452.jpg"/>
                    <pic:cNvPicPr/>
                  </pic:nvPicPr>
                  <pic:blipFill>
                    <a:blip r:embed="rId7" cstate="print"/>
                    <a:srcRect/>
                    <a:stretch>
                      <a:fillRect/>
                    </a:stretch>
                  </pic:blipFill>
                  <pic:spPr bwMode="auto">
                    <a:xfrm>
                      <a:off x="0" y="0"/>
                      <a:ext cx="4002606" cy="2875380"/>
                    </a:xfrm>
                    <a:prstGeom prst="rect">
                      <a:avLst/>
                    </a:prstGeom>
                    <a:noFill/>
                    <a:ln w="9525">
                      <a:noFill/>
                      <a:miter lim="800000"/>
                      <a:headEnd/>
                      <a:tailEnd/>
                    </a:ln>
                  </pic:spPr>
                </pic:pic>
              </a:graphicData>
            </a:graphic>
          </wp:inline>
        </w:drawing>
      </w:r>
    </w:p>
    <w:p w:rsidR="00402532" w:rsidRPr="00402532" w:rsidRDefault="00402532" w:rsidP="009C32A2">
      <w:pPr>
        <w:autoSpaceDE w:val="0"/>
        <w:autoSpaceDN w:val="0"/>
        <w:adjustRightInd w:val="0"/>
        <w:spacing w:after="0" w:line="360" w:lineRule="auto"/>
        <w:jc w:val="center"/>
        <w:rPr>
          <w:rFonts w:asciiTheme="majorBidi" w:hAnsiTheme="majorBidi" w:cstheme="majorBidi"/>
          <w:b/>
          <w:bCs/>
          <w:sz w:val="24"/>
          <w:szCs w:val="24"/>
        </w:rPr>
      </w:pPr>
      <w:r w:rsidRPr="00402532">
        <w:rPr>
          <w:rFonts w:asciiTheme="majorBidi" w:hAnsiTheme="majorBidi" w:cstheme="majorBidi"/>
          <w:b/>
          <w:bCs/>
          <w:sz w:val="24"/>
          <w:szCs w:val="24"/>
        </w:rPr>
        <w:t>Figure n° </w:t>
      </w:r>
      <w:r w:rsidR="0047088C">
        <w:rPr>
          <w:rFonts w:asciiTheme="majorBidi" w:hAnsiTheme="majorBidi" w:cstheme="majorBidi"/>
          <w:b/>
          <w:bCs/>
          <w:sz w:val="24"/>
          <w:szCs w:val="24"/>
        </w:rPr>
        <w:t>47</w:t>
      </w:r>
      <w:r w:rsidRPr="00402532">
        <w:rPr>
          <w:rFonts w:asciiTheme="majorBidi" w:hAnsiTheme="majorBidi" w:cstheme="majorBidi"/>
          <w:b/>
          <w:bCs/>
          <w:sz w:val="24"/>
          <w:szCs w:val="24"/>
        </w:rPr>
        <w:t>:</w:t>
      </w:r>
      <w:r w:rsidR="00C273C2">
        <w:rPr>
          <w:rFonts w:asciiTheme="majorBidi" w:hAnsiTheme="majorBidi" w:cstheme="majorBidi"/>
          <w:b/>
          <w:bCs/>
          <w:sz w:val="24"/>
          <w:szCs w:val="24"/>
        </w:rPr>
        <w:t xml:space="preserve"> </w:t>
      </w:r>
      <w:r w:rsidRPr="00402532">
        <w:rPr>
          <w:rFonts w:asciiTheme="majorBidi" w:hAnsiTheme="majorBidi" w:cstheme="majorBidi"/>
          <w:b/>
          <w:bCs/>
          <w:sz w:val="24"/>
          <w:szCs w:val="24"/>
        </w:rPr>
        <w:t>Emplacement de piège pot barber</w:t>
      </w:r>
      <w:r>
        <w:rPr>
          <w:rFonts w:asciiTheme="majorBidi" w:hAnsiTheme="majorBidi" w:cstheme="majorBidi"/>
          <w:b/>
          <w:bCs/>
          <w:sz w:val="24"/>
          <w:szCs w:val="24"/>
        </w:rPr>
        <w:t xml:space="preserve"> (Original)</w:t>
      </w:r>
    </w:p>
    <w:p w:rsidR="0088355B" w:rsidRPr="0088355B" w:rsidRDefault="0088355B" w:rsidP="0088355B">
      <w:pPr>
        <w:autoSpaceDE w:val="0"/>
        <w:autoSpaceDN w:val="0"/>
        <w:adjustRightInd w:val="0"/>
        <w:spacing w:after="0" w:line="360" w:lineRule="auto"/>
        <w:jc w:val="both"/>
        <w:rPr>
          <w:rFonts w:asciiTheme="majorBidi" w:hAnsiTheme="majorBidi" w:cstheme="majorBidi"/>
          <w:b/>
          <w:bCs/>
          <w:sz w:val="24"/>
          <w:szCs w:val="24"/>
        </w:rPr>
      </w:pPr>
      <w:r w:rsidRPr="0088355B">
        <w:rPr>
          <w:rFonts w:asciiTheme="majorBidi" w:hAnsiTheme="majorBidi" w:cstheme="majorBidi"/>
          <w:b/>
          <w:bCs/>
          <w:sz w:val="24"/>
          <w:szCs w:val="24"/>
        </w:rPr>
        <w:t>II.4. – Méthode de conservation et de détermination des espèces d’arthropodes</w:t>
      </w:r>
    </w:p>
    <w:p w:rsidR="001633C7" w:rsidRDefault="0088355B" w:rsidP="0088355B">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8355B">
        <w:rPr>
          <w:rFonts w:asciiTheme="majorBidi" w:hAnsiTheme="majorBidi" w:cstheme="majorBidi"/>
          <w:sz w:val="24"/>
          <w:szCs w:val="24"/>
        </w:rPr>
        <w:t>Après avoir recueilli les espèces d’arthropodes, ces dernières sont déterminées au</w:t>
      </w:r>
      <w:r>
        <w:rPr>
          <w:rFonts w:asciiTheme="majorBidi" w:hAnsiTheme="majorBidi" w:cstheme="majorBidi"/>
          <w:sz w:val="24"/>
          <w:szCs w:val="24"/>
        </w:rPr>
        <w:t xml:space="preserve"> </w:t>
      </w:r>
      <w:r w:rsidRPr="0088355B">
        <w:rPr>
          <w:rFonts w:asciiTheme="majorBidi" w:hAnsiTheme="majorBidi" w:cstheme="majorBidi"/>
          <w:sz w:val="24"/>
          <w:szCs w:val="24"/>
        </w:rPr>
        <w:t>laboratoire. La reconnaissance est faite sous une loup</w:t>
      </w:r>
      <w:r w:rsidR="007F392C">
        <w:rPr>
          <w:rFonts w:asciiTheme="majorBidi" w:hAnsiTheme="majorBidi" w:cstheme="majorBidi"/>
          <w:sz w:val="24"/>
          <w:szCs w:val="24"/>
        </w:rPr>
        <w:t>e binoculaire. Elle s</w:t>
      </w:r>
      <w:r>
        <w:rPr>
          <w:rFonts w:asciiTheme="majorBidi" w:hAnsiTheme="majorBidi" w:cstheme="majorBidi"/>
          <w:sz w:val="24"/>
          <w:szCs w:val="24"/>
        </w:rPr>
        <w:t xml:space="preserve">e base sur </w:t>
      </w:r>
      <w:r w:rsidRPr="0088355B">
        <w:rPr>
          <w:rFonts w:asciiTheme="majorBidi" w:hAnsiTheme="majorBidi" w:cstheme="majorBidi"/>
          <w:sz w:val="24"/>
          <w:szCs w:val="24"/>
        </w:rPr>
        <w:t>l’étude</w:t>
      </w:r>
      <w:r>
        <w:rPr>
          <w:rFonts w:asciiTheme="majorBidi" w:hAnsiTheme="majorBidi" w:cstheme="majorBidi"/>
          <w:sz w:val="24"/>
          <w:szCs w:val="24"/>
        </w:rPr>
        <w:t xml:space="preserve"> </w:t>
      </w:r>
      <w:r w:rsidRPr="0088355B">
        <w:rPr>
          <w:rFonts w:asciiTheme="majorBidi" w:hAnsiTheme="majorBidi" w:cstheme="majorBidi"/>
          <w:sz w:val="24"/>
          <w:szCs w:val="24"/>
        </w:rPr>
        <w:t>systématique qui s’appuie sur les clefs dressées par des auteurs comme PERRIER (1979,</w:t>
      </w:r>
      <w:r>
        <w:rPr>
          <w:rFonts w:asciiTheme="majorBidi" w:hAnsiTheme="majorBidi" w:cstheme="majorBidi"/>
          <w:sz w:val="24"/>
          <w:szCs w:val="24"/>
        </w:rPr>
        <w:t xml:space="preserve"> </w:t>
      </w:r>
      <w:r w:rsidRPr="0088355B">
        <w:rPr>
          <w:rFonts w:asciiTheme="majorBidi" w:hAnsiTheme="majorBidi" w:cstheme="majorBidi"/>
          <w:sz w:val="24"/>
          <w:szCs w:val="24"/>
        </w:rPr>
        <w:t>1982, 1985) et CHOPARD (1945).</w:t>
      </w:r>
      <w:r w:rsidR="001633C7" w:rsidRPr="0088355B">
        <w:rPr>
          <w:rFonts w:asciiTheme="majorBidi" w:hAnsiTheme="majorBidi" w:cstheme="majorBidi"/>
          <w:sz w:val="24"/>
          <w:szCs w:val="24"/>
        </w:rPr>
        <w:t xml:space="preserve">   </w:t>
      </w:r>
    </w:p>
    <w:p w:rsidR="00FD1152" w:rsidRDefault="00FD1152" w:rsidP="0088355B">
      <w:pPr>
        <w:autoSpaceDE w:val="0"/>
        <w:autoSpaceDN w:val="0"/>
        <w:adjustRightInd w:val="0"/>
        <w:spacing w:after="0" w:line="360" w:lineRule="auto"/>
        <w:jc w:val="both"/>
        <w:rPr>
          <w:rFonts w:asciiTheme="majorBidi" w:hAnsiTheme="majorBidi" w:cstheme="majorBidi"/>
          <w:sz w:val="24"/>
          <w:szCs w:val="24"/>
        </w:rPr>
      </w:pPr>
    </w:p>
    <w:p w:rsidR="00FD1152" w:rsidRDefault="00FD1152" w:rsidP="00FD1152">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II.5. - Exploitation des résultats</w:t>
      </w:r>
    </w:p>
    <w:p w:rsidR="00FD1152" w:rsidRDefault="00FD1152" w:rsidP="00FD115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Les résultats du présent travail, sont exploités</w:t>
      </w:r>
      <w:r w:rsidR="003E071D">
        <w:rPr>
          <w:rFonts w:ascii="Times New Roman" w:hAnsi="Times New Roman" w:cs="Times New Roman"/>
          <w:sz w:val="24"/>
          <w:szCs w:val="24"/>
        </w:rPr>
        <w:t xml:space="preserve"> par différents indices écologiques, s’agit de</w:t>
      </w:r>
      <w:r>
        <w:rPr>
          <w:rFonts w:ascii="Times New Roman" w:hAnsi="Times New Roman" w:cs="Times New Roman"/>
          <w:sz w:val="24"/>
          <w:szCs w:val="24"/>
        </w:rPr>
        <w:t xml:space="preserve"> </w:t>
      </w:r>
      <w:r w:rsidR="003E071D">
        <w:rPr>
          <w:rFonts w:ascii="Times New Roman" w:hAnsi="Times New Roman" w:cs="Times New Roman"/>
          <w:sz w:val="24"/>
          <w:szCs w:val="24"/>
        </w:rPr>
        <w:t>la qualité d’échantillonnage, des indices</w:t>
      </w:r>
      <w:r>
        <w:rPr>
          <w:rFonts w:ascii="Times New Roman" w:hAnsi="Times New Roman" w:cs="Times New Roman"/>
          <w:sz w:val="24"/>
          <w:szCs w:val="24"/>
        </w:rPr>
        <w:t xml:space="preserve"> de </w:t>
      </w:r>
      <w:r w:rsidR="00E43BE1">
        <w:rPr>
          <w:rFonts w:ascii="Times New Roman" w:hAnsi="Times New Roman" w:cs="Times New Roman"/>
          <w:sz w:val="24"/>
          <w:szCs w:val="24"/>
        </w:rPr>
        <w:t>composition</w:t>
      </w:r>
      <w:r w:rsidR="003E071D">
        <w:rPr>
          <w:rFonts w:ascii="Times New Roman" w:hAnsi="Times New Roman" w:cs="Times New Roman"/>
          <w:sz w:val="24"/>
          <w:szCs w:val="24"/>
        </w:rPr>
        <w:t xml:space="preserve"> et de structure</w:t>
      </w:r>
      <w:r>
        <w:rPr>
          <w:rFonts w:ascii="Times New Roman" w:hAnsi="Times New Roman" w:cs="Times New Roman"/>
          <w:sz w:val="24"/>
          <w:szCs w:val="24"/>
        </w:rPr>
        <w:t>.</w:t>
      </w:r>
    </w:p>
    <w:p w:rsidR="00FD1152" w:rsidRDefault="00603B71" w:rsidP="00FD1152">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3E071D">
        <w:rPr>
          <w:rFonts w:ascii="Times New Roman" w:hAnsi="Times New Roman" w:cs="Times New Roman"/>
          <w:b/>
          <w:bCs/>
          <w:sz w:val="24"/>
          <w:szCs w:val="24"/>
        </w:rPr>
        <w:t>II.5.1. Qualité d’échantillonnage</w:t>
      </w:r>
    </w:p>
    <w:p w:rsidR="003E071D" w:rsidRDefault="003E071D" w:rsidP="003E071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3E071D">
        <w:rPr>
          <w:rFonts w:ascii="Times New Roman" w:hAnsi="Times New Roman" w:cs="Times New Roman"/>
          <w:sz w:val="24"/>
          <w:szCs w:val="24"/>
        </w:rPr>
        <w:t>Selon</w:t>
      </w:r>
      <w:r w:rsidR="004F0C25">
        <w:rPr>
          <w:rFonts w:ascii="Times New Roman" w:hAnsi="Times New Roman" w:cs="Times New Roman"/>
          <w:sz w:val="24"/>
          <w:szCs w:val="24"/>
        </w:rPr>
        <w:t xml:space="preserve"> </w:t>
      </w:r>
      <w:r w:rsidR="004F0C25" w:rsidRPr="004F0C25">
        <w:rPr>
          <w:rFonts w:ascii="Times New Roman" w:hAnsi="Times New Roman" w:cs="Times New Roman"/>
          <w:b/>
          <w:bCs/>
          <w:sz w:val="24"/>
          <w:szCs w:val="24"/>
        </w:rPr>
        <w:t>Blondel (1975)</w:t>
      </w:r>
      <w:r w:rsidR="004F0C25">
        <w:rPr>
          <w:rFonts w:ascii="Times New Roman" w:hAnsi="Times New Roman" w:cs="Times New Roman"/>
          <w:sz w:val="24"/>
          <w:szCs w:val="24"/>
        </w:rPr>
        <w:t xml:space="preserve">, la qualité d’échantillonnage est représentée par la formule suivante :                            </w:t>
      </w:r>
      <w:r w:rsidR="004F0C25" w:rsidRPr="004F0C25">
        <w:rPr>
          <w:rFonts w:ascii="Times New Roman" w:hAnsi="Times New Roman" w:cs="Times New Roman"/>
          <w:b/>
          <w:bCs/>
          <w:sz w:val="32"/>
          <w:szCs w:val="32"/>
        </w:rPr>
        <w:t>Q = a /N</w:t>
      </w:r>
      <w:r w:rsidRPr="003E071D">
        <w:rPr>
          <w:rFonts w:ascii="Times New Roman" w:hAnsi="Times New Roman" w:cs="Times New Roman"/>
          <w:sz w:val="24"/>
          <w:szCs w:val="24"/>
        </w:rPr>
        <w:t xml:space="preserve"> </w:t>
      </w:r>
    </w:p>
    <w:p w:rsidR="004F0C25" w:rsidRDefault="004F0C25" w:rsidP="003E071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4F0C25">
        <w:rPr>
          <w:rFonts w:ascii="Times New Roman" w:hAnsi="Times New Roman" w:cs="Times New Roman"/>
          <w:b/>
          <w:bCs/>
          <w:sz w:val="24"/>
          <w:szCs w:val="24"/>
        </w:rPr>
        <w:t xml:space="preserve">  a</w:t>
      </w:r>
      <w:r>
        <w:rPr>
          <w:rFonts w:ascii="Times New Roman" w:hAnsi="Times New Roman" w:cs="Times New Roman"/>
          <w:sz w:val="24"/>
          <w:szCs w:val="24"/>
        </w:rPr>
        <w:t> : Nombre des espèces vues une seule fois en un seul exemplaire ;</w:t>
      </w:r>
    </w:p>
    <w:p w:rsidR="004F0C25" w:rsidRDefault="004F0C25" w:rsidP="003E071D">
      <w:pPr>
        <w:autoSpaceDE w:val="0"/>
        <w:autoSpaceDN w:val="0"/>
        <w:adjustRightInd w:val="0"/>
        <w:spacing w:after="0" w:line="360" w:lineRule="auto"/>
        <w:jc w:val="both"/>
        <w:rPr>
          <w:rFonts w:ascii="Times New Roman" w:hAnsi="Times New Roman" w:cs="Times New Roman"/>
          <w:sz w:val="24"/>
          <w:szCs w:val="24"/>
        </w:rPr>
      </w:pPr>
      <w:r w:rsidRPr="004F0C25">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4F0C25">
        <w:rPr>
          <w:rFonts w:ascii="Times New Roman" w:hAnsi="Times New Roman" w:cs="Times New Roman"/>
          <w:b/>
          <w:bCs/>
          <w:sz w:val="24"/>
          <w:szCs w:val="24"/>
        </w:rPr>
        <w:t>N</w:t>
      </w:r>
      <w:r>
        <w:rPr>
          <w:rFonts w:ascii="Times New Roman" w:hAnsi="Times New Roman" w:cs="Times New Roman"/>
          <w:sz w:val="24"/>
          <w:szCs w:val="24"/>
        </w:rPr>
        <w:t> : nombre de relevés.</w:t>
      </w:r>
    </w:p>
    <w:p w:rsidR="004F0C25" w:rsidRDefault="004F0C25" w:rsidP="003E071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Lorsque N est suffisamment grand, ce quotient tend généralement vers zéros ; dans ce cas, la qualité de l’échantillonnage est grande impliquant que l’inventaire qualitatif est réalisé avec une précision suffisante.</w:t>
      </w:r>
    </w:p>
    <w:p w:rsidR="004F0C25" w:rsidRDefault="004F0C25" w:rsidP="003E071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Dans notre travail, le N est le nombre total des pots Barber installés, soit 20 pots. </w:t>
      </w:r>
    </w:p>
    <w:p w:rsidR="004F0C25" w:rsidRDefault="004F0C25" w:rsidP="003E071D">
      <w:pPr>
        <w:autoSpaceDE w:val="0"/>
        <w:autoSpaceDN w:val="0"/>
        <w:adjustRightInd w:val="0"/>
        <w:spacing w:after="0" w:line="360" w:lineRule="auto"/>
        <w:jc w:val="both"/>
        <w:rPr>
          <w:rFonts w:ascii="Times New Roman" w:hAnsi="Times New Roman" w:cs="Times New Roman"/>
          <w:b/>
          <w:bCs/>
          <w:sz w:val="24"/>
          <w:szCs w:val="24"/>
        </w:rPr>
      </w:pPr>
    </w:p>
    <w:p w:rsidR="00FD1152" w:rsidRPr="003E071D" w:rsidRDefault="00603B71" w:rsidP="003E071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3E071D">
        <w:rPr>
          <w:rFonts w:ascii="Times New Roman" w:hAnsi="Times New Roman" w:cs="Times New Roman"/>
          <w:b/>
          <w:bCs/>
          <w:sz w:val="24"/>
          <w:szCs w:val="24"/>
        </w:rPr>
        <w:t xml:space="preserve">II.5.2. </w:t>
      </w:r>
      <w:r w:rsidR="00FD1152">
        <w:rPr>
          <w:rFonts w:ascii="Times New Roman" w:hAnsi="Times New Roman" w:cs="Times New Roman"/>
          <w:b/>
          <w:bCs/>
          <w:sz w:val="24"/>
          <w:szCs w:val="24"/>
        </w:rPr>
        <w:t>Indices écologiques de composition</w:t>
      </w:r>
    </w:p>
    <w:p w:rsidR="00327AC7" w:rsidRPr="004F0C25" w:rsidRDefault="00FD1152" w:rsidP="004F0C2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richesse totale, la richesse moyenne, l’abondance relative et la fréquence d'occurrence, sont les indices écologiques de composition utilisées dans l’exploitation des résultats.</w:t>
      </w:r>
    </w:p>
    <w:p w:rsidR="00FD1152" w:rsidRDefault="00603B71" w:rsidP="00603B71">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II.5.2.1</w:t>
      </w:r>
      <w:r w:rsidR="00FD1152">
        <w:rPr>
          <w:rFonts w:ascii="Times New Roman" w:hAnsi="Times New Roman" w:cs="Times New Roman"/>
          <w:b/>
          <w:bCs/>
          <w:sz w:val="24"/>
          <w:szCs w:val="24"/>
        </w:rPr>
        <w:t>. - Richesse totale (S)</w:t>
      </w:r>
    </w:p>
    <w:p w:rsidR="00FD1152" w:rsidRDefault="00FD1152" w:rsidP="00327AC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richesse totale et le nombre total d'espèces que comporte un peuplement considéré dans un écosystème donné. La richesse totale d'une biocénose</w:t>
      </w:r>
      <w:r w:rsidR="00327AC7">
        <w:rPr>
          <w:rFonts w:ascii="Times New Roman" w:hAnsi="Times New Roman" w:cs="Times New Roman"/>
          <w:sz w:val="24"/>
          <w:szCs w:val="24"/>
        </w:rPr>
        <w:t xml:space="preserve"> </w:t>
      </w:r>
      <w:r>
        <w:rPr>
          <w:rFonts w:ascii="Times New Roman" w:hAnsi="Times New Roman" w:cs="Times New Roman"/>
          <w:sz w:val="24"/>
          <w:szCs w:val="24"/>
        </w:rPr>
        <w:t>correspond à la totalité des espèces qui la composent (RAMADE, 2003)</w:t>
      </w:r>
    </w:p>
    <w:p w:rsidR="00327AC7" w:rsidRDefault="00603B71" w:rsidP="00327AC7">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II.5.2</w:t>
      </w:r>
      <w:r w:rsidR="00327AC7">
        <w:rPr>
          <w:rFonts w:ascii="Times New Roman" w:hAnsi="Times New Roman" w:cs="Times New Roman"/>
          <w:b/>
          <w:bCs/>
          <w:sz w:val="24"/>
          <w:szCs w:val="24"/>
        </w:rPr>
        <w:t>.2. - Richesse moyenne (Sm)</w:t>
      </w:r>
    </w:p>
    <w:p w:rsidR="00327AC7" w:rsidRDefault="00327AC7" w:rsidP="00327AC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richesse moyenne s'avère d'une grande utilité dans l'étude de la structure des peuplements. Il correspond au nombre moyen d'espèces présentes dans un échantillon du biotope dont la surface a été fixée arbitrairement (RAMADE, 2003). Elle permet de calculer l’homogénéité du peuplement (RAMADE, 1984).</w:t>
      </w:r>
    </w:p>
    <w:p w:rsidR="003F060A" w:rsidRDefault="003F060A" w:rsidP="00327AC7">
      <w:pPr>
        <w:autoSpaceDE w:val="0"/>
        <w:autoSpaceDN w:val="0"/>
        <w:adjustRightInd w:val="0"/>
        <w:spacing w:after="0" w:line="360" w:lineRule="auto"/>
        <w:jc w:val="both"/>
        <w:rPr>
          <w:rFonts w:ascii="Times New Roman" w:hAnsi="Times New Roman" w:cs="Times New Roman"/>
          <w:sz w:val="24"/>
          <w:szCs w:val="24"/>
        </w:rPr>
      </w:pPr>
    </w:p>
    <w:p w:rsidR="00327AC7" w:rsidRPr="00327AC7" w:rsidRDefault="00327AC7" w:rsidP="00327AC7">
      <w:pPr>
        <w:tabs>
          <w:tab w:val="center" w:pos="4153"/>
        </w:tabs>
        <w:autoSpaceDE w:val="0"/>
        <w:autoSpaceDN w:val="0"/>
        <w:adjustRightInd w:val="0"/>
        <w:spacing w:after="0" w:line="360" w:lineRule="auto"/>
        <w:jc w:val="both"/>
        <w:rPr>
          <w:rFonts w:ascii="Times New Roman" w:hAnsi="Times New Roman" w:cs="Times New Roman"/>
          <w:b/>
          <w:bCs/>
          <w:sz w:val="24"/>
          <w:szCs w:val="24"/>
        </w:rPr>
      </w:pPr>
      <w:r w:rsidRPr="00327AC7">
        <w:rPr>
          <w:rFonts w:ascii="Times New Roman" w:hAnsi="Times New Roman" w:cs="Times New Roman"/>
          <w:b/>
          <w:bCs/>
          <w:sz w:val="24"/>
          <w:szCs w:val="24"/>
        </w:rPr>
        <w:t xml:space="preserve">                                   </w:t>
      </w:r>
      <w:r w:rsidR="003F060A">
        <w:rPr>
          <w:rFonts w:ascii="Times New Roman" w:hAnsi="Times New Roman" w:cs="Times New Roman"/>
          <w:b/>
          <w:bCs/>
          <w:sz w:val="24"/>
          <w:szCs w:val="24"/>
        </w:rPr>
        <w:t xml:space="preserve">        </w:t>
      </w:r>
      <w:r w:rsidRPr="00327AC7">
        <w:rPr>
          <w:rFonts w:ascii="Times New Roman" w:hAnsi="Times New Roman" w:cs="Times New Roman"/>
          <w:b/>
          <w:bCs/>
          <w:sz w:val="24"/>
          <w:szCs w:val="24"/>
        </w:rPr>
        <w:t>Sm=ΣS/N</w:t>
      </w:r>
      <w:r w:rsidRPr="00327AC7">
        <w:rPr>
          <w:rFonts w:ascii="Times New Roman" w:hAnsi="Times New Roman" w:cs="Times New Roman"/>
          <w:b/>
          <w:bCs/>
          <w:sz w:val="24"/>
          <w:szCs w:val="24"/>
        </w:rPr>
        <w:tab/>
      </w:r>
    </w:p>
    <w:p w:rsidR="00327AC7" w:rsidRDefault="00327AC7" w:rsidP="00327AC7">
      <w:pPr>
        <w:autoSpaceDE w:val="0"/>
        <w:autoSpaceDN w:val="0"/>
        <w:adjustRightInd w:val="0"/>
        <w:spacing w:after="0" w:line="360" w:lineRule="auto"/>
        <w:jc w:val="both"/>
        <w:rPr>
          <w:rFonts w:ascii="Times New Roman" w:hAnsi="Times New Roman" w:cs="Times New Roman"/>
          <w:sz w:val="20"/>
          <w:szCs w:val="20"/>
        </w:rPr>
      </w:pPr>
      <w:r w:rsidRPr="00327AC7">
        <w:rPr>
          <w:rFonts w:ascii="Times New Roman" w:hAnsi="Times New Roman" w:cs="Times New Roman"/>
          <w:b/>
          <w:bCs/>
          <w:sz w:val="20"/>
          <w:szCs w:val="20"/>
        </w:rPr>
        <w:t>Sm</w:t>
      </w:r>
      <w:r>
        <w:rPr>
          <w:rFonts w:ascii="Times New Roman" w:hAnsi="Times New Roman" w:cs="Times New Roman"/>
          <w:sz w:val="20"/>
          <w:szCs w:val="20"/>
        </w:rPr>
        <w:t>: Richesse moyenne;</w:t>
      </w:r>
    </w:p>
    <w:p w:rsidR="00327AC7" w:rsidRDefault="00327AC7" w:rsidP="00327AC7">
      <w:pPr>
        <w:autoSpaceDE w:val="0"/>
        <w:autoSpaceDN w:val="0"/>
        <w:adjustRightInd w:val="0"/>
        <w:spacing w:after="0" w:line="360" w:lineRule="auto"/>
        <w:jc w:val="both"/>
        <w:rPr>
          <w:rFonts w:ascii="Times New Roman" w:hAnsi="Times New Roman" w:cs="Times New Roman"/>
          <w:sz w:val="20"/>
          <w:szCs w:val="20"/>
        </w:rPr>
      </w:pPr>
      <w:r w:rsidRPr="00327AC7">
        <w:rPr>
          <w:rFonts w:ascii="Times New Roman" w:hAnsi="Times New Roman" w:cs="Times New Roman"/>
          <w:b/>
          <w:bCs/>
          <w:sz w:val="20"/>
          <w:szCs w:val="20"/>
        </w:rPr>
        <w:t>S</w:t>
      </w:r>
      <w:r>
        <w:rPr>
          <w:rFonts w:ascii="Times New Roman" w:hAnsi="Times New Roman" w:cs="Times New Roman"/>
          <w:sz w:val="20"/>
          <w:szCs w:val="20"/>
        </w:rPr>
        <w:t>: Richesse totale de chaque relevé;</w:t>
      </w:r>
    </w:p>
    <w:p w:rsidR="00327AC7" w:rsidRDefault="00327AC7" w:rsidP="00327AC7">
      <w:pPr>
        <w:autoSpaceDE w:val="0"/>
        <w:autoSpaceDN w:val="0"/>
        <w:adjustRightInd w:val="0"/>
        <w:spacing w:after="0" w:line="360" w:lineRule="auto"/>
        <w:jc w:val="both"/>
        <w:rPr>
          <w:rFonts w:ascii="Times New Roman" w:hAnsi="Times New Roman" w:cs="Times New Roman"/>
          <w:sz w:val="20"/>
          <w:szCs w:val="20"/>
        </w:rPr>
      </w:pPr>
      <w:r w:rsidRPr="00327AC7">
        <w:rPr>
          <w:rFonts w:ascii="Times New Roman" w:hAnsi="Times New Roman" w:cs="Times New Roman"/>
          <w:b/>
          <w:bCs/>
          <w:sz w:val="20"/>
          <w:szCs w:val="20"/>
        </w:rPr>
        <w:t>N</w:t>
      </w:r>
      <w:r>
        <w:rPr>
          <w:rFonts w:ascii="Times New Roman" w:hAnsi="Times New Roman" w:cs="Times New Roman"/>
          <w:sz w:val="20"/>
          <w:szCs w:val="20"/>
        </w:rPr>
        <w:t>: Nombre de relevés.</w:t>
      </w:r>
    </w:p>
    <w:p w:rsidR="00327AC7" w:rsidRDefault="00327AC7" w:rsidP="00327AC7">
      <w:pPr>
        <w:autoSpaceDE w:val="0"/>
        <w:autoSpaceDN w:val="0"/>
        <w:adjustRightInd w:val="0"/>
        <w:spacing w:after="0" w:line="360" w:lineRule="auto"/>
        <w:jc w:val="both"/>
        <w:rPr>
          <w:rFonts w:ascii="Times New Roman" w:hAnsi="Times New Roman" w:cs="Times New Roman"/>
          <w:sz w:val="20"/>
          <w:szCs w:val="20"/>
        </w:rPr>
      </w:pPr>
    </w:p>
    <w:p w:rsidR="00327AC7" w:rsidRDefault="00603B71" w:rsidP="00327AC7">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II.5.2.3</w:t>
      </w:r>
      <w:r w:rsidR="00327AC7">
        <w:rPr>
          <w:rFonts w:ascii="Times New Roman" w:hAnsi="Times New Roman" w:cs="Times New Roman"/>
          <w:b/>
          <w:bCs/>
          <w:sz w:val="24"/>
          <w:szCs w:val="24"/>
        </w:rPr>
        <w:t xml:space="preserve">. </w:t>
      </w:r>
      <w:r w:rsidR="00327AC7">
        <w:rPr>
          <w:rFonts w:ascii="Times New Roman,Bold" w:hAnsi="Times New Roman" w:cs="Times New Roman,Bold" w:hint="cs"/>
          <w:b/>
          <w:bCs/>
          <w:sz w:val="24"/>
          <w:szCs w:val="24"/>
        </w:rPr>
        <w:t>–</w:t>
      </w:r>
      <w:r w:rsidR="00327AC7">
        <w:rPr>
          <w:rFonts w:ascii="Times New Roman,Bold" w:hAnsi="Times New Roman" w:cs="Times New Roman,Bold"/>
          <w:b/>
          <w:bCs/>
          <w:sz w:val="24"/>
          <w:szCs w:val="24"/>
        </w:rPr>
        <w:t xml:space="preserve"> </w:t>
      </w:r>
      <w:r w:rsidR="00327AC7">
        <w:rPr>
          <w:rFonts w:ascii="Times New Roman" w:hAnsi="Times New Roman" w:cs="Times New Roman"/>
          <w:b/>
          <w:bCs/>
          <w:sz w:val="24"/>
          <w:szCs w:val="24"/>
        </w:rPr>
        <w:t>Abondance relative (AR%)</w:t>
      </w:r>
    </w:p>
    <w:p w:rsidR="00327AC7" w:rsidRDefault="00327AC7" w:rsidP="00327AC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Selon FAURIE et </w:t>
      </w:r>
      <w:r>
        <w:rPr>
          <w:rFonts w:ascii="Times New Roman" w:hAnsi="Times New Roman" w:cs="Times New Roman"/>
          <w:i/>
          <w:iCs/>
          <w:sz w:val="24"/>
          <w:szCs w:val="24"/>
        </w:rPr>
        <w:t xml:space="preserve">al. </w:t>
      </w:r>
      <w:r>
        <w:rPr>
          <w:rFonts w:ascii="Times New Roman" w:hAnsi="Times New Roman" w:cs="Times New Roman"/>
          <w:sz w:val="24"/>
          <w:szCs w:val="24"/>
        </w:rPr>
        <w:t>(2012), l’abondance relative est une notion qui permet d'évaluer une espèce par rapport à l'ensemble du peuplement animal dans un inventaire faunistique. Elle est le rapport du nombre total d'individus d'une espèce sur le nombre total d'organismes inventoriés, exprimé en pourcentage. Elle est présentée par la formule suivante:</w:t>
      </w:r>
    </w:p>
    <w:p w:rsidR="00327AC7" w:rsidRPr="00234C74" w:rsidRDefault="00234C74" w:rsidP="00234C74">
      <w:pPr>
        <w:autoSpaceDE w:val="0"/>
        <w:autoSpaceDN w:val="0"/>
        <w:adjustRightInd w:val="0"/>
        <w:spacing w:after="0" w:line="360" w:lineRule="auto"/>
        <w:jc w:val="center"/>
        <w:rPr>
          <w:rFonts w:ascii="Times New Roman" w:hAnsi="Times New Roman" w:cs="Times New Roman"/>
          <w:b/>
          <w:bCs/>
          <w:sz w:val="32"/>
          <w:szCs w:val="32"/>
        </w:rPr>
      </w:pPr>
      <m:oMathPara>
        <m:oMath>
          <m:r>
            <m:rPr>
              <m:sty m:val="bi"/>
            </m:rPr>
            <w:rPr>
              <w:rFonts w:ascii="Cambria Math" w:hAnsi="Cambria Math" w:cs="Times New Roman"/>
              <w:sz w:val="24"/>
              <w:szCs w:val="24"/>
            </w:rPr>
            <m:t>AR</m:t>
          </m:r>
          <m:d>
            <m:dPr>
              <m:ctrlPr>
                <w:rPr>
                  <w:rFonts w:ascii="Cambria Math" w:hAnsi="Cambria Math" w:cs="Times New Roman"/>
                  <w:b/>
                  <w:bCs/>
                  <w:i/>
                  <w:sz w:val="24"/>
                  <w:szCs w:val="24"/>
                </w:rPr>
              </m:ctrlPr>
            </m:dPr>
            <m:e>
              <m:r>
                <m:rPr>
                  <m:sty m:val="bi"/>
                </m:rPr>
                <w:rPr>
                  <w:rFonts w:ascii="Cambria Math" w:hAnsi="Cambria Math" w:cs="Times New Roman"/>
                  <w:sz w:val="24"/>
                  <w:szCs w:val="24"/>
                </w:rPr>
                <m:t>%</m:t>
              </m:r>
            </m:e>
          </m:d>
          <m:r>
            <m:rPr>
              <m:sty m:val="bi"/>
            </m:rPr>
            <w:rPr>
              <w:rFonts w:ascii="Cambria Math" w:hAnsi="Cambria Math" w:cs="Times New Roman"/>
              <w:sz w:val="24"/>
              <w:szCs w:val="24"/>
            </w:rPr>
            <m:t>=</m:t>
          </m:r>
          <m:f>
            <m:fPr>
              <m:ctrlPr>
                <w:rPr>
                  <w:rFonts w:ascii="Cambria Math" w:hAnsi="Cambria Math" w:cs="Times New Roman"/>
                  <w:b/>
                  <w:bCs/>
                  <w:sz w:val="24"/>
                  <w:szCs w:val="24"/>
                </w:rPr>
              </m:ctrlPr>
            </m:fPr>
            <m:num>
              <m:r>
                <m:rPr>
                  <m:sty m:val="bi"/>
                </m:rPr>
                <w:rPr>
                  <w:rFonts w:ascii="Cambria Math" w:hAnsi="Cambria Math" w:cs="Times New Roman"/>
                  <w:sz w:val="24"/>
                  <w:szCs w:val="24"/>
                </w:rPr>
                <m:t>n</m:t>
              </m:r>
              <m:r>
                <m:rPr>
                  <m:sty m:val="b"/>
                </m:rPr>
                <w:rPr>
                  <w:rFonts w:ascii="Cambria Math" w:hAnsi="Cambria Math" w:cs="Times New Roman"/>
                  <w:sz w:val="24"/>
                  <w:szCs w:val="24"/>
                </w:rPr>
                <m:t>ix100</m:t>
              </m:r>
            </m:num>
            <m:den>
              <m:r>
                <m:rPr>
                  <m:sty m:val="b"/>
                </m:rPr>
                <w:rPr>
                  <w:rFonts w:ascii="Cambria Math" w:hAnsi="Cambria Math" w:cs="Times New Roman"/>
                  <w:sz w:val="24"/>
                  <w:szCs w:val="24"/>
                </w:rPr>
                <m:t>N</m:t>
              </m:r>
            </m:den>
          </m:f>
        </m:oMath>
      </m:oMathPara>
    </w:p>
    <w:p w:rsidR="00327AC7" w:rsidRDefault="00327AC7" w:rsidP="00327AC7">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AR% : Abondance relative;</w:t>
      </w:r>
    </w:p>
    <w:p w:rsidR="00327AC7" w:rsidRDefault="00327AC7" w:rsidP="00327AC7">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ni: Nombre d’individus de l'espèce i prise en considération;</w:t>
      </w:r>
    </w:p>
    <w:p w:rsidR="00327AC7" w:rsidRDefault="00327AC7" w:rsidP="00327AC7">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sz w:val="20"/>
          <w:szCs w:val="20"/>
        </w:rPr>
        <w:t>N: Nombre total d’individus de toutes espèces confondues.</w:t>
      </w:r>
    </w:p>
    <w:p w:rsidR="00234C74" w:rsidRDefault="00234C74" w:rsidP="00327AC7">
      <w:pPr>
        <w:autoSpaceDE w:val="0"/>
        <w:autoSpaceDN w:val="0"/>
        <w:adjustRightInd w:val="0"/>
        <w:spacing w:after="0" w:line="360" w:lineRule="auto"/>
        <w:jc w:val="both"/>
        <w:rPr>
          <w:rFonts w:ascii="Times New Roman" w:hAnsi="Times New Roman" w:cs="Times New Roman"/>
          <w:sz w:val="20"/>
          <w:szCs w:val="20"/>
        </w:rPr>
      </w:pPr>
    </w:p>
    <w:p w:rsidR="00234C74" w:rsidRDefault="00603B71" w:rsidP="00234C74">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II.5.2</w:t>
      </w:r>
      <w:r w:rsidR="00234C74">
        <w:rPr>
          <w:rFonts w:ascii="Times New Roman" w:hAnsi="Times New Roman" w:cs="Times New Roman"/>
          <w:b/>
          <w:bCs/>
          <w:sz w:val="24"/>
          <w:szCs w:val="24"/>
        </w:rPr>
        <w:t>.4. - Fréquence d'occurrence (Fo%)</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fréquence d'occurrence est le nombre de relevé où se trouve l'espèce i sur le nombre de relevé totaux réalisés (FAURIE et </w:t>
      </w:r>
      <w:r>
        <w:rPr>
          <w:rFonts w:ascii="Times New Roman" w:hAnsi="Times New Roman" w:cs="Times New Roman"/>
          <w:i/>
          <w:iCs/>
          <w:sz w:val="24"/>
          <w:szCs w:val="24"/>
        </w:rPr>
        <w:t xml:space="preserve">al, </w:t>
      </w:r>
      <w:r>
        <w:rPr>
          <w:rFonts w:ascii="Times New Roman" w:hAnsi="Times New Roman" w:cs="Times New Roman"/>
          <w:sz w:val="24"/>
          <w:szCs w:val="24"/>
        </w:rPr>
        <w:t xml:space="preserve">2012). On l'exprime en pourcentage.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fréquence d'occurrence est donne par la formule suivante :</w:t>
      </w:r>
    </w:p>
    <w:p w:rsidR="003F060A" w:rsidRDefault="003F060A" w:rsidP="00234C74">
      <w:pPr>
        <w:autoSpaceDE w:val="0"/>
        <w:autoSpaceDN w:val="0"/>
        <w:adjustRightInd w:val="0"/>
        <w:spacing w:after="0" w:line="360" w:lineRule="auto"/>
        <w:jc w:val="both"/>
        <w:rPr>
          <w:rFonts w:ascii="Times New Roman" w:hAnsi="Times New Roman" w:cs="Times New Roman"/>
          <w:sz w:val="24"/>
          <w:szCs w:val="24"/>
        </w:rPr>
      </w:pPr>
    </w:p>
    <w:p w:rsidR="00234C74" w:rsidRDefault="00234C74" w:rsidP="00234C74">
      <w:pPr>
        <w:autoSpaceDE w:val="0"/>
        <w:autoSpaceDN w:val="0"/>
        <w:adjustRightInd w:val="0"/>
        <w:spacing w:after="0" w:line="360" w:lineRule="auto"/>
        <w:jc w:val="center"/>
        <w:rPr>
          <w:rFonts w:ascii="Times New Roman" w:hAnsi="Times New Roman" w:cs="Times New Roman"/>
          <w:b/>
          <w:bCs/>
          <w:sz w:val="36"/>
          <w:szCs w:val="36"/>
        </w:rPr>
      </w:pPr>
      <m:oMathPara>
        <m:oMath>
          <m:r>
            <m:rPr>
              <m:sty m:val="bi"/>
            </m:rPr>
            <w:rPr>
              <w:rFonts w:ascii="Cambria Math" w:hAnsi="Cambria Math" w:cs="Cambria Math"/>
              <w:sz w:val="24"/>
              <w:szCs w:val="24"/>
            </w:rPr>
            <m:t>Fo(%)</m:t>
          </m:r>
          <m:r>
            <m:rPr>
              <m:sty m:val="b"/>
            </m:rPr>
            <w:rPr>
              <w:rFonts w:ascii="Cambria Math" w:hAnsi="Cambria Math" w:cs="Cambria Math"/>
              <w:sz w:val="24"/>
              <w:szCs w:val="24"/>
            </w:rPr>
            <m:t>=</m:t>
          </m:r>
          <m:f>
            <m:fPr>
              <m:ctrlPr>
                <w:rPr>
                  <w:rFonts w:ascii="Cambria Math" w:hAnsi="Cambria Math" w:cs="Times New Roman"/>
                  <w:b/>
                  <w:bCs/>
                  <w:sz w:val="24"/>
                  <w:szCs w:val="24"/>
                </w:rPr>
              </m:ctrlPr>
            </m:fPr>
            <m:num>
              <m:r>
                <m:rPr>
                  <m:sty m:val="b"/>
                </m:rPr>
                <w:rPr>
                  <w:rFonts w:ascii="Cambria Math" w:hAnsi="Cambria Math" w:cs="Cambria Math"/>
                  <w:sz w:val="24"/>
                  <w:szCs w:val="24"/>
                </w:rPr>
                <m:t>Pi x100</m:t>
              </m:r>
            </m:num>
            <m:den>
              <m:r>
                <m:rPr>
                  <m:sty m:val="b"/>
                </m:rPr>
                <w:rPr>
                  <w:rFonts w:ascii="Cambria Math" w:hAnsi="Cambria Math" w:cs="Cambria Math"/>
                  <w:sz w:val="24"/>
                  <w:szCs w:val="24"/>
                </w:rPr>
                <m:t>P</m:t>
              </m:r>
            </m:den>
          </m:f>
        </m:oMath>
      </m:oMathPara>
    </w:p>
    <w:p w:rsidR="00234C74" w:rsidRDefault="00234C74" w:rsidP="00234C74">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Fo%: Fréquence d’occurrence;</w:t>
      </w:r>
    </w:p>
    <w:p w:rsidR="00234C74" w:rsidRDefault="00234C74" w:rsidP="00234C74">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Pi: Nombre de relevés où se trouve l'espèce i;</w:t>
      </w:r>
    </w:p>
    <w:p w:rsidR="00234C74" w:rsidRDefault="00234C74" w:rsidP="00234C74">
      <w:pPr>
        <w:autoSpaceDE w:val="0"/>
        <w:autoSpaceDN w:val="0"/>
        <w:adjustRightInd w:val="0"/>
        <w:spacing w:after="0" w:line="360" w:lineRule="auto"/>
        <w:rPr>
          <w:rFonts w:ascii="Times New Roman" w:hAnsi="Times New Roman" w:cs="Times New Roman"/>
          <w:sz w:val="20"/>
          <w:szCs w:val="20"/>
        </w:rPr>
      </w:pPr>
      <w:r>
        <w:rPr>
          <w:rFonts w:ascii="Times New Roman" w:hAnsi="Times New Roman" w:cs="Times New Roman"/>
          <w:sz w:val="20"/>
          <w:szCs w:val="20"/>
        </w:rPr>
        <w:t>P: Nombre total de relevés effectués.</w:t>
      </w:r>
    </w:p>
    <w:p w:rsidR="00234C74" w:rsidRDefault="00234C74" w:rsidP="00234C74">
      <w:pPr>
        <w:autoSpaceDE w:val="0"/>
        <w:autoSpaceDN w:val="0"/>
        <w:adjustRightInd w:val="0"/>
        <w:spacing w:after="0" w:line="360" w:lineRule="auto"/>
        <w:rPr>
          <w:rFonts w:ascii="Times New Roman" w:hAnsi="Times New Roman" w:cs="Times New Roman"/>
          <w:sz w:val="20"/>
          <w:szCs w:val="20"/>
        </w:rPr>
      </w:pP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fonction de la valeur de Fo% on désigne les catégories suivantes:</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omniprésentes si Fo = 100 %;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constantes si 75 % ≤ Fo &lt; 100 %;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régulières si 50 % ≤ Fo &lt; 75 %;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accessoires si 25 % ≤ Fo &lt; 50 %;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accidentelles si 5 % ≤ Fo &lt; 25 %;</w:t>
      </w:r>
    </w:p>
    <w:p w:rsidR="00234C74" w:rsidRDefault="00234C74" w:rsidP="00234C7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Des espèces rares si Fo &lt; 5 %.</w:t>
      </w:r>
    </w:p>
    <w:p w:rsidR="00B460EB" w:rsidRDefault="00603B71" w:rsidP="00B460EB">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II.6</w:t>
      </w:r>
      <w:r w:rsidR="00B460EB" w:rsidRPr="00B460EB">
        <w:rPr>
          <w:rFonts w:ascii="Times New Roman" w:hAnsi="Times New Roman" w:cs="Times New Roman"/>
          <w:b/>
          <w:bCs/>
          <w:sz w:val="24"/>
          <w:szCs w:val="24"/>
        </w:rPr>
        <w:t>Indices écologiques de structure</w:t>
      </w:r>
    </w:p>
    <w:p w:rsidR="00B460EB" w:rsidRDefault="00B460EB" w:rsidP="00B460E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Les indices écologiques de structure employés pour l’exploitation des résultats sont les indices de diversité de Shannon-Weaver, la diversité maximale et l’équitabilité.</w:t>
      </w:r>
    </w:p>
    <w:p w:rsidR="00B460EB" w:rsidRDefault="00603B71" w:rsidP="00B460EB">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II.7</w:t>
      </w:r>
      <w:r w:rsidR="00B460EB" w:rsidRPr="00B460EB">
        <w:rPr>
          <w:rFonts w:ascii="Times New Roman" w:hAnsi="Times New Roman" w:cs="Times New Roman"/>
          <w:b/>
          <w:bCs/>
          <w:sz w:val="24"/>
          <w:szCs w:val="24"/>
        </w:rPr>
        <w:t xml:space="preserve">. Indices de diversité de Shannon-Weaver </w:t>
      </w:r>
    </w:p>
    <w:p w:rsidR="00B460EB" w:rsidRDefault="00B460EB" w:rsidP="00B460E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B460EB">
        <w:rPr>
          <w:rFonts w:ascii="Times New Roman" w:hAnsi="Times New Roman" w:cs="Times New Roman"/>
          <w:b/>
          <w:bCs/>
          <w:sz w:val="24"/>
          <w:szCs w:val="24"/>
        </w:rPr>
        <w:t xml:space="preserve"> </w:t>
      </w:r>
      <w:r>
        <w:rPr>
          <w:rFonts w:ascii="Times New Roman" w:hAnsi="Times New Roman" w:cs="Times New Roman"/>
          <w:sz w:val="24"/>
          <w:szCs w:val="24"/>
        </w:rPr>
        <w:t>Selon RAMADE (1984), il s’avère nécessaire de combiner l’abondance relative des espèces et la richesse totale à fin d’obtenir une expression mathématique de l’indice général de la diversité de Shannon- Weaver. Elle est donnée par la formule suivante :</w:t>
      </w:r>
    </w:p>
    <w:p w:rsidR="00B460EB" w:rsidRDefault="00B460EB" w:rsidP="00B460EB">
      <w:pPr>
        <w:autoSpaceDE w:val="0"/>
        <w:autoSpaceDN w:val="0"/>
        <w:adjustRightInd w:val="0"/>
        <w:spacing w:after="0" w:line="360" w:lineRule="auto"/>
        <w:jc w:val="both"/>
        <w:rPr>
          <w:rFonts w:ascii="Times New Roman" w:hAnsi="Times New Roman" w:cs="Times New Roman"/>
          <w:sz w:val="24"/>
          <w:szCs w:val="24"/>
        </w:rPr>
      </w:pPr>
    </w:p>
    <w:p w:rsidR="00B460EB" w:rsidRDefault="00B460EB" w:rsidP="00B460EB">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Pr="000865DF">
        <w:rPr>
          <w:rFonts w:ascii="Times New Roman" w:hAnsi="Times New Roman" w:cs="Times New Roman"/>
          <w:b/>
          <w:bCs/>
          <w:sz w:val="24"/>
          <w:szCs w:val="24"/>
        </w:rPr>
        <w:t xml:space="preserve"> H</w:t>
      </w:r>
      <w:r w:rsidRPr="000865DF">
        <w:rPr>
          <w:rFonts w:ascii="Symbol" w:hAnsi="Symbol" w:cs="Symbol"/>
          <w:b/>
          <w:bCs/>
          <w:sz w:val="24"/>
          <w:szCs w:val="24"/>
        </w:rPr>
        <w:t></w:t>
      </w:r>
      <w:r w:rsidRPr="000865DF">
        <w:rPr>
          <w:rFonts w:ascii="Symbol" w:hAnsi="Symbol" w:cs="Symbol"/>
          <w:b/>
          <w:bCs/>
          <w:sz w:val="24"/>
          <w:szCs w:val="24"/>
        </w:rPr>
        <w:t></w:t>
      </w:r>
      <w:r w:rsidRPr="000865DF">
        <w:rPr>
          <w:rFonts w:ascii="Symbol" w:hAnsi="Symbol" w:cs="Symbol"/>
          <w:b/>
          <w:bCs/>
          <w:sz w:val="24"/>
          <w:szCs w:val="24"/>
        </w:rPr>
        <w:t></w:t>
      </w:r>
      <w:r w:rsidRPr="000865DF">
        <w:rPr>
          <w:rFonts w:ascii="Symbol" w:hAnsi="Symbol" w:cs="Symbol"/>
          <w:b/>
          <w:bCs/>
          <w:sz w:val="24"/>
          <w:szCs w:val="24"/>
        </w:rPr>
        <w:t></w:t>
      </w:r>
      <w:r w:rsidRPr="000865DF">
        <w:rPr>
          <w:rFonts w:ascii="Symbol" w:hAnsi="Symbol" w:cs="Symbol"/>
          <w:b/>
          <w:bCs/>
          <w:sz w:val="24"/>
          <w:szCs w:val="24"/>
        </w:rPr>
        <w:t></w:t>
      </w:r>
      <w:r w:rsidRPr="000865DF">
        <w:rPr>
          <w:rFonts w:ascii="Symbol" w:hAnsi="Symbol" w:cs="Symbol"/>
          <w:b/>
          <w:bCs/>
          <w:sz w:val="36"/>
          <w:szCs w:val="36"/>
        </w:rPr>
        <w:t></w:t>
      </w:r>
      <w:r w:rsidRPr="000865DF">
        <w:rPr>
          <w:rFonts w:ascii="Times New Roman" w:hAnsi="Times New Roman" w:cs="Times New Roman"/>
          <w:b/>
          <w:bCs/>
          <w:sz w:val="24"/>
          <w:szCs w:val="24"/>
        </w:rPr>
        <w:t>qi log qi</w:t>
      </w:r>
    </w:p>
    <w:p w:rsidR="000865DF" w:rsidRDefault="000865DF" w:rsidP="000865DF">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sz w:val="24"/>
          <w:szCs w:val="24"/>
        </w:rPr>
        <w:t xml:space="preserve">Où ; </w:t>
      </w:r>
      <w:r w:rsidRPr="000865DF">
        <w:rPr>
          <w:rFonts w:ascii="Times New Roman" w:hAnsi="Times New Roman" w:cs="Times New Roman"/>
          <w:b/>
          <w:bCs/>
          <w:sz w:val="24"/>
          <w:szCs w:val="24"/>
        </w:rPr>
        <w:t>qi = ni/N</w:t>
      </w:r>
    </w:p>
    <w:p w:rsidR="000865DF" w:rsidRDefault="000865DF" w:rsidP="000865DF">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H': Indice de diversité de Shannon Weaver;</w:t>
      </w:r>
    </w:p>
    <w:p w:rsidR="000865DF" w:rsidRDefault="000865DF" w:rsidP="000865DF">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q i: Probabilité de rencontre de l’espèce i,</w:t>
      </w:r>
    </w:p>
    <w:p w:rsidR="000865DF" w:rsidRDefault="000865DF" w:rsidP="000865DF">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i: Nombre des individus de l’espèce i;</w:t>
      </w:r>
    </w:p>
    <w:p w:rsidR="000865DF" w:rsidRDefault="000865DF" w:rsidP="000865DF">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sz w:val="20"/>
          <w:szCs w:val="20"/>
        </w:rPr>
        <w:t>N: Nombre total des individus de toutes espèces confondues.</w:t>
      </w:r>
    </w:p>
    <w:p w:rsidR="000865DF" w:rsidRDefault="000865DF" w:rsidP="000865DF">
      <w:pPr>
        <w:autoSpaceDE w:val="0"/>
        <w:autoSpaceDN w:val="0"/>
        <w:adjustRightInd w:val="0"/>
        <w:spacing w:after="0" w:line="360" w:lineRule="auto"/>
        <w:jc w:val="both"/>
        <w:rPr>
          <w:rFonts w:ascii="Times New Roman" w:hAnsi="Times New Roman" w:cs="Times New Roman"/>
          <w:sz w:val="20"/>
          <w:szCs w:val="20"/>
        </w:rPr>
      </w:pPr>
    </w:p>
    <w:p w:rsidR="000865DF" w:rsidRDefault="00603B71" w:rsidP="000865DF">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II.8</w:t>
      </w:r>
      <w:r w:rsidR="000865DF">
        <w:rPr>
          <w:rFonts w:ascii="Times New Roman" w:hAnsi="Times New Roman" w:cs="Times New Roman"/>
          <w:b/>
          <w:bCs/>
          <w:sz w:val="24"/>
          <w:szCs w:val="24"/>
        </w:rPr>
        <w:t>.Indice de diversité maximale (H max)</w:t>
      </w:r>
    </w:p>
    <w:p w:rsidR="000865DF" w:rsidRDefault="000865DF" w:rsidP="000865D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 diversité maximale est représentée par H’max. Elle correspond à la valeur la plus élevée possible du peuplement. Elle est calculée par la formule suivante :</w:t>
      </w:r>
    </w:p>
    <w:p w:rsidR="003F060A" w:rsidRDefault="003F060A" w:rsidP="000865DF">
      <w:pPr>
        <w:autoSpaceDE w:val="0"/>
        <w:autoSpaceDN w:val="0"/>
        <w:adjustRightInd w:val="0"/>
        <w:spacing w:after="0" w:line="360" w:lineRule="auto"/>
        <w:jc w:val="both"/>
        <w:rPr>
          <w:rFonts w:ascii="Times New Roman" w:hAnsi="Times New Roman" w:cs="Times New Roman"/>
          <w:sz w:val="24"/>
          <w:szCs w:val="24"/>
        </w:rPr>
      </w:pPr>
    </w:p>
    <w:p w:rsidR="000865DF" w:rsidRDefault="000865DF" w:rsidP="000865DF">
      <w:pPr>
        <w:autoSpaceDE w:val="0"/>
        <w:autoSpaceDN w:val="0"/>
        <w:adjustRightInd w:val="0"/>
        <w:spacing w:after="0" w:line="360" w:lineRule="auto"/>
        <w:jc w:val="center"/>
        <w:rPr>
          <w:rFonts w:ascii="Times New Roman" w:hAnsi="Times New Roman" w:cs="Times New Roman"/>
          <w:b/>
          <w:bCs/>
          <w:sz w:val="24"/>
          <w:szCs w:val="24"/>
        </w:rPr>
      </w:pPr>
      <w:r w:rsidRPr="000865DF">
        <w:rPr>
          <w:rFonts w:ascii="Times New Roman" w:hAnsi="Times New Roman" w:cs="Times New Roman"/>
          <w:b/>
          <w:bCs/>
          <w:sz w:val="24"/>
          <w:szCs w:val="24"/>
        </w:rPr>
        <w:t>H</w:t>
      </w:r>
      <w:r w:rsidRPr="000865DF">
        <w:rPr>
          <w:rFonts w:ascii="Symbol" w:hAnsi="Symbol" w:cs="Symbol"/>
          <w:b/>
          <w:bCs/>
          <w:sz w:val="24"/>
          <w:szCs w:val="24"/>
        </w:rPr>
        <w:t></w:t>
      </w:r>
      <w:r w:rsidRPr="000865DF">
        <w:rPr>
          <w:rFonts w:ascii="Times New Roman" w:hAnsi="Times New Roman" w:cs="Times New Roman"/>
          <w:b/>
          <w:bCs/>
          <w:sz w:val="24"/>
          <w:szCs w:val="24"/>
        </w:rPr>
        <w:t>max = Log</w:t>
      </w:r>
      <w:r w:rsidRPr="000865DF">
        <w:rPr>
          <w:rFonts w:ascii="Times New Roman" w:hAnsi="Times New Roman" w:cs="Times New Roman"/>
          <w:b/>
          <w:bCs/>
          <w:sz w:val="16"/>
          <w:szCs w:val="16"/>
        </w:rPr>
        <w:t xml:space="preserve">2 </w:t>
      </w:r>
      <w:r w:rsidRPr="000865DF">
        <w:rPr>
          <w:rFonts w:ascii="Times New Roman" w:hAnsi="Times New Roman" w:cs="Times New Roman"/>
          <w:b/>
          <w:bCs/>
          <w:sz w:val="24"/>
          <w:szCs w:val="24"/>
        </w:rPr>
        <w:t>S</w:t>
      </w:r>
    </w:p>
    <w:p w:rsidR="000865DF" w:rsidRDefault="000865DF" w:rsidP="000865DF">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H</w:t>
      </w:r>
      <w:r>
        <w:rPr>
          <w:rFonts w:ascii="Symbol" w:hAnsi="Symbol" w:cs="Symbol"/>
          <w:sz w:val="20"/>
          <w:szCs w:val="20"/>
        </w:rPr>
        <w:t></w:t>
      </w:r>
      <w:r>
        <w:rPr>
          <w:rFonts w:ascii="Times New Roman" w:hAnsi="Times New Roman" w:cs="Times New Roman"/>
          <w:sz w:val="20"/>
          <w:szCs w:val="20"/>
        </w:rPr>
        <w:t>max: Diversité maximale;</w:t>
      </w:r>
    </w:p>
    <w:p w:rsidR="000865DF" w:rsidRDefault="000865DF" w:rsidP="000865DF">
      <w:pPr>
        <w:autoSpaceDE w:val="0"/>
        <w:autoSpaceDN w:val="0"/>
        <w:adjustRightInd w:val="0"/>
        <w:spacing w:after="0" w:line="360" w:lineRule="auto"/>
        <w:rPr>
          <w:rFonts w:ascii="Times New Roman" w:hAnsi="Times New Roman" w:cs="Times New Roman"/>
          <w:sz w:val="20"/>
          <w:szCs w:val="20"/>
        </w:rPr>
      </w:pPr>
      <w:r>
        <w:rPr>
          <w:rFonts w:ascii="Times New Roman" w:hAnsi="Times New Roman" w:cs="Times New Roman"/>
          <w:sz w:val="20"/>
          <w:szCs w:val="20"/>
        </w:rPr>
        <w:t>S: Richesse totale.</w:t>
      </w:r>
    </w:p>
    <w:p w:rsidR="003F060A" w:rsidRDefault="003F060A" w:rsidP="003F060A">
      <w:pPr>
        <w:autoSpaceDE w:val="0"/>
        <w:autoSpaceDN w:val="0"/>
        <w:adjustRightInd w:val="0"/>
        <w:spacing w:after="0" w:line="360" w:lineRule="auto"/>
        <w:rPr>
          <w:rFonts w:ascii="Times New Roman" w:hAnsi="Times New Roman" w:cs="Times New Roman"/>
          <w:b/>
          <w:bCs/>
          <w:sz w:val="24"/>
          <w:szCs w:val="24"/>
        </w:rPr>
      </w:pPr>
    </w:p>
    <w:p w:rsidR="0047088C" w:rsidRDefault="0047088C" w:rsidP="003F060A">
      <w:pPr>
        <w:autoSpaceDE w:val="0"/>
        <w:autoSpaceDN w:val="0"/>
        <w:adjustRightInd w:val="0"/>
        <w:spacing w:after="0" w:line="360" w:lineRule="auto"/>
        <w:rPr>
          <w:rFonts w:ascii="Times New Roman" w:hAnsi="Times New Roman" w:cs="Times New Roman"/>
          <w:b/>
          <w:bCs/>
          <w:sz w:val="24"/>
          <w:szCs w:val="24"/>
        </w:rPr>
      </w:pPr>
    </w:p>
    <w:p w:rsidR="003F060A" w:rsidRDefault="00603B71" w:rsidP="003F060A">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II.9</w:t>
      </w:r>
      <w:r w:rsidR="000865DF">
        <w:rPr>
          <w:rFonts w:ascii="Times New Roman" w:hAnsi="Times New Roman" w:cs="Times New Roman"/>
          <w:b/>
          <w:bCs/>
          <w:sz w:val="24"/>
          <w:szCs w:val="24"/>
        </w:rPr>
        <w:t>. Equitabilité (E)</w:t>
      </w:r>
    </w:p>
    <w:p w:rsidR="00C273C2" w:rsidRPr="003F060A" w:rsidRDefault="00C273C2" w:rsidP="008F77C2">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b/>
          <w:bCs/>
          <w:sz w:val="24"/>
          <w:szCs w:val="24"/>
        </w:rPr>
        <w:t xml:space="preserve">     </w:t>
      </w:r>
      <w:r>
        <w:rPr>
          <w:rFonts w:ascii="Times New Roman" w:hAnsi="Times New Roman" w:cs="Times New Roman"/>
          <w:sz w:val="24"/>
          <w:szCs w:val="24"/>
        </w:rPr>
        <w:t>Selon RAMADE (2003), l’</w:t>
      </w:r>
      <w:r w:rsidR="008F77C2">
        <w:rPr>
          <w:rFonts w:ascii="Times New Roman" w:hAnsi="Times New Roman" w:cs="Times New Roman"/>
          <w:sz w:val="24"/>
          <w:szCs w:val="24"/>
        </w:rPr>
        <w:t>é</w:t>
      </w:r>
      <w:r>
        <w:rPr>
          <w:rFonts w:ascii="Times New Roman" w:hAnsi="Times New Roman" w:cs="Times New Roman"/>
          <w:sz w:val="24"/>
          <w:szCs w:val="24"/>
        </w:rPr>
        <w:t>quitabilité est le rapport entre la diversité effective de la communauté et sa diversité maximale théorique. Elle est présentée par la formule suivante:</w:t>
      </w:r>
    </w:p>
    <w:p w:rsidR="00C273C2" w:rsidRDefault="00C273C2" w:rsidP="00C273C2">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0047088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C273C2">
        <w:rPr>
          <w:rFonts w:ascii="Times New Roman" w:hAnsi="Times New Roman" w:cs="Times New Roman"/>
          <w:b/>
          <w:bCs/>
          <w:sz w:val="24"/>
          <w:szCs w:val="24"/>
        </w:rPr>
        <w:t>E= H’/H’max</w:t>
      </w:r>
      <w:r w:rsidRPr="00C273C2">
        <w:rPr>
          <w:rFonts w:ascii="Times New Roman" w:hAnsi="Times New Roman" w:cs="Times New Roman"/>
          <w:b/>
          <w:bCs/>
          <w:sz w:val="24"/>
          <w:szCs w:val="24"/>
        </w:rPr>
        <w:tab/>
      </w:r>
    </w:p>
    <w:p w:rsidR="00C273C2" w:rsidRDefault="00C273C2" w:rsidP="00C273C2">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E: Equitabilité;</w:t>
      </w:r>
    </w:p>
    <w:p w:rsidR="00C273C2" w:rsidRDefault="00C273C2" w:rsidP="00C273C2">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sz w:val="20"/>
          <w:szCs w:val="20"/>
        </w:rPr>
        <w:t>H’: Indice de Shannon-Weaver ;</w:t>
      </w:r>
    </w:p>
    <w:p w:rsidR="00C273C2" w:rsidRDefault="00C273C2" w:rsidP="00C273C2">
      <w:pPr>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sz w:val="20"/>
          <w:szCs w:val="20"/>
        </w:rPr>
        <w:t>H</w:t>
      </w:r>
      <w:r>
        <w:rPr>
          <w:rFonts w:ascii="Symbol" w:hAnsi="Symbol" w:cs="Symbol"/>
          <w:sz w:val="20"/>
          <w:szCs w:val="20"/>
        </w:rPr>
        <w:t></w:t>
      </w:r>
      <w:r>
        <w:rPr>
          <w:rFonts w:ascii="Times New Roman" w:hAnsi="Times New Roman" w:cs="Times New Roman"/>
          <w:sz w:val="20"/>
          <w:szCs w:val="20"/>
        </w:rPr>
        <w:t>max: Diversité maximale.</w:t>
      </w:r>
    </w:p>
    <w:p w:rsidR="00C273C2" w:rsidRDefault="003D0E01" w:rsidP="003D0E01">
      <w:pPr>
        <w:tabs>
          <w:tab w:val="left" w:pos="1425"/>
        </w:tabs>
        <w:autoSpaceDE w:val="0"/>
        <w:autoSpaceDN w:val="0"/>
        <w:adjustRightInd w:val="0"/>
        <w:spacing w:after="0" w:line="360" w:lineRule="auto"/>
        <w:jc w:val="both"/>
        <w:rPr>
          <w:rFonts w:ascii="Times New Roman" w:hAnsi="Times New Roman" w:cs="Times New Roman"/>
          <w:sz w:val="20"/>
          <w:szCs w:val="20"/>
        </w:rPr>
      </w:pPr>
      <w:r>
        <w:rPr>
          <w:rFonts w:ascii="Times New Roman" w:hAnsi="Times New Roman" w:cs="Times New Roman"/>
          <w:sz w:val="20"/>
          <w:szCs w:val="20"/>
        </w:rPr>
        <w:tab/>
      </w:r>
    </w:p>
    <w:p w:rsidR="00C273C2" w:rsidRPr="00C273C2" w:rsidRDefault="00C273C2" w:rsidP="00C273C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L’équitabilité</w:t>
      </w:r>
      <w:r w:rsidR="009A7891">
        <w:rPr>
          <w:rFonts w:ascii="Times New Roman" w:hAnsi="Times New Roman" w:cs="Times New Roman"/>
          <w:sz w:val="24"/>
          <w:szCs w:val="24"/>
        </w:rPr>
        <w:t xml:space="preserve"> varie</w:t>
      </w:r>
      <w:r>
        <w:rPr>
          <w:rFonts w:ascii="Times New Roman" w:hAnsi="Times New Roman" w:cs="Times New Roman"/>
          <w:sz w:val="24"/>
          <w:szCs w:val="24"/>
        </w:rPr>
        <w:t xml:space="preserve"> entre 0 et 1, elle tend vers 0 quand la quasi-totalité des effectifs correspond à une seule espèce du peuplement et tend vers 1 lorsque chacune des espèces est représentée par un nombre semblable d’individus.</w:t>
      </w:r>
    </w:p>
    <w:sectPr w:rsidR="00C273C2" w:rsidRPr="00C273C2" w:rsidSect="005472E0">
      <w:headerReference w:type="default" r:id="rId8"/>
      <w:footerReference w:type="default" r:id="rId9"/>
      <w:pgSz w:w="11906" w:h="16838"/>
      <w:pgMar w:top="1440" w:right="1800" w:bottom="1440" w:left="1800" w:header="708" w:footer="708" w:gutter="0"/>
      <w:pgNumType w:start="5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30F7" w:rsidRDefault="00CA30F7" w:rsidP="0047088C">
      <w:pPr>
        <w:spacing w:after="0" w:line="240" w:lineRule="auto"/>
      </w:pPr>
      <w:r>
        <w:separator/>
      </w:r>
    </w:p>
  </w:endnote>
  <w:endnote w:type="continuationSeparator" w:id="0">
    <w:p w:rsidR="00CA30F7" w:rsidRDefault="00CA30F7" w:rsidP="00470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 New Roman,Bold">
    <w:altName w:val="Times New Roman"/>
    <w:panose1 w:val="00000000000000000000"/>
    <w:charset w:val="B2"/>
    <w:family w:val="auto"/>
    <w:notTrueType/>
    <w:pitch w:val="default"/>
    <w:sig w:usb0="00002000"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23354"/>
      <w:docPartObj>
        <w:docPartGallery w:val="Page Numbers (Bottom of Page)"/>
        <w:docPartUnique/>
      </w:docPartObj>
    </w:sdtPr>
    <w:sdtEndPr/>
    <w:sdtContent>
      <w:p w:rsidR="0047088C" w:rsidRDefault="005472E0">
        <w:pPr>
          <w:pStyle w:val="a5"/>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4097" type="#_x0000_t65" style="position:absolute;margin-left:0;margin-top:664.5pt;width:35.75pt;height:28.1pt;z-index:251660288;mso-top-percent:70;mso-position-horizontal:left;mso-position-horizontal-relative:right-margin-area;mso-position-vertical-relative:bottom-margin-area;mso-top-percent:70" o:allowincell="f" adj="14135" strokecolor="gray [1629]" strokeweight=".25pt">
              <v:textbox style="mso-next-textbox:#_x0000_s4097">
                <w:txbxContent>
                  <w:p w:rsidR="0047088C" w:rsidRPr="0047088C" w:rsidRDefault="00D54CDF">
                    <w:pPr>
                      <w:jc w:val="center"/>
                      <w:rPr>
                        <w:rFonts w:asciiTheme="majorBidi" w:hAnsiTheme="majorBidi" w:cstheme="majorBidi"/>
                        <w:b/>
                        <w:bCs/>
                        <w:sz w:val="24"/>
                        <w:szCs w:val="24"/>
                      </w:rPr>
                    </w:pPr>
                    <w:r w:rsidRPr="0047088C">
                      <w:rPr>
                        <w:rFonts w:asciiTheme="majorBidi" w:hAnsiTheme="majorBidi" w:cstheme="majorBidi"/>
                        <w:b/>
                        <w:bCs/>
                        <w:sz w:val="24"/>
                        <w:szCs w:val="24"/>
                      </w:rPr>
                      <w:fldChar w:fldCharType="begin"/>
                    </w:r>
                    <w:r w:rsidR="0047088C" w:rsidRPr="0047088C">
                      <w:rPr>
                        <w:rFonts w:asciiTheme="majorBidi" w:hAnsiTheme="majorBidi" w:cstheme="majorBidi"/>
                        <w:b/>
                        <w:bCs/>
                        <w:sz w:val="24"/>
                        <w:szCs w:val="24"/>
                      </w:rPr>
                      <w:instrText xml:space="preserve"> PAGE    \* MERGEFORMAT </w:instrText>
                    </w:r>
                    <w:r w:rsidRPr="0047088C">
                      <w:rPr>
                        <w:rFonts w:asciiTheme="majorBidi" w:hAnsiTheme="majorBidi" w:cstheme="majorBidi"/>
                        <w:b/>
                        <w:bCs/>
                        <w:sz w:val="24"/>
                        <w:szCs w:val="24"/>
                      </w:rPr>
                      <w:fldChar w:fldCharType="separate"/>
                    </w:r>
                    <w:r w:rsidR="005472E0">
                      <w:rPr>
                        <w:rFonts w:asciiTheme="majorBidi" w:hAnsiTheme="majorBidi" w:cstheme="majorBidi"/>
                        <w:b/>
                        <w:bCs/>
                        <w:noProof/>
                        <w:sz w:val="24"/>
                        <w:szCs w:val="24"/>
                      </w:rPr>
                      <w:t>53</w:t>
                    </w:r>
                    <w:r w:rsidRPr="0047088C">
                      <w:rPr>
                        <w:rFonts w:asciiTheme="majorBidi" w:hAnsiTheme="majorBidi" w:cstheme="majorBidi"/>
                        <w:b/>
                        <w:bCs/>
                        <w:sz w:val="24"/>
                        <w:szCs w:val="24"/>
                      </w:rPr>
                      <w:fldChar w:fldCharType="end"/>
                    </w:r>
                  </w:p>
                </w:txbxContent>
              </v:textbox>
              <w10:wrap anchorx="page"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30F7" w:rsidRDefault="00CA30F7" w:rsidP="0047088C">
      <w:pPr>
        <w:spacing w:after="0" w:line="240" w:lineRule="auto"/>
      </w:pPr>
      <w:r>
        <w:separator/>
      </w:r>
    </w:p>
  </w:footnote>
  <w:footnote w:type="continuationSeparator" w:id="0">
    <w:p w:rsidR="00CA30F7" w:rsidRDefault="00CA30F7" w:rsidP="004708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4"/>
        <w:szCs w:val="24"/>
      </w:rPr>
      <w:alias w:val="Titre"/>
      <w:id w:val="77738743"/>
      <w:placeholder>
        <w:docPart w:val="456CCCD183E342E7B513799A00686ECA"/>
      </w:placeholder>
      <w:dataBinding w:prefixMappings="xmlns:ns0='http://schemas.openxmlformats.org/package/2006/metadata/core-properties' xmlns:ns1='http://purl.org/dc/elements/1.1/'" w:xpath="/ns0:coreProperties[1]/ns1:title[1]" w:storeItemID="{6C3C8BC8-F283-45AE-878A-BAB7291924A1}"/>
      <w:text/>
    </w:sdtPr>
    <w:sdtEndPr/>
    <w:sdtContent>
      <w:p w:rsidR="0047088C" w:rsidRPr="0047088C" w:rsidRDefault="0047088C" w:rsidP="0047088C">
        <w:pPr>
          <w:pStyle w:val="a4"/>
          <w:pBdr>
            <w:bottom w:val="thickThinSmallGap" w:sz="24" w:space="1" w:color="622423" w:themeColor="accent2" w:themeShade="7F"/>
          </w:pBdr>
          <w:jc w:val="center"/>
          <w:rPr>
            <w:rFonts w:asciiTheme="majorBidi" w:eastAsiaTheme="majorEastAsia" w:hAnsiTheme="majorBidi" w:cstheme="majorBidi"/>
            <w:b/>
            <w:bCs/>
            <w:sz w:val="24"/>
            <w:szCs w:val="24"/>
          </w:rPr>
        </w:pPr>
        <w:r w:rsidRPr="0047088C">
          <w:rPr>
            <w:rFonts w:asciiTheme="majorBidi" w:eastAsiaTheme="majorEastAsia" w:hAnsiTheme="majorBidi" w:cstheme="majorBidi"/>
            <w:b/>
            <w:bCs/>
            <w:sz w:val="24"/>
            <w:szCs w:val="24"/>
          </w:rPr>
          <w:t xml:space="preserve">Partie expérimentale </w:t>
        </w:r>
        <w:r>
          <w:rPr>
            <w:rFonts w:asciiTheme="majorBidi" w:eastAsiaTheme="majorEastAsia" w:hAnsiTheme="majorBidi" w:cstheme="majorBidi"/>
            <w:b/>
            <w:bCs/>
            <w:sz w:val="24"/>
            <w:szCs w:val="24"/>
          </w:rPr>
          <w:t xml:space="preserve">                                          </w:t>
        </w:r>
        <w:r w:rsidRPr="0047088C">
          <w:rPr>
            <w:rFonts w:asciiTheme="majorBidi" w:eastAsiaTheme="majorEastAsia" w:hAnsiTheme="majorBidi" w:cstheme="majorBidi"/>
            <w:b/>
            <w:bCs/>
            <w:sz w:val="24"/>
            <w:szCs w:val="24"/>
          </w:rPr>
          <w:t>Chapitre II :</w:t>
        </w:r>
        <w:r>
          <w:rPr>
            <w:rFonts w:asciiTheme="majorBidi" w:eastAsiaTheme="majorEastAsia" w:hAnsiTheme="majorBidi" w:cstheme="majorBidi"/>
            <w:b/>
            <w:bCs/>
            <w:sz w:val="24"/>
            <w:szCs w:val="24"/>
          </w:rPr>
          <w:t xml:space="preserve"> </w:t>
        </w:r>
        <w:r w:rsidRPr="0047088C">
          <w:rPr>
            <w:rFonts w:asciiTheme="majorBidi" w:eastAsiaTheme="majorEastAsia" w:hAnsiTheme="majorBidi" w:cstheme="majorBidi"/>
            <w:b/>
            <w:bCs/>
            <w:sz w:val="24"/>
            <w:szCs w:val="24"/>
          </w:rPr>
          <w:t>Matériel es méthodes</w:t>
        </w:r>
      </w:p>
    </w:sdtContent>
  </w:sdt>
  <w:p w:rsidR="0047088C" w:rsidRDefault="0047088C">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hdrShapeDefaults>
    <o:shapedefaults v:ext="edit" spidmax="4099"/>
    <o:shapelayout v:ext="edit">
      <o:idmap v:ext="edit" data="4"/>
    </o:shapelayout>
  </w:hdrShapeDefaults>
  <w:footnotePr>
    <w:footnote w:id="-1"/>
    <w:footnote w:id="0"/>
  </w:footnotePr>
  <w:endnotePr>
    <w:endnote w:id="-1"/>
    <w:endnote w:id="0"/>
  </w:endnotePr>
  <w:compat>
    <w:useFELayout/>
    <w:compatSetting w:name="compatibilityMode" w:uri="http://schemas.microsoft.com/office/word" w:val="12"/>
  </w:compat>
  <w:rsids>
    <w:rsidRoot w:val="006D49DD"/>
    <w:rsid w:val="00000934"/>
    <w:rsid w:val="000865DF"/>
    <w:rsid w:val="000D6771"/>
    <w:rsid w:val="001033D8"/>
    <w:rsid w:val="001633C7"/>
    <w:rsid w:val="0017741C"/>
    <w:rsid w:val="00234C74"/>
    <w:rsid w:val="002B0336"/>
    <w:rsid w:val="00327AC7"/>
    <w:rsid w:val="003D0E01"/>
    <w:rsid w:val="003E071D"/>
    <w:rsid w:val="003F060A"/>
    <w:rsid w:val="00402532"/>
    <w:rsid w:val="00427020"/>
    <w:rsid w:val="00436AC9"/>
    <w:rsid w:val="0047088C"/>
    <w:rsid w:val="004F0C25"/>
    <w:rsid w:val="005472E0"/>
    <w:rsid w:val="00603B71"/>
    <w:rsid w:val="006D49DD"/>
    <w:rsid w:val="007D0533"/>
    <w:rsid w:val="007F392C"/>
    <w:rsid w:val="0088355B"/>
    <w:rsid w:val="008B2D25"/>
    <w:rsid w:val="008F77C2"/>
    <w:rsid w:val="0098110B"/>
    <w:rsid w:val="009A7891"/>
    <w:rsid w:val="009C32A2"/>
    <w:rsid w:val="00B460EB"/>
    <w:rsid w:val="00C273C2"/>
    <w:rsid w:val="00CA30F7"/>
    <w:rsid w:val="00D54CDF"/>
    <w:rsid w:val="00DD32FF"/>
    <w:rsid w:val="00E43BE1"/>
    <w:rsid w:val="00FD115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93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9C32A2"/>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9C32A2"/>
    <w:rPr>
      <w:rFonts w:ascii="Tahoma" w:hAnsi="Tahoma" w:cs="Tahoma"/>
      <w:sz w:val="16"/>
      <w:szCs w:val="16"/>
    </w:rPr>
  </w:style>
  <w:style w:type="paragraph" w:styleId="a4">
    <w:name w:val="header"/>
    <w:basedOn w:val="a"/>
    <w:link w:val="Char0"/>
    <w:uiPriority w:val="99"/>
    <w:unhideWhenUsed/>
    <w:rsid w:val="0047088C"/>
    <w:pPr>
      <w:tabs>
        <w:tab w:val="center" w:pos="4153"/>
        <w:tab w:val="right" w:pos="8306"/>
      </w:tabs>
      <w:spacing w:after="0" w:line="240" w:lineRule="auto"/>
    </w:pPr>
  </w:style>
  <w:style w:type="character" w:customStyle="1" w:styleId="Char0">
    <w:name w:val="رأس الصفحة Char"/>
    <w:basedOn w:val="a0"/>
    <w:link w:val="a4"/>
    <w:uiPriority w:val="99"/>
    <w:rsid w:val="0047088C"/>
  </w:style>
  <w:style w:type="paragraph" w:styleId="a5">
    <w:name w:val="footer"/>
    <w:basedOn w:val="a"/>
    <w:link w:val="Char1"/>
    <w:uiPriority w:val="99"/>
    <w:semiHidden/>
    <w:unhideWhenUsed/>
    <w:rsid w:val="0047088C"/>
    <w:pPr>
      <w:tabs>
        <w:tab w:val="center" w:pos="4153"/>
        <w:tab w:val="right" w:pos="8306"/>
      </w:tabs>
      <w:spacing w:after="0" w:line="240" w:lineRule="auto"/>
    </w:pPr>
  </w:style>
  <w:style w:type="character" w:customStyle="1" w:styleId="Char1">
    <w:name w:val="تذييل الصفحة Char"/>
    <w:basedOn w:val="a0"/>
    <w:link w:val="a5"/>
    <w:uiPriority w:val="99"/>
    <w:semiHidden/>
    <w:rsid w:val="0047088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56CCCD183E342E7B513799A00686ECA"/>
        <w:category>
          <w:name w:val="Général"/>
          <w:gallery w:val="placeholder"/>
        </w:category>
        <w:types>
          <w:type w:val="bbPlcHdr"/>
        </w:types>
        <w:behaviors>
          <w:behavior w:val="content"/>
        </w:behaviors>
        <w:guid w:val="{999B31D5-240D-49E3-B916-FE8275BD4DAD}"/>
      </w:docPartPr>
      <w:docPartBody>
        <w:p w:rsidR="009D2121" w:rsidRDefault="00094651" w:rsidP="00094651">
          <w:pPr>
            <w:pStyle w:val="456CCCD183E342E7B513799A00686ECA"/>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 New Roman,Bold">
    <w:altName w:val="Times New Roman"/>
    <w:panose1 w:val="00000000000000000000"/>
    <w:charset w:val="B2"/>
    <w:family w:val="auto"/>
    <w:notTrueType/>
    <w:pitch w:val="default"/>
    <w:sig w:usb0="00002000"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094651"/>
    <w:rsid w:val="00094651"/>
    <w:rsid w:val="002D5B82"/>
    <w:rsid w:val="009D2121"/>
    <w:rsid w:val="00D21C95"/>
    <w:rsid w:val="00E81B5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212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56CCCD183E342E7B513799A00686ECA">
    <w:name w:val="456CCCD183E342E7B513799A00686ECA"/>
    <w:rsid w:val="00094651"/>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180</TotalTime>
  <Pages>5</Pages>
  <Words>1119</Words>
  <Characters>6381</Characters>
  <Application>Microsoft Office Word</Application>
  <DocSecurity>0</DocSecurity>
  <Lines>53</Lines>
  <Paragraphs>14</Paragraphs>
  <ScaleCrop>false</ScaleCrop>
  <HeadingPairs>
    <vt:vector size="2" baseType="variant">
      <vt:variant>
        <vt:lpstr>Titre</vt:lpstr>
      </vt:variant>
      <vt:variant>
        <vt:i4>1</vt:i4>
      </vt:variant>
    </vt:vector>
  </HeadingPairs>
  <TitlesOfParts>
    <vt:vector size="1" baseType="lpstr">
      <vt:lpstr>Partie expérimentale                                           Chapitre II : Matériel es méthodes</vt:lpstr>
    </vt:vector>
  </TitlesOfParts>
  <Company/>
  <LinksUpToDate>false</LinksUpToDate>
  <CharactersWithSpaces>7486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Partie expérimentale                                           Chapitre II : Matériel es méthodes</dc:title>
  <dc:subject/>
  <dc:creator>yaak</dc:creator>
  <cp:keywords/>
  <dc:description/>
  <cp:lastModifiedBy>PC</cp:lastModifiedBy>
  <cp:revision>16</cp:revision>
  <dcterms:created xsi:type="dcterms:W3CDTF">2017-09-12T16:23:00Z</dcterms:created>
  <dcterms:modified xsi:type="dcterms:W3CDTF">2017-12-18T10:54:00Z</dcterms:modified>
</cp:coreProperties>
</file>