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127" w:rsidRPr="00926127" w:rsidRDefault="00A82EBD" w:rsidP="00926127">
      <w:pPr>
        <w:jc w:val="both"/>
        <w:rPr>
          <w:rFonts w:ascii="Times New Roman" w:hAnsi="Times New Roman" w:cs="Times New Roman"/>
          <w:b/>
          <w:bCs/>
          <w:sz w:val="28"/>
          <w:szCs w:val="28"/>
          <w:lang w:bidi="he-IL"/>
        </w:rPr>
      </w:pPr>
      <w:r>
        <w:rPr>
          <w:rFonts w:ascii="Times New Roman" w:hAnsi="Times New Roman" w:cs="Times New Roman"/>
          <w:b/>
          <w:bCs/>
          <w:sz w:val="28"/>
          <w:szCs w:val="28"/>
          <w:lang w:bidi="he-IL"/>
        </w:rPr>
        <w:t>1</w:t>
      </w:r>
      <w:r w:rsidR="00893088">
        <w:rPr>
          <w:rFonts w:ascii="Times New Roman" w:hAnsi="Times New Roman" w:cs="Times New Roman"/>
          <w:b/>
          <w:bCs/>
          <w:sz w:val="28"/>
          <w:szCs w:val="28"/>
          <w:lang w:bidi="he-IL"/>
        </w:rPr>
        <w:t xml:space="preserve">- </w:t>
      </w:r>
      <w:r w:rsidR="00926127" w:rsidRPr="00926127">
        <w:rPr>
          <w:rFonts w:ascii="Times New Roman" w:hAnsi="Times New Roman" w:cs="Times New Roman"/>
          <w:b/>
          <w:bCs/>
          <w:sz w:val="28"/>
          <w:szCs w:val="28"/>
          <w:lang w:bidi="he-IL"/>
        </w:rPr>
        <w:t xml:space="preserve">Définition de carbone isotope : </w:t>
      </w:r>
    </w:p>
    <w:p w:rsidR="008F28B8" w:rsidRPr="00893088" w:rsidRDefault="00926127" w:rsidP="00893088">
      <w:pPr>
        <w:spacing w:line="360" w:lineRule="auto"/>
        <w:ind w:firstLine="567"/>
        <w:jc w:val="both"/>
        <w:rPr>
          <w:rFonts w:ascii="Times New Roman" w:hAnsi="Times New Roman" w:cs="Times New Roman"/>
          <w:sz w:val="24"/>
          <w:szCs w:val="24"/>
          <w:lang w:bidi="he-IL"/>
        </w:rPr>
      </w:pPr>
      <w:r w:rsidRPr="00893088">
        <w:rPr>
          <w:rFonts w:ascii="Times New Roman" w:hAnsi="Times New Roman" w:cs="Times New Roman"/>
          <w:sz w:val="24"/>
          <w:szCs w:val="24"/>
          <w:lang w:bidi="he-IL"/>
        </w:rPr>
        <w:t>Le c</w:t>
      </w:r>
      <w:r w:rsidRPr="00893088">
        <w:rPr>
          <w:rFonts w:ascii="Times New Roman" w:hAnsi="Times New Roman" w:cs="Times New Roman"/>
          <w:sz w:val="24"/>
          <w:szCs w:val="24"/>
          <w:vertAlign w:val="superscript"/>
          <w:lang w:bidi="he-IL"/>
        </w:rPr>
        <w:t>13</w:t>
      </w:r>
      <w:r w:rsidRPr="00893088">
        <w:rPr>
          <w:rFonts w:ascii="Times New Roman" w:hAnsi="Times New Roman" w:cs="Times New Roman"/>
          <w:sz w:val="24"/>
          <w:szCs w:val="24"/>
          <w:lang w:bidi="he-IL"/>
        </w:rPr>
        <w:t> est un isotope stable, il constitue près de 1 % du CO</w:t>
      </w:r>
      <w:r w:rsidRPr="00893088">
        <w:rPr>
          <w:rFonts w:ascii="Times New Roman" w:hAnsi="Times New Roman" w:cs="Times New Roman"/>
          <w:sz w:val="24"/>
          <w:szCs w:val="24"/>
          <w:vertAlign w:val="subscript"/>
          <w:lang w:bidi="he-IL"/>
        </w:rPr>
        <w:t>2</w:t>
      </w:r>
      <w:r w:rsidRPr="00893088">
        <w:rPr>
          <w:rFonts w:ascii="Times New Roman" w:hAnsi="Times New Roman" w:cs="Times New Roman"/>
          <w:sz w:val="24"/>
          <w:szCs w:val="24"/>
          <w:lang w:bidi="he-IL"/>
        </w:rPr>
        <w:t xml:space="preserve"> atmosphérique. Chez les plantes C</w:t>
      </w:r>
      <w:r w:rsidR="00DB5FE9" w:rsidRPr="00893088">
        <w:rPr>
          <w:rFonts w:ascii="Times New Roman" w:hAnsi="Times New Roman" w:cs="Times New Roman"/>
          <w:sz w:val="24"/>
          <w:szCs w:val="24"/>
          <w:lang w:bidi="he-IL"/>
        </w:rPr>
        <w:t>3</w:t>
      </w:r>
      <w:r w:rsidRPr="00893088">
        <w:rPr>
          <w:rFonts w:ascii="Times New Roman" w:hAnsi="Times New Roman" w:cs="Times New Roman"/>
          <w:sz w:val="24"/>
          <w:szCs w:val="24"/>
          <w:lang w:bidi="he-IL"/>
        </w:rPr>
        <w:t>, la proportion du C</w:t>
      </w:r>
      <w:r w:rsidRPr="00893088">
        <w:rPr>
          <w:rFonts w:ascii="Times New Roman" w:hAnsi="Times New Roman" w:cs="Times New Roman"/>
          <w:sz w:val="24"/>
          <w:szCs w:val="24"/>
          <w:vertAlign w:val="superscript"/>
          <w:lang w:bidi="he-IL"/>
        </w:rPr>
        <w:t>13</w:t>
      </w:r>
      <w:r w:rsidRPr="00893088">
        <w:rPr>
          <w:rFonts w:ascii="Times New Roman" w:hAnsi="Times New Roman" w:cs="Times New Roman"/>
          <w:sz w:val="24"/>
          <w:szCs w:val="24"/>
          <w:lang w:bidi="he-IL"/>
        </w:rPr>
        <w:t xml:space="preserve"> est plus petite que celle de l'atmosphère, car les espèces de type C3 discriminent contre le </w:t>
      </w:r>
      <w:r w:rsidR="00DB5FE9" w:rsidRPr="00893088">
        <w:rPr>
          <w:rFonts w:ascii="Times New Roman" w:hAnsi="Times New Roman" w:cs="Times New Roman"/>
          <w:sz w:val="24"/>
          <w:szCs w:val="24"/>
          <w:lang w:bidi="he-IL"/>
        </w:rPr>
        <w:t>C</w:t>
      </w:r>
      <w:r w:rsidR="00DB5FE9" w:rsidRPr="00893088">
        <w:rPr>
          <w:rFonts w:ascii="Times New Roman" w:hAnsi="Times New Roman" w:cs="Times New Roman"/>
          <w:sz w:val="24"/>
          <w:szCs w:val="24"/>
          <w:vertAlign w:val="superscript"/>
          <w:lang w:bidi="he-IL"/>
        </w:rPr>
        <w:t xml:space="preserve">13 </w:t>
      </w:r>
      <w:r w:rsidR="003052FC" w:rsidRPr="00893088">
        <w:rPr>
          <w:rFonts w:ascii="Times New Roman" w:hAnsi="Times New Roman" w:cs="Times New Roman"/>
          <w:sz w:val="24"/>
          <w:szCs w:val="24"/>
          <w:lang w:bidi="he-IL"/>
        </w:rPr>
        <w:t xml:space="preserve">pendant la photosynthèse. </w:t>
      </w:r>
      <w:r w:rsidRPr="00893088">
        <w:rPr>
          <w:rFonts w:ascii="Times New Roman" w:hAnsi="Times New Roman" w:cs="Times New Roman"/>
          <w:sz w:val="24"/>
          <w:szCs w:val="24"/>
          <w:lang w:bidi="he-IL"/>
        </w:rPr>
        <w:t>(</w:t>
      </w:r>
      <w:r w:rsidR="00EC3704" w:rsidRPr="00893088">
        <w:rPr>
          <w:rFonts w:asciiTheme="majorBidi" w:hAnsiTheme="majorBidi" w:cstheme="majorBidi"/>
          <w:sz w:val="24"/>
          <w:szCs w:val="24"/>
          <w:lang w:val="en-US"/>
        </w:rPr>
        <w:t>Δ</w:t>
      </w:r>
      <w:r w:rsidRPr="00893088">
        <w:rPr>
          <w:rFonts w:ascii="Times New Roman" w:hAnsi="Times New Roman" w:cs="Times New Roman"/>
          <w:sz w:val="24"/>
          <w:szCs w:val="24"/>
          <w:lang w:bidi="he-IL"/>
        </w:rPr>
        <w:t>C</w:t>
      </w:r>
      <w:r w:rsidRPr="00893088">
        <w:rPr>
          <w:rFonts w:ascii="Times New Roman" w:hAnsi="Times New Roman" w:cs="Times New Roman"/>
          <w:sz w:val="24"/>
          <w:szCs w:val="24"/>
          <w:vertAlign w:val="superscript"/>
          <w:lang w:bidi="he-IL"/>
        </w:rPr>
        <w:t>13</w:t>
      </w:r>
      <w:r w:rsidR="003052FC" w:rsidRPr="00893088">
        <w:rPr>
          <w:rFonts w:ascii="Times New Roman" w:hAnsi="Times New Roman" w:cs="Times New Roman"/>
          <w:sz w:val="24"/>
          <w:szCs w:val="24"/>
          <w:lang w:bidi="he-IL"/>
        </w:rPr>
        <w:t>)</w:t>
      </w:r>
      <w:r w:rsidRPr="00893088">
        <w:rPr>
          <w:rFonts w:ascii="Times New Roman" w:hAnsi="Times New Roman" w:cs="Times New Roman"/>
          <w:sz w:val="24"/>
          <w:szCs w:val="24"/>
          <w:lang w:bidi="he-IL"/>
        </w:rPr>
        <w:t xml:space="preserve"> est une mesure du ratio C</w:t>
      </w:r>
      <w:r w:rsidRPr="00893088">
        <w:rPr>
          <w:rFonts w:ascii="Times New Roman" w:hAnsi="Times New Roman" w:cs="Times New Roman"/>
          <w:sz w:val="24"/>
          <w:szCs w:val="24"/>
          <w:vertAlign w:val="superscript"/>
          <w:lang w:bidi="he-IL"/>
        </w:rPr>
        <w:t>l3</w:t>
      </w:r>
      <w:r w:rsidRPr="00893088">
        <w:rPr>
          <w:rFonts w:ascii="Times New Roman" w:hAnsi="Times New Roman" w:cs="Times New Roman"/>
          <w:sz w:val="24"/>
          <w:szCs w:val="24"/>
          <w:lang w:bidi="he-IL"/>
        </w:rPr>
        <w:t>/C</w:t>
      </w:r>
      <w:r w:rsidRPr="00893088">
        <w:rPr>
          <w:rFonts w:ascii="Times New Roman" w:hAnsi="Times New Roman" w:cs="Times New Roman"/>
          <w:sz w:val="24"/>
          <w:szCs w:val="24"/>
          <w:vertAlign w:val="superscript"/>
          <w:lang w:bidi="he-IL"/>
        </w:rPr>
        <w:t>l2</w:t>
      </w:r>
      <w:r w:rsidRPr="00893088">
        <w:rPr>
          <w:rFonts w:ascii="Times New Roman" w:hAnsi="Times New Roman" w:cs="Times New Roman"/>
          <w:sz w:val="24"/>
          <w:szCs w:val="24"/>
          <w:lang w:bidi="he-IL"/>
        </w:rPr>
        <w:t>dans le matériel végétal, relativement au même ratio de l'air qui l'entoure et d'où elle puise le. Chez les espèce</w:t>
      </w:r>
      <w:r w:rsidR="006B2B6C" w:rsidRPr="00893088">
        <w:rPr>
          <w:rFonts w:ascii="Times New Roman" w:hAnsi="Times New Roman" w:cs="Times New Roman"/>
          <w:sz w:val="24"/>
          <w:szCs w:val="24"/>
          <w:lang w:bidi="he-IL"/>
        </w:rPr>
        <w:t>s</w:t>
      </w:r>
      <w:r w:rsidRPr="00893088">
        <w:rPr>
          <w:rFonts w:ascii="Times New Roman" w:hAnsi="Times New Roman" w:cs="Times New Roman"/>
          <w:sz w:val="24"/>
          <w:szCs w:val="24"/>
          <w:lang w:bidi="he-IL"/>
        </w:rPr>
        <w:t xml:space="preserve"> C3, de nombreux processus contribuent à la détermination de la valeur de</w:t>
      </w:r>
      <w:r w:rsidR="00EC3704" w:rsidRPr="00893088">
        <w:rPr>
          <w:rFonts w:ascii="Times New Roman" w:hAnsi="Times New Roman" w:cs="Times New Roman"/>
          <w:sz w:val="24"/>
          <w:szCs w:val="24"/>
          <w:lang w:bidi="he-IL"/>
        </w:rPr>
        <w:t xml:space="preserve"> </w:t>
      </w:r>
      <w:r w:rsidR="00EC3704" w:rsidRPr="00893088">
        <w:rPr>
          <w:rFonts w:asciiTheme="majorBidi" w:hAnsiTheme="majorBidi" w:cstheme="majorBidi"/>
          <w:sz w:val="24"/>
          <w:szCs w:val="24"/>
          <w:lang w:val="en-US"/>
        </w:rPr>
        <w:t>Δ</w:t>
      </w:r>
      <w:r w:rsidRPr="00893088">
        <w:rPr>
          <w:rFonts w:ascii="Times New Roman" w:hAnsi="Times New Roman" w:cs="Times New Roman"/>
          <w:sz w:val="24"/>
          <w:szCs w:val="24"/>
          <w:lang w:bidi="he-IL"/>
        </w:rPr>
        <w:t>C</w:t>
      </w:r>
      <w:r w:rsidRPr="00893088">
        <w:rPr>
          <w:rFonts w:ascii="Times New Roman" w:hAnsi="Times New Roman" w:cs="Times New Roman"/>
          <w:sz w:val="24"/>
          <w:szCs w:val="24"/>
          <w:vertAlign w:val="superscript"/>
          <w:lang w:bidi="he-IL"/>
        </w:rPr>
        <w:t>13</w:t>
      </w:r>
      <w:r w:rsidRPr="00893088">
        <w:rPr>
          <w:rFonts w:ascii="Times New Roman" w:hAnsi="Times New Roman" w:cs="Times New Roman"/>
          <w:sz w:val="24"/>
          <w:szCs w:val="24"/>
          <w:lang w:bidi="he-IL"/>
        </w:rPr>
        <w:t xml:space="preserve"> mesurée dans leur matière sèche (Farquhar et </w:t>
      </w:r>
      <w:r w:rsidRPr="00893088">
        <w:rPr>
          <w:rFonts w:ascii="Times New Roman" w:hAnsi="Times New Roman" w:cs="Times New Roman"/>
          <w:i/>
          <w:iCs/>
          <w:sz w:val="24"/>
          <w:szCs w:val="24"/>
          <w:lang w:bidi="he-IL"/>
        </w:rPr>
        <w:t xml:space="preserve">al., </w:t>
      </w:r>
      <w:r w:rsidR="00770301" w:rsidRPr="00893088">
        <w:rPr>
          <w:rFonts w:ascii="Times New Roman" w:hAnsi="Times New Roman" w:cs="Times New Roman"/>
          <w:sz w:val="24"/>
          <w:szCs w:val="24"/>
          <w:lang w:bidi="he-IL"/>
        </w:rPr>
        <w:t>1989; Brugnoli et Farquhar,</w:t>
      </w:r>
      <w:r w:rsidR="00567CE6">
        <w:rPr>
          <w:rFonts w:ascii="Times New Roman" w:hAnsi="Times New Roman" w:cs="Times New Roman"/>
          <w:sz w:val="24"/>
          <w:szCs w:val="24"/>
          <w:lang w:bidi="he-IL"/>
        </w:rPr>
        <w:t xml:space="preserve"> </w:t>
      </w:r>
      <w:r w:rsidRPr="00893088">
        <w:rPr>
          <w:rFonts w:ascii="Times New Roman" w:hAnsi="Times New Roman" w:cs="Times New Roman"/>
          <w:sz w:val="24"/>
          <w:szCs w:val="24"/>
          <w:lang w:bidi="he-IL"/>
        </w:rPr>
        <w:t>2000 in Nadjim, 2006).</w:t>
      </w:r>
    </w:p>
    <w:p w:rsidR="00926127" w:rsidRPr="00926127" w:rsidRDefault="0024666C" w:rsidP="00926127">
      <w:pPr>
        <w:jc w:val="both"/>
        <w:rPr>
          <w:rFonts w:ascii="Times New Roman" w:hAnsi="Times New Roman" w:cs="Times New Roman"/>
          <w:b/>
          <w:bCs/>
          <w:sz w:val="28"/>
          <w:szCs w:val="28"/>
          <w:lang w:bidi="he-IL"/>
        </w:rPr>
      </w:pPr>
      <w:r>
        <w:rPr>
          <w:rFonts w:ascii="Times New Roman" w:hAnsi="Times New Roman" w:cs="Times New Roman"/>
          <w:b/>
          <w:bCs/>
          <w:sz w:val="28"/>
          <w:szCs w:val="28"/>
          <w:lang w:bidi="he-IL"/>
        </w:rPr>
        <w:t>2</w:t>
      </w:r>
      <w:r w:rsidR="00893088">
        <w:rPr>
          <w:rFonts w:ascii="Times New Roman" w:hAnsi="Times New Roman" w:cs="Times New Roman"/>
          <w:b/>
          <w:bCs/>
          <w:sz w:val="28"/>
          <w:szCs w:val="28"/>
          <w:lang w:bidi="he-IL"/>
        </w:rPr>
        <w:t xml:space="preserve">- </w:t>
      </w:r>
      <w:r w:rsidR="00926127" w:rsidRPr="00926127">
        <w:rPr>
          <w:rFonts w:ascii="Times New Roman" w:hAnsi="Times New Roman" w:cs="Times New Roman"/>
          <w:b/>
          <w:bCs/>
          <w:sz w:val="28"/>
          <w:szCs w:val="28"/>
          <w:lang w:bidi="he-IL"/>
        </w:rPr>
        <w:t>Discrimination isotopique du carbone</w:t>
      </w:r>
      <w:r>
        <w:rPr>
          <w:rFonts w:ascii="Times New Roman" w:hAnsi="Times New Roman" w:cs="Times New Roman"/>
          <w:b/>
          <w:bCs/>
          <w:sz w:val="28"/>
          <w:szCs w:val="28"/>
          <w:lang w:bidi="he-IL"/>
        </w:rPr>
        <w:t xml:space="preserve"> :</w:t>
      </w:r>
    </w:p>
    <w:p w:rsidR="00926127" w:rsidRPr="00893088" w:rsidRDefault="00926127" w:rsidP="0014623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Le CO2 Atmosphérique est composé de 98.89% de C</w:t>
      </w:r>
      <w:r w:rsidR="00770301" w:rsidRPr="00893088">
        <w:rPr>
          <w:rFonts w:asciiTheme="majorBidi" w:hAnsiTheme="majorBidi" w:cstheme="majorBidi"/>
          <w:sz w:val="24"/>
          <w:szCs w:val="24"/>
          <w:vertAlign w:val="superscript"/>
        </w:rPr>
        <w:t>12</w:t>
      </w:r>
      <w:r w:rsidRPr="00893088">
        <w:rPr>
          <w:rFonts w:asciiTheme="majorBidi" w:hAnsiTheme="majorBidi" w:cstheme="majorBidi"/>
          <w:sz w:val="24"/>
          <w:szCs w:val="24"/>
        </w:rPr>
        <w:t xml:space="preserve"> et 1.11% de C</w:t>
      </w:r>
      <w:r w:rsidR="00770301"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et de 0.10 à 0</w:t>
      </w:r>
      <w:r w:rsidR="00770301" w:rsidRPr="00893088">
        <w:rPr>
          <w:rFonts w:asciiTheme="majorBidi" w:hAnsiTheme="majorBidi" w:cstheme="majorBidi"/>
          <w:sz w:val="24"/>
          <w:szCs w:val="24"/>
        </w:rPr>
        <w:t>.</w:t>
      </w:r>
      <w:r w:rsidRPr="00893088">
        <w:rPr>
          <w:rFonts w:asciiTheme="majorBidi" w:hAnsiTheme="majorBidi" w:cstheme="majorBidi"/>
          <w:sz w:val="24"/>
          <w:szCs w:val="24"/>
        </w:rPr>
        <w:t>11%  de  C</w:t>
      </w:r>
      <w:r w:rsidR="00770301" w:rsidRPr="00893088">
        <w:rPr>
          <w:rFonts w:asciiTheme="majorBidi" w:hAnsiTheme="majorBidi" w:cstheme="majorBidi"/>
          <w:sz w:val="24"/>
          <w:szCs w:val="24"/>
          <w:vertAlign w:val="superscript"/>
        </w:rPr>
        <w:t>14</w:t>
      </w:r>
      <w:r w:rsidRPr="00893088">
        <w:rPr>
          <w:rFonts w:asciiTheme="majorBidi" w:hAnsiTheme="majorBidi" w:cstheme="majorBidi"/>
          <w:sz w:val="24"/>
          <w:szCs w:val="24"/>
        </w:rPr>
        <w:t>.  Au  cours  de  la  photosynthèse,  les  plantes  discriminent  contre  le  C</w:t>
      </w:r>
      <w:r w:rsidR="005057EB"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(Farquhar  et  al.,  1989).  Ce phénomène   de   discrimination   est   dû   à   quelques   mécanismes   physiologiques   et biochimiques :</w:t>
      </w:r>
    </w:p>
    <w:p w:rsidR="00926127" w:rsidRPr="00893088" w:rsidRDefault="00926127" w:rsidP="00893088">
      <w:pPr>
        <w:pStyle w:val="a3"/>
        <w:numPr>
          <w:ilvl w:val="0"/>
          <w:numId w:val="1"/>
        </w:numPr>
        <w:spacing w:line="360" w:lineRule="auto"/>
        <w:jc w:val="both"/>
        <w:rPr>
          <w:rFonts w:asciiTheme="majorBidi" w:hAnsiTheme="majorBidi" w:cstheme="majorBidi"/>
          <w:sz w:val="24"/>
          <w:szCs w:val="24"/>
        </w:rPr>
      </w:pPr>
      <w:r w:rsidRPr="00893088">
        <w:rPr>
          <w:rFonts w:asciiTheme="majorBidi" w:hAnsiTheme="majorBidi" w:cstheme="majorBidi"/>
          <w:sz w:val="24"/>
          <w:szCs w:val="24"/>
        </w:rPr>
        <w:t>le coefficient de diffusion dans l'air qui est inversement proportionnel à la racine carrée de la masse m</w:t>
      </w:r>
      <w:r w:rsidR="005057EB" w:rsidRPr="00893088">
        <w:rPr>
          <w:rFonts w:asciiTheme="majorBidi" w:hAnsiTheme="majorBidi" w:cstheme="majorBidi"/>
          <w:sz w:val="24"/>
          <w:szCs w:val="24"/>
        </w:rPr>
        <w:t xml:space="preserve">oléculaire, par conséquent, le </w:t>
      </w:r>
      <w:r w:rsidRPr="00893088">
        <w:rPr>
          <w:rFonts w:asciiTheme="majorBidi" w:hAnsiTheme="majorBidi" w:cstheme="majorBidi"/>
          <w:sz w:val="24"/>
          <w:szCs w:val="24"/>
        </w:rPr>
        <w:t>C</w:t>
      </w:r>
      <w:r w:rsidR="005057EB"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est diffusé plus lentement à travers les stomates que le C</w:t>
      </w:r>
      <w:r w:rsidR="005057EB"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soit un fractionnement d’environ 4‰ pour les C3.</w:t>
      </w:r>
    </w:p>
    <w:p w:rsidR="00926127" w:rsidRPr="00893088" w:rsidRDefault="00926127" w:rsidP="00FD0F7B">
      <w:pPr>
        <w:pStyle w:val="a3"/>
        <w:numPr>
          <w:ilvl w:val="0"/>
          <w:numId w:val="1"/>
        </w:numPr>
        <w:spacing w:line="360" w:lineRule="auto"/>
        <w:jc w:val="both"/>
        <w:rPr>
          <w:rFonts w:asciiTheme="majorBidi" w:hAnsiTheme="majorBidi" w:cstheme="majorBidi"/>
          <w:sz w:val="24"/>
          <w:szCs w:val="24"/>
        </w:rPr>
      </w:pPr>
      <w:r w:rsidRPr="00893088">
        <w:rPr>
          <w:rFonts w:asciiTheme="majorBidi" w:hAnsiTheme="majorBidi" w:cstheme="majorBidi"/>
          <w:sz w:val="24"/>
          <w:szCs w:val="24"/>
        </w:rPr>
        <w:t xml:space="preserve">le </w:t>
      </w:r>
      <w:r w:rsidR="005057EB" w:rsidRPr="00893088">
        <w:rPr>
          <w:rFonts w:asciiTheme="majorBidi" w:hAnsiTheme="majorBidi" w:cstheme="majorBidi"/>
          <w:sz w:val="24"/>
          <w:szCs w:val="24"/>
        </w:rPr>
        <w:t>C</w:t>
      </w:r>
      <w:r w:rsidR="005057EB" w:rsidRPr="00893088">
        <w:rPr>
          <w:rFonts w:asciiTheme="majorBidi" w:hAnsiTheme="majorBidi" w:cstheme="majorBidi"/>
          <w:sz w:val="24"/>
          <w:szCs w:val="24"/>
          <w:vertAlign w:val="superscript"/>
        </w:rPr>
        <w:t>12</w:t>
      </w:r>
      <w:r w:rsidRPr="00893088">
        <w:rPr>
          <w:rFonts w:asciiTheme="majorBidi" w:hAnsiTheme="majorBidi" w:cstheme="majorBidi"/>
          <w:sz w:val="24"/>
          <w:szCs w:val="24"/>
        </w:rPr>
        <w:t xml:space="preserve"> est favorisé par les enzymes lors des processus chimiques (carboxylation) à cause de son faible poids moléculaire, sa forte énergie vibrationnelle et sa faible force de liaison comparée à celle du </w:t>
      </w:r>
      <w:r w:rsidR="005057EB" w:rsidRPr="00893088">
        <w:rPr>
          <w:rFonts w:asciiTheme="majorBidi" w:hAnsiTheme="majorBidi" w:cstheme="majorBidi"/>
          <w:sz w:val="24"/>
          <w:szCs w:val="24"/>
        </w:rPr>
        <w:t>C</w:t>
      </w:r>
      <w:r w:rsidR="005057EB"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Cela mène au fractionnement isotopique proche de 30 </w:t>
      </w:r>
      <w:r w:rsidR="005057EB" w:rsidRPr="00893088">
        <w:rPr>
          <w:rFonts w:asciiTheme="majorBidi" w:hAnsiTheme="majorBidi" w:cstheme="majorBidi"/>
          <w:sz w:val="24"/>
          <w:szCs w:val="24"/>
        </w:rPr>
        <w:t>‰</w:t>
      </w:r>
      <w:r w:rsidRPr="00893088">
        <w:rPr>
          <w:rFonts w:asciiTheme="majorBidi" w:hAnsiTheme="majorBidi" w:cstheme="majorBidi"/>
          <w:sz w:val="24"/>
          <w:szCs w:val="24"/>
        </w:rPr>
        <w:t xml:space="preserve"> au sein du tissu végétal des plantes en C3. Comme le carbone est assimilé dans les tissus de  la  plante,  où  une  composition  isotopique  distincte  évolue,  qui  n'est  pas  en  état d’équilibre stable avec l’air environnant (Farquhar et al., 1989).</w:t>
      </w:r>
    </w:p>
    <w:p w:rsidR="00573B4C" w:rsidRPr="00573B4C" w:rsidRDefault="00A82EBD" w:rsidP="00573B4C">
      <w:pPr>
        <w:jc w:val="both"/>
        <w:rPr>
          <w:rFonts w:asciiTheme="majorBidi" w:hAnsiTheme="majorBidi" w:cstheme="majorBidi"/>
          <w:sz w:val="28"/>
          <w:szCs w:val="28"/>
        </w:rPr>
      </w:pPr>
      <w:r>
        <w:rPr>
          <w:rFonts w:asciiTheme="majorBidi" w:hAnsiTheme="majorBidi" w:cstheme="majorBidi"/>
          <w:b/>
          <w:bCs/>
          <w:sz w:val="24"/>
          <w:szCs w:val="24"/>
        </w:rPr>
        <w:t>2</w:t>
      </w:r>
      <w:r w:rsidR="00893088" w:rsidRPr="008F375E">
        <w:rPr>
          <w:rFonts w:asciiTheme="majorBidi" w:hAnsiTheme="majorBidi" w:cstheme="majorBidi"/>
          <w:b/>
          <w:bCs/>
          <w:sz w:val="24"/>
          <w:szCs w:val="24"/>
        </w:rPr>
        <w:t xml:space="preserve">-1- </w:t>
      </w:r>
      <w:r w:rsidR="00573B4C" w:rsidRPr="00573B4C">
        <w:rPr>
          <w:rFonts w:ascii="Times New Roman" w:hAnsi="Times New Roman" w:cs="Times New Roman"/>
          <w:b/>
          <w:bCs/>
          <w:sz w:val="28"/>
          <w:szCs w:val="28"/>
          <w:lang w:bidi="he-IL"/>
        </w:rPr>
        <w:t>Rapport ou ratio isotopique</w:t>
      </w:r>
    </w:p>
    <w:p w:rsidR="00926127" w:rsidRPr="00893088" w:rsidRDefault="00573B4C"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L'abondance  naturelle  des  isotopes  stables  du  carbone  se  caractérise  par  le rapport isotopique (R). Ce rapport pour les isotopes de carbone est variable d'un composé à l'autre et est défini par l’équation : R = </w:t>
      </w:r>
      <w:r w:rsidR="00914355" w:rsidRPr="00893088">
        <w:rPr>
          <w:rFonts w:asciiTheme="majorBidi" w:hAnsiTheme="majorBidi" w:cstheme="majorBidi"/>
          <w:sz w:val="24"/>
          <w:szCs w:val="24"/>
        </w:rPr>
        <w:t>C</w:t>
      </w:r>
      <w:r w:rsidR="00914355"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w:t>
      </w:r>
      <w:r w:rsidR="00914355" w:rsidRPr="00893088">
        <w:rPr>
          <w:rFonts w:asciiTheme="majorBidi" w:hAnsiTheme="majorBidi" w:cstheme="majorBidi"/>
          <w:sz w:val="24"/>
          <w:szCs w:val="24"/>
        </w:rPr>
        <w:t xml:space="preserve"> C</w:t>
      </w:r>
      <w:r w:rsidR="00914355" w:rsidRPr="00893088">
        <w:rPr>
          <w:rFonts w:asciiTheme="majorBidi" w:hAnsiTheme="majorBidi" w:cstheme="majorBidi"/>
          <w:sz w:val="24"/>
          <w:szCs w:val="24"/>
          <w:vertAlign w:val="superscript"/>
        </w:rPr>
        <w:t>12</w:t>
      </w:r>
      <w:r w:rsidRPr="00893088">
        <w:rPr>
          <w:rFonts w:asciiTheme="majorBidi" w:hAnsiTheme="majorBidi" w:cstheme="majorBidi"/>
          <w:sz w:val="24"/>
          <w:szCs w:val="24"/>
        </w:rPr>
        <w:t>.</w:t>
      </w:r>
    </w:p>
    <w:p w:rsidR="00406B2B" w:rsidRDefault="00406B2B" w:rsidP="00406B2B">
      <w:pPr>
        <w:jc w:val="both"/>
        <w:rPr>
          <w:rFonts w:asciiTheme="majorBidi" w:hAnsiTheme="majorBidi" w:cstheme="majorBidi"/>
          <w:sz w:val="28"/>
          <w:szCs w:val="28"/>
        </w:rPr>
      </w:pPr>
    </w:p>
    <w:p w:rsidR="00406B2B" w:rsidRDefault="00406B2B" w:rsidP="00406B2B">
      <w:pPr>
        <w:jc w:val="both"/>
        <w:rPr>
          <w:rFonts w:asciiTheme="majorBidi" w:hAnsiTheme="majorBidi" w:cstheme="majorBidi"/>
          <w:sz w:val="28"/>
          <w:szCs w:val="28"/>
        </w:rPr>
      </w:pPr>
    </w:p>
    <w:p w:rsidR="002A50FE" w:rsidRDefault="002A50FE" w:rsidP="00406B2B">
      <w:pPr>
        <w:jc w:val="both"/>
        <w:rPr>
          <w:rFonts w:asciiTheme="majorBidi" w:hAnsiTheme="majorBidi" w:cstheme="majorBidi"/>
          <w:sz w:val="28"/>
          <w:szCs w:val="28"/>
        </w:rPr>
      </w:pPr>
    </w:p>
    <w:p w:rsidR="00406B2B" w:rsidRPr="00406B2B" w:rsidRDefault="00A82EBD" w:rsidP="00406B2B">
      <w:pPr>
        <w:jc w:val="both"/>
        <w:rPr>
          <w:rFonts w:ascii="Times New Roman" w:hAnsi="Times New Roman" w:cs="Times New Roman"/>
          <w:b/>
          <w:bCs/>
          <w:sz w:val="28"/>
          <w:szCs w:val="28"/>
          <w:lang w:bidi="he-IL"/>
        </w:rPr>
      </w:pPr>
      <w:r>
        <w:rPr>
          <w:rFonts w:asciiTheme="majorBidi" w:hAnsiTheme="majorBidi" w:cstheme="majorBidi"/>
          <w:b/>
          <w:bCs/>
          <w:sz w:val="24"/>
          <w:szCs w:val="24"/>
        </w:rPr>
        <w:lastRenderedPageBreak/>
        <w:t>2</w:t>
      </w:r>
      <w:r w:rsidR="00893088" w:rsidRPr="008F375E">
        <w:rPr>
          <w:rFonts w:asciiTheme="majorBidi" w:hAnsiTheme="majorBidi" w:cstheme="majorBidi"/>
          <w:b/>
          <w:bCs/>
          <w:sz w:val="24"/>
          <w:szCs w:val="24"/>
        </w:rPr>
        <w:t xml:space="preserve">-2- </w:t>
      </w:r>
      <w:r w:rsidR="00406B2B" w:rsidRPr="00406B2B">
        <w:rPr>
          <w:rFonts w:ascii="Times New Roman" w:hAnsi="Times New Roman" w:cs="Times New Roman"/>
          <w:b/>
          <w:bCs/>
          <w:sz w:val="28"/>
          <w:szCs w:val="28"/>
          <w:lang w:bidi="he-IL"/>
        </w:rPr>
        <w:t>Effet isotopique</w:t>
      </w:r>
    </w:p>
    <w:p w:rsidR="00406B2B" w:rsidRPr="00893088" w:rsidRDefault="00406B2B" w:rsidP="00893088">
      <w:pPr>
        <w:spacing w:line="360" w:lineRule="auto"/>
        <w:ind w:firstLine="567"/>
        <w:jc w:val="both"/>
        <w:rPr>
          <w:rFonts w:ascii="Times New Roman" w:hAnsi="Times New Roman" w:cs="Times New Roman"/>
          <w:sz w:val="24"/>
          <w:szCs w:val="24"/>
        </w:rPr>
      </w:pPr>
      <w:r w:rsidRPr="00893088">
        <w:rPr>
          <w:rFonts w:asciiTheme="majorBidi" w:hAnsiTheme="majorBidi" w:cstheme="majorBidi"/>
          <w:sz w:val="24"/>
          <w:szCs w:val="24"/>
        </w:rPr>
        <w:t xml:space="preserve">L'effet  isotopique  a se  produit  lors  de la transformation d’un substrat  (S) en un produit (P) et se définit comme le rapport entre le R de la source (substrat) et celui du </w:t>
      </w:r>
      <w:r w:rsidR="00914355" w:rsidRPr="00893088">
        <w:rPr>
          <w:rFonts w:asciiTheme="majorBidi" w:hAnsiTheme="majorBidi" w:cstheme="majorBidi"/>
          <w:sz w:val="24"/>
          <w:szCs w:val="24"/>
        </w:rPr>
        <w:t xml:space="preserve">produit : α= </w:t>
      </w:r>
      <w:r w:rsidRPr="00893088">
        <w:rPr>
          <w:rFonts w:ascii="Times New Roman" w:hAnsi="Times New Roman" w:cs="Times New Roman"/>
          <w:sz w:val="24"/>
          <w:szCs w:val="24"/>
        </w:rPr>
        <w:t>R</w:t>
      </w:r>
      <w:r w:rsidR="00914355" w:rsidRPr="00893088">
        <w:rPr>
          <w:rFonts w:ascii="Times New Roman" w:hAnsi="Times New Roman" w:cs="Times New Roman"/>
          <w:sz w:val="24"/>
          <w:szCs w:val="24"/>
        </w:rPr>
        <w:t xml:space="preserve"> </w:t>
      </w:r>
      <w:r w:rsidRPr="00893088">
        <w:rPr>
          <w:rFonts w:ascii="Times New Roman" w:hAnsi="Times New Roman" w:cs="Times New Roman"/>
          <w:sz w:val="24"/>
          <w:szCs w:val="24"/>
          <w:vertAlign w:val="subscript"/>
        </w:rPr>
        <w:t>source</w:t>
      </w:r>
      <w:r w:rsidR="00914355" w:rsidRPr="00893088">
        <w:rPr>
          <w:rFonts w:ascii="Times New Roman" w:hAnsi="Times New Roman" w:cs="Times New Roman"/>
          <w:sz w:val="24"/>
          <w:szCs w:val="24"/>
          <w:vertAlign w:val="subscript"/>
        </w:rPr>
        <w:t xml:space="preserve"> </w:t>
      </w:r>
      <w:r w:rsidRPr="00893088">
        <w:rPr>
          <w:rFonts w:ascii="Times New Roman" w:hAnsi="Times New Roman" w:cs="Times New Roman"/>
          <w:sz w:val="24"/>
          <w:szCs w:val="24"/>
        </w:rPr>
        <w:t>/</w:t>
      </w:r>
      <w:r w:rsidR="00914355" w:rsidRPr="00893088">
        <w:rPr>
          <w:rFonts w:ascii="Times New Roman" w:hAnsi="Times New Roman" w:cs="Times New Roman"/>
          <w:sz w:val="24"/>
          <w:szCs w:val="24"/>
        </w:rPr>
        <w:t xml:space="preserve"> </w:t>
      </w:r>
      <w:r w:rsidRPr="00893088">
        <w:rPr>
          <w:rFonts w:ascii="Times New Roman" w:hAnsi="Times New Roman" w:cs="Times New Roman"/>
          <w:sz w:val="24"/>
          <w:szCs w:val="24"/>
        </w:rPr>
        <w:t>R</w:t>
      </w:r>
      <w:r w:rsidR="00914355" w:rsidRPr="00893088">
        <w:rPr>
          <w:rFonts w:ascii="Times New Roman" w:hAnsi="Times New Roman" w:cs="Times New Roman"/>
          <w:sz w:val="24"/>
          <w:szCs w:val="24"/>
        </w:rPr>
        <w:t xml:space="preserve"> </w:t>
      </w:r>
      <w:r w:rsidRPr="00893088">
        <w:rPr>
          <w:rFonts w:ascii="Times New Roman" w:hAnsi="Times New Roman" w:cs="Times New Roman"/>
          <w:sz w:val="24"/>
          <w:szCs w:val="24"/>
          <w:vertAlign w:val="subscript"/>
        </w:rPr>
        <w:t>produit</w:t>
      </w:r>
      <w:r w:rsidRPr="00893088">
        <w:rPr>
          <w:rFonts w:ascii="Times New Roman" w:hAnsi="Times New Roman" w:cs="Times New Roman"/>
          <w:sz w:val="24"/>
          <w:szCs w:val="24"/>
        </w:rPr>
        <w:t>.</w:t>
      </w:r>
    </w:p>
    <w:p w:rsidR="00406B2B" w:rsidRPr="00406B2B" w:rsidRDefault="00A82EBD" w:rsidP="00406B2B">
      <w:pPr>
        <w:jc w:val="both"/>
        <w:rPr>
          <w:rFonts w:ascii="Times New Roman" w:hAnsi="Times New Roman" w:cs="Times New Roman"/>
          <w:b/>
          <w:bCs/>
          <w:sz w:val="28"/>
          <w:szCs w:val="28"/>
          <w:lang w:bidi="he-IL"/>
        </w:rPr>
      </w:pPr>
      <w:r>
        <w:rPr>
          <w:rFonts w:asciiTheme="majorBidi" w:hAnsiTheme="majorBidi" w:cstheme="majorBidi"/>
          <w:b/>
          <w:bCs/>
          <w:sz w:val="24"/>
          <w:szCs w:val="24"/>
        </w:rPr>
        <w:t>2</w:t>
      </w:r>
      <w:r w:rsidR="00893088" w:rsidRPr="008F375E">
        <w:rPr>
          <w:rFonts w:asciiTheme="majorBidi" w:hAnsiTheme="majorBidi" w:cstheme="majorBidi"/>
          <w:b/>
          <w:bCs/>
          <w:sz w:val="24"/>
          <w:szCs w:val="24"/>
        </w:rPr>
        <w:t>-3-</w:t>
      </w:r>
      <w:r w:rsidR="00406B2B" w:rsidRPr="00406B2B">
        <w:rPr>
          <w:rFonts w:ascii="Times New Roman" w:hAnsi="Times New Roman" w:cs="Times New Roman"/>
          <w:b/>
          <w:bCs/>
          <w:sz w:val="28"/>
          <w:szCs w:val="28"/>
          <w:lang w:bidi="he-IL"/>
        </w:rPr>
        <w:t>Composition isotopique du carbone</w:t>
      </w:r>
      <w:r w:rsidR="00406B2B">
        <w:rPr>
          <w:rFonts w:ascii="Times New Roman" w:hAnsi="Times New Roman" w:cs="Times New Roman"/>
          <w:b/>
          <w:bCs/>
          <w:sz w:val="28"/>
          <w:szCs w:val="28"/>
          <w:lang w:bidi="he-IL"/>
        </w:rPr>
        <w:t> :</w:t>
      </w:r>
    </w:p>
    <w:p w:rsidR="00406B2B" w:rsidRPr="00893088" w:rsidRDefault="00406B2B"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La composition isotopique du carbone d‘un tissu végétal est</w:t>
      </w:r>
      <w:r w:rsidR="001F14C8" w:rsidRPr="00893088">
        <w:rPr>
          <w:rFonts w:asciiTheme="majorBidi" w:hAnsiTheme="majorBidi" w:cstheme="majorBidi"/>
          <w:sz w:val="24"/>
          <w:szCs w:val="24"/>
        </w:rPr>
        <w:t xml:space="preserve"> </w:t>
      </w:r>
      <w:r w:rsidRPr="00893088">
        <w:rPr>
          <w:rFonts w:asciiTheme="majorBidi" w:hAnsiTheme="majorBidi" w:cstheme="majorBidi"/>
          <w:sz w:val="24"/>
          <w:szCs w:val="24"/>
        </w:rPr>
        <w:t>exprimée</w:t>
      </w:r>
      <w:r w:rsidR="001F14C8" w:rsidRPr="00893088">
        <w:rPr>
          <w:rFonts w:asciiTheme="majorBidi" w:hAnsiTheme="majorBidi" w:cstheme="majorBidi"/>
          <w:sz w:val="24"/>
          <w:szCs w:val="24"/>
        </w:rPr>
        <w:t xml:space="preserve"> </w:t>
      </w:r>
      <w:r w:rsidRPr="00893088">
        <w:rPr>
          <w:rFonts w:asciiTheme="majorBidi" w:hAnsiTheme="majorBidi" w:cstheme="majorBidi"/>
          <w:sz w:val="24"/>
          <w:szCs w:val="24"/>
        </w:rPr>
        <w:t>habituellement en référence à un standard comme suit:</w:t>
      </w:r>
    </w:p>
    <w:p w:rsidR="00406B2B" w:rsidRPr="00893088" w:rsidRDefault="001F14C8" w:rsidP="00893088">
      <w:pPr>
        <w:spacing w:line="360" w:lineRule="auto"/>
        <w:jc w:val="both"/>
        <w:rPr>
          <w:rFonts w:asciiTheme="majorBidi" w:hAnsiTheme="majorBidi" w:cstheme="majorBidi"/>
          <w:sz w:val="24"/>
          <w:szCs w:val="24"/>
          <w:lang w:val="en-US"/>
        </w:rPr>
      </w:pPr>
      <w:r w:rsidRPr="0005421C">
        <w:rPr>
          <w:rFonts w:asciiTheme="majorBidi" w:hAnsiTheme="majorBidi" w:cstheme="majorBidi"/>
          <w:sz w:val="28"/>
          <w:szCs w:val="28"/>
        </w:rPr>
        <w:t xml:space="preserve"> </w:t>
      </w:r>
      <w:r w:rsidR="00156DBF" w:rsidRPr="00893088">
        <w:rPr>
          <w:rFonts w:asciiTheme="majorBidi" w:hAnsiTheme="majorBidi" w:cstheme="majorBidi"/>
          <w:sz w:val="24"/>
          <w:szCs w:val="24"/>
          <w:lang w:val="en-US"/>
        </w:rPr>
        <w:t>δ</w:t>
      </w:r>
      <w:r w:rsidRPr="00893088">
        <w:rPr>
          <w:rFonts w:asciiTheme="majorBidi" w:hAnsiTheme="majorBidi" w:cstheme="majorBidi"/>
          <w:sz w:val="24"/>
          <w:szCs w:val="24"/>
          <w:lang w:val="en-US"/>
        </w:rPr>
        <w:t>C</w:t>
      </w:r>
      <w:r w:rsidRPr="00893088">
        <w:rPr>
          <w:rFonts w:asciiTheme="majorBidi" w:hAnsiTheme="majorBidi" w:cstheme="majorBidi"/>
          <w:sz w:val="24"/>
          <w:szCs w:val="24"/>
          <w:vertAlign w:val="superscript"/>
          <w:lang w:val="en-US"/>
        </w:rPr>
        <w:t>13</w:t>
      </w:r>
      <w:r w:rsidR="00406B2B" w:rsidRPr="00893088">
        <w:rPr>
          <w:rFonts w:ascii="Times New Roman" w:hAnsi="Times New Roman" w:cs="Times New Roman"/>
          <w:sz w:val="24"/>
          <w:szCs w:val="24"/>
          <w:lang w:val="en-US"/>
        </w:rPr>
        <w:t xml:space="preserve"> = [R</w:t>
      </w:r>
      <w:r w:rsidR="00406B2B" w:rsidRPr="00893088">
        <w:rPr>
          <w:rFonts w:ascii="Times New Roman" w:hAnsi="Times New Roman" w:cs="Times New Roman"/>
          <w:sz w:val="24"/>
          <w:szCs w:val="24"/>
          <w:vertAlign w:val="subscript"/>
          <w:lang w:val="en-US"/>
        </w:rPr>
        <w:t>e</w:t>
      </w:r>
      <w:r w:rsidR="00406B2B" w:rsidRPr="00893088">
        <w:rPr>
          <w:rFonts w:ascii="Times New Roman" w:hAnsi="Times New Roman" w:cs="Times New Roman"/>
          <w:sz w:val="24"/>
          <w:szCs w:val="24"/>
          <w:lang w:val="en-US"/>
        </w:rPr>
        <w:t>/R</w:t>
      </w:r>
      <w:r w:rsidR="00406B2B" w:rsidRPr="00893088">
        <w:rPr>
          <w:rFonts w:ascii="Times New Roman" w:hAnsi="Times New Roman" w:cs="Times New Roman"/>
          <w:sz w:val="24"/>
          <w:szCs w:val="24"/>
          <w:vertAlign w:val="subscript"/>
          <w:lang w:val="en-US"/>
        </w:rPr>
        <w:t>s</w:t>
      </w:r>
      <w:r w:rsidR="00406B2B" w:rsidRPr="00893088">
        <w:rPr>
          <w:rFonts w:ascii="Times New Roman" w:hAnsi="Times New Roman" w:cs="Times New Roman"/>
          <w:sz w:val="24"/>
          <w:szCs w:val="24"/>
          <w:lang w:val="en-US"/>
        </w:rPr>
        <w:t xml:space="preserve"> – 1] x 1000 (Ehleringer and Osmand, l989).</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Où :</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R</w:t>
      </w:r>
      <w:r w:rsidRPr="00893088">
        <w:rPr>
          <w:rFonts w:asciiTheme="majorBidi" w:hAnsiTheme="majorBidi" w:cstheme="majorBidi"/>
          <w:sz w:val="24"/>
          <w:szCs w:val="24"/>
          <w:vertAlign w:val="subscript"/>
        </w:rPr>
        <w:t>e</w:t>
      </w:r>
      <w:r w:rsidRPr="00893088">
        <w:rPr>
          <w:rFonts w:asciiTheme="majorBidi" w:hAnsiTheme="majorBidi" w:cstheme="majorBidi"/>
          <w:sz w:val="24"/>
          <w:szCs w:val="24"/>
        </w:rPr>
        <w:t xml:space="preserve"> : le ratio isotopique de l’échantillon.  .</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R</w:t>
      </w:r>
      <w:r w:rsidRPr="00893088">
        <w:rPr>
          <w:rFonts w:asciiTheme="majorBidi" w:hAnsiTheme="majorBidi" w:cstheme="majorBidi"/>
          <w:sz w:val="24"/>
          <w:szCs w:val="24"/>
          <w:vertAlign w:val="subscript"/>
        </w:rPr>
        <w:t>s</w:t>
      </w:r>
      <w:r w:rsidRPr="00893088">
        <w:rPr>
          <w:rFonts w:asciiTheme="majorBidi" w:hAnsiTheme="majorBidi" w:cstheme="majorBidi"/>
          <w:sz w:val="24"/>
          <w:szCs w:val="24"/>
        </w:rPr>
        <w:t xml:space="preserve"> : le ratio isotopique du standard international.</w:t>
      </w:r>
    </w:p>
    <w:p w:rsidR="00406B2B" w:rsidRPr="00893088" w:rsidRDefault="00406B2B" w:rsidP="002A50FE">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Le R</w:t>
      </w:r>
      <w:r w:rsidRPr="00893088">
        <w:rPr>
          <w:rFonts w:asciiTheme="majorBidi" w:hAnsiTheme="majorBidi" w:cstheme="majorBidi"/>
          <w:sz w:val="24"/>
          <w:szCs w:val="24"/>
          <w:vertAlign w:val="subscript"/>
        </w:rPr>
        <w:t>s</w:t>
      </w:r>
      <w:r w:rsidRPr="00893088">
        <w:rPr>
          <w:rFonts w:asciiTheme="majorBidi" w:hAnsiTheme="majorBidi" w:cstheme="majorBidi"/>
          <w:sz w:val="24"/>
          <w:szCs w:val="24"/>
        </w:rPr>
        <w:t xml:space="preserve"> : est celui de PDB (PeeDee belemnite), un   fossile calcaire, issue de la formation rocheuse  Pee  Dee  en  Caroline  du  sud.  Ce  fossile  est  riche  en  </w:t>
      </w:r>
      <w:r w:rsidR="00BB5285" w:rsidRPr="00893088">
        <w:rPr>
          <w:rFonts w:asciiTheme="majorBidi" w:hAnsiTheme="majorBidi" w:cstheme="majorBidi"/>
          <w:sz w:val="24"/>
          <w:szCs w:val="24"/>
        </w:rPr>
        <w:t>C</w:t>
      </w:r>
      <w:r w:rsidR="00BB5285"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et  son  rapport isotopique est de 0.011238, l'unité de mesure de </w:t>
      </w:r>
      <w:r w:rsidR="00EC3704" w:rsidRPr="00893088">
        <w:rPr>
          <w:rFonts w:asciiTheme="majorBidi" w:hAnsiTheme="majorBidi" w:cstheme="majorBidi"/>
          <w:sz w:val="24"/>
          <w:szCs w:val="24"/>
        </w:rPr>
        <w:t xml:space="preserve"> δ</w:t>
      </w:r>
      <w:r w:rsidR="00D9245B" w:rsidRPr="00893088">
        <w:rPr>
          <w:rFonts w:asciiTheme="majorBidi" w:hAnsiTheme="majorBidi" w:cstheme="majorBidi"/>
          <w:sz w:val="24"/>
          <w:szCs w:val="24"/>
        </w:rPr>
        <w:t>C</w:t>
      </w:r>
      <w:r w:rsidR="00D9245B" w:rsidRPr="00893088">
        <w:rPr>
          <w:rFonts w:asciiTheme="majorBidi" w:hAnsiTheme="majorBidi" w:cstheme="majorBidi"/>
          <w:sz w:val="24"/>
          <w:szCs w:val="24"/>
          <w:vertAlign w:val="superscript"/>
        </w:rPr>
        <w:t xml:space="preserve">13 </w:t>
      </w:r>
      <w:r w:rsidRPr="00893088">
        <w:rPr>
          <w:rFonts w:ascii="Times New Roman" w:hAnsi="Times New Roman" w:cs="Times New Roman"/>
          <w:sz w:val="24"/>
          <w:szCs w:val="24"/>
        </w:rPr>
        <w:t>est  un pour mille (‰).</w:t>
      </w:r>
    </w:p>
    <w:p w:rsidR="00406B2B" w:rsidRPr="00893088" w:rsidRDefault="00406B2B"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La composition isotopique du carbone </w:t>
      </w:r>
      <w:r w:rsidR="00847F38" w:rsidRPr="00893088">
        <w:rPr>
          <w:rFonts w:asciiTheme="majorBidi" w:hAnsiTheme="majorBidi" w:cstheme="majorBidi"/>
          <w:sz w:val="24"/>
          <w:szCs w:val="24"/>
        </w:rPr>
        <w:t>δ</w:t>
      </w:r>
      <w:r w:rsidR="00EC3704" w:rsidRPr="00893088">
        <w:rPr>
          <w:rFonts w:asciiTheme="majorBidi" w:hAnsiTheme="majorBidi" w:cstheme="majorBidi"/>
          <w:sz w:val="24"/>
          <w:szCs w:val="24"/>
        </w:rPr>
        <w:t xml:space="preserve"> C</w:t>
      </w:r>
      <w:r w:rsidR="00EC3704" w:rsidRPr="00893088">
        <w:rPr>
          <w:rFonts w:asciiTheme="majorBidi" w:hAnsiTheme="majorBidi" w:cstheme="majorBidi"/>
          <w:sz w:val="24"/>
          <w:szCs w:val="24"/>
          <w:vertAlign w:val="superscript"/>
        </w:rPr>
        <w:t>13</w:t>
      </w:r>
      <w:r w:rsidRPr="00893088">
        <w:rPr>
          <w:rFonts w:ascii="Times New Roman" w:hAnsi="Times New Roman" w:cs="Times New Roman"/>
          <w:sz w:val="24"/>
          <w:szCs w:val="24"/>
        </w:rPr>
        <w:t xml:space="preserve">  d’un composé est d’autant plus négative que </w:t>
      </w:r>
      <w:r w:rsidRPr="00893088">
        <w:rPr>
          <w:rFonts w:asciiTheme="majorBidi" w:hAnsiTheme="majorBidi" w:cstheme="majorBidi"/>
          <w:sz w:val="24"/>
          <w:szCs w:val="24"/>
        </w:rPr>
        <w:t xml:space="preserve">ce produit est pauvre en </w:t>
      </w:r>
      <w:r w:rsidR="00EC3704" w:rsidRPr="00893088">
        <w:rPr>
          <w:rFonts w:asciiTheme="majorBidi" w:hAnsiTheme="majorBidi" w:cstheme="majorBidi"/>
          <w:sz w:val="24"/>
          <w:szCs w:val="24"/>
        </w:rPr>
        <w:t>C</w:t>
      </w:r>
      <w:r w:rsidR="00EC3704"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comparativement au PDB. Par exemple, la</w:t>
      </w:r>
      <w:r w:rsidR="00847F38" w:rsidRPr="00893088">
        <w:rPr>
          <w:rFonts w:asciiTheme="majorBidi" w:hAnsiTheme="majorBidi" w:cstheme="majorBidi"/>
          <w:sz w:val="24"/>
          <w:szCs w:val="24"/>
        </w:rPr>
        <w:t xml:space="preserve"> δ</w:t>
      </w:r>
      <w:r w:rsidR="00EC3704" w:rsidRPr="00893088">
        <w:rPr>
          <w:rFonts w:asciiTheme="majorBidi" w:hAnsiTheme="majorBidi" w:cstheme="majorBidi"/>
          <w:sz w:val="24"/>
          <w:szCs w:val="24"/>
        </w:rPr>
        <w:t>C</w:t>
      </w:r>
      <w:r w:rsidR="00EC3704" w:rsidRPr="00893088">
        <w:rPr>
          <w:rFonts w:asciiTheme="majorBidi" w:hAnsiTheme="majorBidi" w:cstheme="majorBidi"/>
          <w:sz w:val="24"/>
          <w:szCs w:val="24"/>
          <w:vertAlign w:val="superscript"/>
        </w:rPr>
        <w:t>13</w:t>
      </w:r>
      <w:r w:rsidRPr="00893088">
        <w:rPr>
          <w:rFonts w:ascii="Times New Roman" w:hAnsi="Times New Roman" w:cs="Times New Roman"/>
          <w:sz w:val="24"/>
          <w:szCs w:val="24"/>
        </w:rPr>
        <w:t xml:space="preserve">  p</w:t>
      </w:r>
      <w:r w:rsidRPr="00893088">
        <w:rPr>
          <w:rFonts w:asciiTheme="majorBidi" w:hAnsiTheme="majorBidi" w:cstheme="majorBidi"/>
          <w:sz w:val="24"/>
          <w:szCs w:val="24"/>
        </w:rPr>
        <w:t xml:space="preserve">our le CO2 atmosphérique est de – 8.0‰. En plus, de la discrimination du </w:t>
      </w:r>
      <w:r w:rsidR="00EC3704" w:rsidRPr="00893088">
        <w:rPr>
          <w:rFonts w:asciiTheme="majorBidi" w:hAnsiTheme="majorBidi" w:cstheme="majorBidi"/>
          <w:sz w:val="24"/>
          <w:szCs w:val="24"/>
        </w:rPr>
        <w:t>C</w:t>
      </w:r>
      <w:r w:rsidR="00EC3704"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lors de l’assimilation du CO2  dans  la  matière  sèche,  tout  échantillon  végétal  contemporain  a  une  composition isotopique négative (</w:t>
      </w:r>
      <w:r w:rsidR="00353208" w:rsidRPr="00893088">
        <w:rPr>
          <w:rFonts w:asciiTheme="majorBidi" w:hAnsiTheme="majorBidi" w:cstheme="majorBidi"/>
          <w:sz w:val="24"/>
          <w:szCs w:val="24"/>
        </w:rPr>
        <w:t xml:space="preserve">ROUABHI </w:t>
      </w:r>
      <w:r w:rsidRPr="00893088">
        <w:rPr>
          <w:rFonts w:asciiTheme="majorBidi" w:hAnsiTheme="majorBidi" w:cstheme="majorBidi"/>
          <w:sz w:val="24"/>
          <w:szCs w:val="24"/>
        </w:rPr>
        <w:t>, 200</w:t>
      </w:r>
      <w:r w:rsidR="00353208" w:rsidRPr="00893088">
        <w:rPr>
          <w:rFonts w:asciiTheme="majorBidi" w:hAnsiTheme="majorBidi" w:cstheme="majorBidi"/>
          <w:sz w:val="24"/>
          <w:szCs w:val="24"/>
        </w:rPr>
        <w:t>7</w:t>
      </w:r>
      <w:r w:rsidRPr="00893088">
        <w:rPr>
          <w:rFonts w:asciiTheme="majorBidi" w:hAnsiTheme="majorBidi" w:cstheme="majorBidi"/>
          <w:sz w:val="24"/>
          <w:szCs w:val="24"/>
        </w:rPr>
        <w:t>)</w:t>
      </w:r>
      <w:r w:rsidR="00EC3704" w:rsidRPr="00893088">
        <w:rPr>
          <w:rFonts w:asciiTheme="majorBidi" w:hAnsiTheme="majorBidi" w:cstheme="majorBidi"/>
          <w:sz w:val="24"/>
          <w:szCs w:val="24"/>
        </w:rPr>
        <w:t>.</w:t>
      </w:r>
    </w:p>
    <w:p w:rsidR="00406B2B" w:rsidRPr="00893088" w:rsidRDefault="002A50FE" w:rsidP="002A50FE">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L</w:t>
      </w:r>
      <w:r w:rsidR="00406B2B" w:rsidRPr="00893088">
        <w:rPr>
          <w:rFonts w:asciiTheme="majorBidi" w:hAnsiTheme="majorBidi" w:cstheme="majorBidi"/>
          <w:sz w:val="24"/>
          <w:szCs w:val="24"/>
        </w:rPr>
        <w:t>e ratio isotopique du carbone d’un tissu foliaire reflète la variation de la pression partielle du CO2 à l’intérieur des stomates de la feuille. Ils ont quantifié la discrimination par l'équation suivante:</w:t>
      </w:r>
      <w:r w:rsidR="00EC3704" w:rsidRPr="00893088">
        <w:rPr>
          <w:rFonts w:asciiTheme="majorBidi" w:hAnsiTheme="majorBidi" w:cstheme="majorBidi"/>
          <w:sz w:val="24"/>
          <w:szCs w:val="24"/>
        </w:rPr>
        <w:t xml:space="preserve"> </w:t>
      </w:r>
      <w:r w:rsidR="00406B2B" w:rsidRPr="00893088">
        <w:rPr>
          <w:rFonts w:ascii="Times New Roman" w:hAnsi="Times New Roman" w:cs="Times New Roman"/>
          <w:sz w:val="24"/>
          <w:szCs w:val="24"/>
        </w:rPr>
        <w:t xml:space="preserve"> </w:t>
      </w:r>
      <w:r w:rsidR="00EC3704" w:rsidRPr="00893088">
        <w:rPr>
          <w:rFonts w:ascii="Times New Roman" w:hAnsi="Times New Roman" w:cs="Times New Roman"/>
          <w:sz w:val="24"/>
          <w:szCs w:val="24"/>
        </w:rPr>
        <w:t xml:space="preserve">  </w:t>
      </w:r>
      <w:r w:rsidR="00EC3704" w:rsidRPr="00893088">
        <w:rPr>
          <w:rFonts w:asciiTheme="majorBidi" w:hAnsiTheme="majorBidi" w:cstheme="majorBidi"/>
          <w:sz w:val="24"/>
          <w:szCs w:val="24"/>
          <w:lang w:val="en-US"/>
        </w:rPr>
        <w:t>Δ</w:t>
      </w:r>
      <w:r w:rsidR="00EC3704" w:rsidRPr="00893088">
        <w:rPr>
          <w:rFonts w:asciiTheme="majorBidi" w:hAnsiTheme="majorBidi" w:cstheme="majorBidi"/>
          <w:sz w:val="24"/>
          <w:szCs w:val="24"/>
        </w:rPr>
        <w:t xml:space="preserve"> </w:t>
      </w:r>
      <w:r w:rsidR="00EC3704" w:rsidRPr="00893088">
        <w:rPr>
          <w:rFonts w:ascii="Times New Roman" w:hAnsi="Times New Roman" w:cs="Times New Roman"/>
          <w:sz w:val="24"/>
          <w:szCs w:val="24"/>
        </w:rPr>
        <w:t xml:space="preserve">= </w:t>
      </w:r>
      <w:r w:rsidR="00406B2B" w:rsidRPr="00893088">
        <w:rPr>
          <w:rFonts w:ascii="Times New Roman" w:hAnsi="Times New Roman" w:cs="Times New Roman"/>
          <w:sz w:val="24"/>
          <w:szCs w:val="24"/>
        </w:rPr>
        <w:t>a + (b-a)P</w:t>
      </w:r>
      <w:r w:rsidR="00406B2B" w:rsidRPr="00893088">
        <w:rPr>
          <w:rFonts w:ascii="Times New Roman" w:hAnsi="Times New Roman" w:cs="Times New Roman"/>
          <w:sz w:val="24"/>
          <w:szCs w:val="24"/>
          <w:vertAlign w:val="subscript"/>
        </w:rPr>
        <w:t>i</w:t>
      </w:r>
      <w:r w:rsidR="00406B2B" w:rsidRPr="00893088">
        <w:rPr>
          <w:rFonts w:ascii="Times New Roman" w:hAnsi="Times New Roman" w:cs="Times New Roman"/>
          <w:sz w:val="24"/>
          <w:szCs w:val="24"/>
        </w:rPr>
        <w:t>/P</w:t>
      </w:r>
      <w:r w:rsidR="00406B2B" w:rsidRPr="00893088">
        <w:rPr>
          <w:rFonts w:ascii="Times New Roman" w:hAnsi="Times New Roman" w:cs="Times New Roman"/>
          <w:sz w:val="24"/>
          <w:szCs w:val="24"/>
          <w:vertAlign w:val="subscript"/>
        </w:rPr>
        <w:t>a</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Où :</w:t>
      </w:r>
    </w:p>
    <w:p w:rsidR="00003089"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a : la discrimination due à la diffusion lente de C</w:t>
      </w:r>
      <w:r w:rsidR="00003089"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dans l'air, qui est de 1.0044</w:t>
      </w:r>
      <w:r w:rsidR="00003089" w:rsidRPr="00893088">
        <w:rPr>
          <w:rFonts w:asciiTheme="majorBidi" w:hAnsiTheme="majorBidi" w:cstheme="majorBidi"/>
          <w:sz w:val="24"/>
          <w:szCs w:val="24"/>
        </w:rPr>
        <w:t>.</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b</w:t>
      </w:r>
      <w:r w:rsidR="00003089" w:rsidRPr="00893088">
        <w:rPr>
          <w:rFonts w:asciiTheme="majorBidi" w:hAnsiTheme="majorBidi" w:cstheme="majorBidi"/>
          <w:sz w:val="24"/>
          <w:szCs w:val="24"/>
        </w:rPr>
        <w:t xml:space="preserve"> </w:t>
      </w:r>
      <w:r w:rsidRPr="00893088">
        <w:rPr>
          <w:rFonts w:asciiTheme="majorBidi" w:hAnsiTheme="majorBidi" w:cstheme="majorBidi"/>
          <w:sz w:val="24"/>
          <w:szCs w:val="24"/>
        </w:rPr>
        <w:t>: la discrimination due à la carboxylation, qui est de 1.0029 ; données pour la plupart des conditions aux champs.</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P</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 xml:space="preserve"> : (constante) est la pression partielle du CO2 atmosphérique</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lastRenderedPageBreak/>
        <w:t>P</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 la pression partielle du CO2 intercellulaire.</w:t>
      </w:r>
    </w:p>
    <w:p w:rsidR="00406B2B" w:rsidRPr="00893088" w:rsidRDefault="00406B2B" w:rsidP="00F46493">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Cette équation peut être utilisée pour calculer l’intégrale de Pi à long terme. Des études ont vérifié la corrélation entre le ratio du carbone isotopique avec les valeurs de l’intégrale à long terme de P</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/P</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 xml:space="preserve"> (</w:t>
      </w:r>
      <w:r w:rsidR="00451FC4">
        <w:rPr>
          <w:rFonts w:asciiTheme="majorBidi" w:hAnsiTheme="majorBidi" w:cstheme="majorBidi"/>
          <w:sz w:val="24"/>
          <w:szCs w:val="24"/>
        </w:rPr>
        <w:t>R</w:t>
      </w:r>
      <w:r w:rsidR="00F46493">
        <w:rPr>
          <w:rFonts w:asciiTheme="majorBidi" w:hAnsiTheme="majorBidi" w:cstheme="majorBidi"/>
          <w:sz w:val="24"/>
          <w:szCs w:val="24"/>
        </w:rPr>
        <w:t>OUABHI</w:t>
      </w:r>
      <w:r w:rsidR="00451FC4">
        <w:rPr>
          <w:rFonts w:asciiTheme="majorBidi" w:hAnsiTheme="majorBidi" w:cstheme="majorBidi"/>
          <w:sz w:val="24"/>
          <w:szCs w:val="24"/>
        </w:rPr>
        <w:t>, 2007</w:t>
      </w:r>
      <w:r w:rsidRPr="00893088">
        <w:rPr>
          <w:rFonts w:asciiTheme="majorBidi" w:hAnsiTheme="majorBidi" w:cstheme="majorBidi"/>
          <w:sz w:val="24"/>
          <w:szCs w:val="24"/>
        </w:rPr>
        <w:t>).</w:t>
      </w:r>
    </w:p>
    <w:p w:rsidR="00406B2B" w:rsidRPr="00893088" w:rsidRDefault="00406B2B"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La valeur P</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/P</w:t>
      </w:r>
      <w:r w:rsidRPr="00893088">
        <w:rPr>
          <w:rFonts w:asciiTheme="majorBidi" w:hAnsiTheme="majorBidi" w:cstheme="majorBidi"/>
          <w:sz w:val="24"/>
          <w:szCs w:val="24"/>
          <w:vertAlign w:val="subscript"/>
        </w:rPr>
        <w:t>a</w:t>
      </w:r>
      <w:r w:rsidR="00003089" w:rsidRPr="00893088">
        <w:rPr>
          <w:rFonts w:asciiTheme="majorBidi" w:hAnsiTheme="majorBidi" w:cstheme="majorBidi"/>
          <w:sz w:val="24"/>
          <w:szCs w:val="24"/>
        </w:rPr>
        <w:t xml:space="preserve"> est importante car elle </w:t>
      </w:r>
      <w:r w:rsidRPr="00893088">
        <w:rPr>
          <w:rFonts w:asciiTheme="majorBidi" w:hAnsiTheme="majorBidi" w:cstheme="majorBidi"/>
          <w:sz w:val="24"/>
          <w:szCs w:val="24"/>
        </w:rPr>
        <w:t>est fonction de la capacité photosynthétique et la</w:t>
      </w:r>
      <w:r w:rsidR="00003089" w:rsidRPr="00893088">
        <w:rPr>
          <w:rFonts w:asciiTheme="majorBidi" w:hAnsiTheme="majorBidi" w:cstheme="majorBidi"/>
          <w:sz w:val="24"/>
          <w:szCs w:val="24"/>
        </w:rPr>
        <w:t xml:space="preserve"> </w:t>
      </w:r>
      <w:r w:rsidRPr="00893088">
        <w:rPr>
          <w:rFonts w:asciiTheme="majorBidi" w:hAnsiTheme="majorBidi" w:cstheme="majorBidi"/>
          <w:sz w:val="24"/>
          <w:szCs w:val="24"/>
        </w:rPr>
        <w:t>conductance stomatique. Les changements dans P</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/P</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 xml:space="preserve">  et le ratio du carbone isotopique de la feuille sont par conséquent fonction des changements de l’un ou des deux à savoir la capacité photosynthétique et la conductance stomatique (Farquhar et al., 1989).</w:t>
      </w:r>
    </w:p>
    <w:p w:rsidR="00406B2B" w:rsidRPr="00893088" w:rsidRDefault="00406B2B" w:rsidP="00F46493">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La  discriminati</w:t>
      </w:r>
      <w:r w:rsidR="00623358" w:rsidRPr="00893088">
        <w:rPr>
          <w:rFonts w:asciiTheme="majorBidi" w:hAnsiTheme="majorBidi" w:cstheme="majorBidi"/>
          <w:sz w:val="24"/>
          <w:szCs w:val="24"/>
        </w:rPr>
        <w:t>on  isotopique  du  carbone  (ΔC</w:t>
      </w:r>
      <w:r w:rsidR="00623358"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est  une  mesure  du  ratio  </w:t>
      </w:r>
      <w:r w:rsidR="00623358" w:rsidRPr="00893088">
        <w:rPr>
          <w:rFonts w:asciiTheme="majorBidi" w:hAnsiTheme="majorBidi" w:cstheme="majorBidi"/>
          <w:sz w:val="24"/>
          <w:szCs w:val="24"/>
        </w:rPr>
        <w:t>C</w:t>
      </w:r>
      <w:r w:rsidR="00623358"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w:t>
      </w:r>
      <w:r w:rsidR="00623358" w:rsidRPr="00893088">
        <w:rPr>
          <w:rFonts w:asciiTheme="majorBidi" w:hAnsiTheme="majorBidi" w:cstheme="majorBidi"/>
          <w:sz w:val="24"/>
          <w:szCs w:val="24"/>
        </w:rPr>
        <w:t xml:space="preserve"> C</w:t>
      </w:r>
      <w:r w:rsidR="00623358" w:rsidRPr="00893088">
        <w:rPr>
          <w:rFonts w:asciiTheme="majorBidi" w:hAnsiTheme="majorBidi" w:cstheme="majorBidi"/>
          <w:sz w:val="24"/>
          <w:szCs w:val="24"/>
          <w:vertAlign w:val="superscript"/>
        </w:rPr>
        <w:t>12</w:t>
      </w:r>
      <w:r w:rsidR="00623358" w:rsidRPr="00893088">
        <w:rPr>
          <w:rFonts w:asciiTheme="majorBidi" w:hAnsiTheme="majorBidi" w:cstheme="majorBidi"/>
          <w:sz w:val="24"/>
          <w:szCs w:val="24"/>
        </w:rPr>
        <w:t xml:space="preserve"> </w:t>
      </w:r>
      <w:r w:rsidRPr="00893088">
        <w:rPr>
          <w:rFonts w:asciiTheme="majorBidi" w:hAnsiTheme="majorBidi" w:cstheme="majorBidi"/>
          <w:sz w:val="24"/>
          <w:szCs w:val="24"/>
        </w:rPr>
        <w:t xml:space="preserve">du matériel végétal, relativement à la même valeur du ratio de l’air environnant </w:t>
      </w:r>
      <w:r w:rsidR="00F46493">
        <w:rPr>
          <w:rFonts w:asciiTheme="majorBidi" w:hAnsiTheme="majorBidi" w:cstheme="majorBidi"/>
          <w:sz w:val="24"/>
          <w:szCs w:val="24"/>
        </w:rPr>
        <w:t>.</w:t>
      </w:r>
    </w:p>
    <w:p w:rsidR="00406B2B" w:rsidRPr="00893088" w:rsidRDefault="00623358"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 xml:space="preserve"> Δ C</w:t>
      </w:r>
      <w:r w:rsidRPr="00893088">
        <w:rPr>
          <w:rFonts w:asciiTheme="majorBidi" w:hAnsiTheme="majorBidi" w:cstheme="majorBidi"/>
          <w:sz w:val="24"/>
          <w:szCs w:val="24"/>
          <w:vertAlign w:val="superscript"/>
        </w:rPr>
        <w:t>13</w:t>
      </w:r>
      <w:r w:rsidR="00406B2B" w:rsidRPr="00893088">
        <w:rPr>
          <w:rFonts w:ascii="Times New Roman" w:hAnsi="Times New Roman" w:cs="Times New Roman"/>
          <w:sz w:val="24"/>
          <w:szCs w:val="24"/>
        </w:rPr>
        <w:t>= (R</w:t>
      </w:r>
      <w:r w:rsidR="00406B2B" w:rsidRPr="00893088">
        <w:rPr>
          <w:rFonts w:ascii="Times New Roman" w:hAnsi="Times New Roman" w:cs="Times New Roman"/>
          <w:sz w:val="24"/>
          <w:szCs w:val="24"/>
          <w:vertAlign w:val="subscript"/>
        </w:rPr>
        <w:t>a</w:t>
      </w:r>
      <w:r w:rsidR="00406B2B" w:rsidRPr="00893088">
        <w:rPr>
          <w:rFonts w:ascii="Times New Roman" w:hAnsi="Times New Roman" w:cs="Times New Roman"/>
          <w:sz w:val="24"/>
          <w:szCs w:val="24"/>
        </w:rPr>
        <w:t>/R</w:t>
      </w:r>
      <w:r w:rsidR="00406B2B" w:rsidRPr="00893088">
        <w:rPr>
          <w:rFonts w:ascii="Times New Roman" w:hAnsi="Times New Roman" w:cs="Times New Roman"/>
          <w:sz w:val="24"/>
          <w:szCs w:val="24"/>
          <w:vertAlign w:val="subscript"/>
        </w:rPr>
        <w:t>p</w:t>
      </w:r>
      <w:r w:rsidR="00406B2B" w:rsidRPr="00893088">
        <w:rPr>
          <w:rFonts w:ascii="Times New Roman" w:hAnsi="Times New Roman" w:cs="Times New Roman"/>
          <w:sz w:val="24"/>
          <w:szCs w:val="24"/>
        </w:rPr>
        <w:t>)-1 (</w:t>
      </w:r>
      <w:r w:rsidR="00E64272" w:rsidRPr="00893088">
        <w:rPr>
          <w:rFonts w:asciiTheme="majorBidi" w:hAnsiTheme="majorBidi" w:cstheme="majorBidi"/>
          <w:sz w:val="24"/>
          <w:szCs w:val="24"/>
        </w:rPr>
        <w:t>ROUABHI , 2007</w:t>
      </w:r>
      <w:r w:rsidR="00406B2B" w:rsidRPr="00893088">
        <w:rPr>
          <w:rFonts w:ascii="Times New Roman" w:hAnsi="Times New Roman" w:cs="Times New Roman"/>
          <w:sz w:val="24"/>
          <w:szCs w:val="24"/>
        </w:rPr>
        <w:t>).</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Où :</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R</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 xml:space="preserve"> est le ratio </w:t>
      </w:r>
      <w:r w:rsidR="00B32856" w:rsidRPr="00893088">
        <w:rPr>
          <w:rFonts w:asciiTheme="majorBidi" w:hAnsiTheme="majorBidi" w:cstheme="majorBidi"/>
          <w:sz w:val="24"/>
          <w:szCs w:val="24"/>
        </w:rPr>
        <w:t>C</w:t>
      </w:r>
      <w:r w:rsidR="00B32856" w:rsidRPr="00893088">
        <w:rPr>
          <w:rFonts w:asciiTheme="majorBidi" w:hAnsiTheme="majorBidi" w:cstheme="majorBidi"/>
          <w:sz w:val="24"/>
          <w:szCs w:val="24"/>
          <w:vertAlign w:val="superscript"/>
        </w:rPr>
        <w:t>13</w:t>
      </w:r>
      <w:r w:rsidR="00B32856" w:rsidRPr="00893088">
        <w:rPr>
          <w:rFonts w:asciiTheme="majorBidi" w:hAnsiTheme="majorBidi" w:cstheme="majorBidi"/>
          <w:sz w:val="24"/>
          <w:szCs w:val="24"/>
        </w:rPr>
        <w:t>/ C</w:t>
      </w:r>
      <w:r w:rsidR="00B32856" w:rsidRPr="00893088">
        <w:rPr>
          <w:rFonts w:asciiTheme="majorBidi" w:hAnsiTheme="majorBidi" w:cstheme="majorBidi"/>
          <w:sz w:val="24"/>
          <w:szCs w:val="24"/>
          <w:vertAlign w:val="superscript"/>
        </w:rPr>
        <w:t>12</w:t>
      </w:r>
      <w:r w:rsidR="00B32856" w:rsidRPr="00893088">
        <w:rPr>
          <w:rFonts w:asciiTheme="majorBidi" w:hAnsiTheme="majorBidi" w:cstheme="majorBidi"/>
          <w:sz w:val="24"/>
          <w:szCs w:val="24"/>
        </w:rPr>
        <w:t xml:space="preserve"> </w:t>
      </w:r>
      <w:r w:rsidRPr="00893088">
        <w:rPr>
          <w:rFonts w:asciiTheme="majorBidi" w:hAnsiTheme="majorBidi" w:cstheme="majorBidi"/>
          <w:sz w:val="24"/>
          <w:szCs w:val="24"/>
        </w:rPr>
        <w:t>de l’air (atmosphère).</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R</w:t>
      </w:r>
      <w:r w:rsidRPr="00893088">
        <w:rPr>
          <w:rFonts w:asciiTheme="majorBidi" w:hAnsiTheme="majorBidi" w:cstheme="majorBidi"/>
          <w:sz w:val="24"/>
          <w:szCs w:val="24"/>
          <w:vertAlign w:val="subscript"/>
        </w:rPr>
        <w:t>p</w:t>
      </w:r>
      <w:r w:rsidRPr="00893088">
        <w:rPr>
          <w:rFonts w:asciiTheme="majorBidi" w:hAnsiTheme="majorBidi" w:cstheme="majorBidi"/>
          <w:sz w:val="24"/>
          <w:szCs w:val="24"/>
        </w:rPr>
        <w:t xml:space="preserve"> est le ratio </w:t>
      </w:r>
      <w:r w:rsidR="00B32856" w:rsidRPr="00893088">
        <w:rPr>
          <w:rFonts w:asciiTheme="majorBidi" w:hAnsiTheme="majorBidi" w:cstheme="majorBidi"/>
          <w:sz w:val="24"/>
          <w:szCs w:val="24"/>
        </w:rPr>
        <w:t>C</w:t>
      </w:r>
      <w:r w:rsidR="00B32856" w:rsidRPr="00893088">
        <w:rPr>
          <w:rFonts w:asciiTheme="majorBidi" w:hAnsiTheme="majorBidi" w:cstheme="majorBidi"/>
          <w:sz w:val="24"/>
          <w:szCs w:val="24"/>
          <w:vertAlign w:val="superscript"/>
        </w:rPr>
        <w:t>13</w:t>
      </w:r>
      <w:r w:rsidR="00B32856" w:rsidRPr="00893088">
        <w:rPr>
          <w:rFonts w:asciiTheme="majorBidi" w:hAnsiTheme="majorBidi" w:cstheme="majorBidi"/>
          <w:sz w:val="24"/>
          <w:szCs w:val="24"/>
        </w:rPr>
        <w:t>/ C</w:t>
      </w:r>
      <w:r w:rsidR="00B32856" w:rsidRPr="00893088">
        <w:rPr>
          <w:rFonts w:asciiTheme="majorBidi" w:hAnsiTheme="majorBidi" w:cstheme="majorBidi"/>
          <w:sz w:val="24"/>
          <w:szCs w:val="24"/>
          <w:vertAlign w:val="superscript"/>
        </w:rPr>
        <w:t>12</w:t>
      </w:r>
      <w:r w:rsidR="00B32856" w:rsidRPr="00893088">
        <w:rPr>
          <w:rFonts w:asciiTheme="majorBidi" w:hAnsiTheme="majorBidi" w:cstheme="majorBidi"/>
          <w:sz w:val="24"/>
          <w:szCs w:val="24"/>
        </w:rPr>
        <w:t xml:space="preserve"> </w:t>
      </w:r>
      <w:r w:rsidRPr="00893088">
        <w:rPr>
          <w:rFonts w:asciiTheme="majorBidi" w:hAnsiTheme="majorBidi" w:cstheme="majorBidi"/>
          <w:sz w:val="24"/>
          <w:szCs w:val="24"/>
        </w:rPr>
        <w:t>de la plante.</w:t>
      </w:r>
    </w:p>
    <w:p w:rsidR="00406B2B" w:rsidRPr="00893088" w:rsidRDefault="00406B2B"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La discrimination isotopique du carbone prend des valeurs positives, ce qui explique le fait que les plantes en C3 discriminent activement contre le </w:t>
      </w:r>
      <w:r w:rsidR="00B32856" w:rsidRPr="00893088">
        <w:rPr>
          <w:rFonts w:asciiTheme="majorBidi" w:hAnsiTheme="majorBidi" w:cstheme="majorBidi"/>
          <w:sz w:val="24"/>
          <w:szCs w:val="24"/>
        </w:rPr>
        <w:t>C</w:t>
      </w:r>
      <w:r w:rsidR="00B32856"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au cours de la photosynthèse.</w:t>
      </w:r>
    </w:p>
    <w:p w:rsidR="00406B2B" w:rsidRPr="00893088" w:rsidRDefault="00406B2B" w:rsidP="00F46493">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Depuis la publication de la théorie de  Farquhar et al., (198</w:t>
      </w:r>
      <w:r w:rsidR="00F46493">
        <w:rPr>
          <w:rFonts w:asciiTheme="majorBidi" w:hAnsiTheme="majorBidi" w:cstheme="majorBidi"/>
          <w:sz w:val="24"/>
          <w:szCs w:val="24"/>
        </w:rPr>
        <w:t>9</w:t>
      </w:r>
      <w:r w:rsidRPr="00893088">
        <w:rPr>
          <w:rFonts w:asciiTheme="majorBidi" w:hAnsiTheme="majorBidi" w:cstheme="majorBidi"/>
          <w:sz w:val="24"/>
          <w:szCs w:val="24"/>
        </w:rPr>
        <w:t xml:space="preserve">) indiquant que le ratio </w:t>
      </w:r>
      <w:r w:rsidR="00B32856" w:rsidRPr="00893088">
        <w:rPr>
          <w:rFonts w:asciiTheme="majorBidi" w:hAnsiTheme="majorBidi" w:cstheme="majorBidi"/>
          <w:sz w:val="24"/>
          <w:szCs w:val="24"/>
        </w:rPr>
        <w:t>C</w:t>
      </w:r>
      <w:r w:rsidR="00B32856" w:rsidRPr="00893088">
        <w:rPr>
          <w:rFonts w:asciiTheme="majorBidi" w:hAnsiTheme="majorBidi" w:cstheme="majorBidi"/>
          <w:sz w:val="24"/>
          <w:szCs w:val="24"/>
          <w:vertAlign w:val="superscript"/>
        </w:rPr>
        <w:t>13</w:t>
      </w:r>
      <w:r w:rsidR="00B32856" w:rsidRPr="00893088">
        <w:rPr>
          <w:rFonts w:asciiTheme="majorBidi" w:hAnsiTheme="majorBidi" w:cstheme="majorBidi"/>
          <w:sz w:val="24"/>
          <w:szCs w:val="24"/>
        </w:rPr>
        <w:t>/ C</w:t>
      </w:r>
      <w:r w:rsidR="00B32856" w:rsidRPr="00893088">
        <w:rPr>
          <w:rFonts w:asciiTheme="majorBidi" w:hAnsiTheme="majorBidi" w:cstheme="majorBidi"/>
          <w:sz w:val="24"/>
          <w:szCs w:val="24"/>
          <w:vertAlign w:val="superscript"/>
        </w:rPr>
        <w:t>12</w:t>
      </w:r>
      <w:r w:rsidR="00B32856" w:rsidRPr="00893088">
        <w:rPr>
          <w:rFonts w:asciiTheme="majorBidi" w:hAnsiTheme="majorBidi" w:cstheme="majorBidi"/>
          <w:sz w:val="24"/>
          <w:szCs w:val="24"/>
        </w:rPr>
        <w:t xml:space="preserve"> </w:t>
      </w:r>
      <w:r w:rsidRPr="00893088">
        <w:rPr>
          <w:rFonts w:asciiTheme="majorBidi" w:hAnsiTheme="majorBidi" w:cstheme="majorBidi"/>
          <w:sz w:val="24"/>
          <w:szCs w:val="24"/>
        </w:rPr>
        <w:t xml:space="preserve">de la matière sèche des plantes en C3 est le résultat de la discrimination du </w:t>
      </w:r>
      <w:r w:rsidR="00B32856" w:rsidRPr="00893088">
        <w:rPr>
          <w:rFonts w:asciiTheme="majorBidi" w:hAnsiTheme="majorBidi" w:cstheme="majorBidi"/>
          <w:sz w:val="24"/>
          <w:szCs w:val="24"/>
        </w:rPr>
        <w:t>C</w:t>
      </w:r>
      <w:r w:rsidR="00B32856" w:rsidRPr="00893088">
        <w:rPr>
          <w:rFonts w:asciiTheme="majorBidi" w:hAnsiTheme="majorBidi" w:cstheme="majorBidi"/>
          <w:sz w:val="24"/>
          <w:szCs w:val="24"/>
          <w:vertAlign w:val="superscript"/>
        </w:rPr>
        <w:t>13</w:t>
      </w:r>
      <w:r w:rsidRPr="00893088">
        <w:rPr>
          <w:rFonts w:asciiTheme="majorBidi" w:hAnsiTheme="majorBidi" w:cstheme="majorBidi"/>
          <w:sz w:val="24"/>
          <w:szCs w:val="24"/>
        </w:rPr>
        <w:t xml:space="preserve"> au cours des processus vitaux. Ces processus sont inclus dans l’équation :</w:t>
      </w:r>
    </w:p>
    <w:p w:rsidR="00406B2B" w:rsidRPr="00893088" w:rsidRDefault="00B32856" w:rsidP="00893088">
      <w:pPr>
        <w:spacing w:line="360" w:lineRule="auto"/>
        <w:jc w:val="both"/>
        <w:rPr>
          <w:rFonts w:asciiTheme="majorBidi" w:hAnsiTheme="majorBidi" w:cstheme="majorBidi"/>
          <w:sz w:val="24"/>
          <w:szCs w:val="24"/>
        </w:rPr>
      </w:pPr>
      <w:r w:rsidRPr="00893088">
        <w:rPr>
          <w:rFonts w:ascii="Times New Roman" w:hAnsi="Times New Roman" w:cs="Times New Roman"/>
          <w:sz w:val="24"/>
          <w:szCs w:val="24"/>
        </w:rPr>
        <w:t xml:space="preserve"> Δ</w:t>
      </w:r>
      <w:r w:rsidRPr="00893088">
        <w:rPr>
          <w:rFonts w:asciiTheme="majorBidi" w:hAnsiTheme="majorBidi" w:cstheme="majorBidi"/>
          <w:sz w:val="24"/>
          <w:szCs w:val="24"/>
        </w:rPr>
        <w:t>C</w:t>
      </w:r>
      <w:r w:rsidRPr="00893088">
        <w:rPr>
          <w:rFonts w:asciiTheme="majorBidi" w:hAnsiTheme="majorBidi" w:cstheme="majorBidi"/>
          <w:sz w:val="24"/>
          <w:szCs w:val="24"/>
          <w:vertAlign w:val="superscript"/>
        </w:rPr>
        <w:t>13</w:t>
      </w:r>
      <w:r w:rsidR="00406B2B" w:rsidRPr="00893088">
        <w:rPr>
          <w:rFonts w:ascii="Times New Roman" w:hAnsi="Times New Roman" w:cs="Times New Roman"/>
          <w:sz w:val="24"/>
          <w:szCs w:val="24"/>
        </w:rPr>
        <w:t>= (a-d) + (b-a)c</w:t>
      </w:r>
      <w:r w:rsidR="00406B2B" w:rsidRPr="00893088">
        <w:rPr>
          <w:rFonts w:ascii="Times New Roman" w:hAnsi="Times New Roman" w:cs="Times New Roman"/>
          <w:sz w:val="24"/>
          <w:szCs w:val="24"/>
          <w:vertAlign w:val="subscript"/>
        </w:rPr>
        <w:t>i</w:t>
      </w:r>
      <w:r w:rsidR="00406B2B" w:rsidRPr="00893088">
        <w:rPr>
          <w:rFonts w:ascii="Times New Roman" w:hAnsi="Times New Roman" w:cs="Times New Roman"/>
          <w:sz w:val="24"/>
          <w:szCs w:val="24"/>
        </w:rPr>
        <w:t>/c</w:t>
      </w:r>
      <w:r w:rsidR="00406B2B" w:rsidRPr="00893088">
        <w:rPr>
          <w:rFonts w:ascii="Times New Roman" w:hAnsi="Times New Roman" w:cs="Times New Roman"/>
          <w:sz w:val="24"/>
          <w:szCs w:val="24"/>
          <w:vertAlign w:val="subscript"/>
        </w:rPr>
        <w:t>a</w:t>
      </w:r>
    </w:p>
    <w:p w:rsidR="00B32856"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a : la discrimination qui se produit pendant la diffusion de CO2 à travers les stomates</w:t>
      </w:r>
      <w:r w:rsidR="00B32856" w:rsidRPr="00893088">
        <w:rPr>
          <w:rFonts w:asciiTheme="majorBidi" w:hAnsiTheme="majorBidi" w:cstheme="majorBidi"/>
          <w:sz w:val="24"/>
          <w:szCs w:val="24"/>
        </w:rPr>
        <w:t>.</w:t>
      </w:r>
    </w:p>
    <w:p w:rsidR="00B32856"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b : la discrimination par la 'Rubisco' pendant le processus de carboxylation du CO2  dans les premiers produits de photosynthèse</w:t>
      </w:r>
      <w:r w:rsidR="00B32856" w:rsidRPr="00893088">
        <w:rPr>
          <w:rFonts w:asciiTheme="majorBidi" w:hAnsiTheme="majorBidi" w:cstheme="majorBidi"/>
          <w:sz w:val="24"/>
          <w:szCs w:val="24"/>
        </w:rPr>
        <w:t>.</w:t>
      </w:r>
    </w:p>
    <w:p w:rsidR="00406B2B" w:rsidRPr="00893088" w:rsidRDefault="00406B2B"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 xml:space="preserve">d : quelques fractionnements de métabolisme subséquent ; probablement la </w:t>
      </w:r>
      <w:r w:rsidR="00B32856" w:rsidRPr="00893088">
        <w:rPr>
          <w:rFonts w:asciiTheme="majorBidi" w:hAnsiTheme="majorBidi" w:cstheme="majorBidi"/>
          <w:sz w:val="24"/>
          <w:szCs w:val="24"/>
        </w:rPr>
        <w:t>respiration.</w:t>
      </w:r>
    </w:p>
    <w:p w:rsidR="00406B2B" w:rsidRDefault="00406B2B" w:rsidP="00654195">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Une autre équation </w:t>
      </w:r>
      <w:r w:rsidR="00654195">
        <w:rPr>
          <w:rFonts w:asciiTheme="majorBidi" w:hAnsiTheme="majorBidi" w:cstheme="majorBidi"/>
          <w:sz w:val="24"/>
          <w:szCs w:val="24"/>
        </w:rPr>
        <w:t xml:space="preserve"> </w:t>
      </w:r>
      <w:r w:rsidRPr="00893088">
        <w:rPr>
          <w:rFonts w:asciiTheme="majorBidi" w:hAnsiTheme="majorBidi" w:cstheme="majorBidi"/>
          <w:sz w:val="24"/>
          <w:szCs w:val="24"/>
        </w:rPr>
        <w:t xml:space="preserve">qui décrit la variation en </w:t>
      </w:r>
      <w:r w:rsidR="00B32856" w:rsidRPr="00893088">
        <w:rPr>
          <w:rFonts w:ascii="Times New Roman" w:hAnsi="Times New Roman" w:cs="Times New Roman"/>
          <w:sz w:val="24"/>
          <w:szCs w:val="24"/>
        </w:rPr>
        <w:t>C</w:t>
      </w:r>
      <w:r w:rsidR="00B32856"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mesuré dans la matière sèche végétale:</w:t>
      </w:r>
    </w:p>
    <w:p w:rsidR="00406B2B" w:rsidRPr="00893088" w:rsidRDefault="00B32856" w:rsidP="00893088">
      <w:pPr>
        <w:spacing w:line="360" w:lineRule="auto"/>
        <w:jc w:val="both"/>
        <w:rPr>
          <w:rFonts w:asciiTheme="majorBidi" w:hAnsiTheme="majorBidi" w:cstheme="majorBidi"/>
          <w:sz w:val="24"/>
          <w:szCs w:val="24"/>
        </w:rPr>
      </w:pPr>
      <w:r w:rsidRPr="00893088">
        <w:rPr>
          <w:rFonts w:ascii="Times New Roman" w:hAnsi="Times New Roman" w:cs="Times New Roman"/>
          <w:sz w:val="24"/>
          <w:szCs w:val="24"/>
        </w:rPr>
        <w:t>Δ</w:t>
      </w:r>
      <w:r w:rsidR="00406B2B" w:rsidRPr="00893088">
        <w:rPr>
          <w:rFonts w:ascii="Times New Roman" w:hAnsi="Times New Roman" w:cs="Times New Roman"/>
          <w:sz w:val="24"/>
          <w:szCs w:val="24"/>
        </w:rPr>
        <w:t>C</w:t>
      </w:r>
      <w:r w:rsidRPr="00893088">
        <w:rPr>
          <w:rFonts w:ascii="Times New Roman" w:hAnsi="Times New Roman" w:cs="Times New Roman"/>
          <w:sz w:val="24"/>
          <w:szCs w:val="24"/>
          <w:vertAlign w:val="superscript"/>
        </w:rPr>
        <w:t>13</w:t>
      </w:r>
      <w:r w:rsidR="00406B2B" w:rsidRPr="00893088">
        <w:rPr>
          <w:rFonts w:ascii="Times New Roman" w:hAnsi="Times New Roman" w:cs="Times New Roman"/>
          <w:sz w:val="24"/>
          <w:szCs w:val="24"/>
        </w:rPr>
        <w:t>(‰) ≈</w:t>
      </w:r>
      <w:r w:rsidRPr="00893088">
        <w:rPr>
          <w:rFonts w:ascii="Times New Roman" w:hAnsi="Times New Roman" w:cs="Times New Roman"/>
          <w:sz w:val="24"/>
          <w:szCs w:val="24"/>
        </w:rPr>
        <w:t xml:space="preserve"> </w:t>
      </w:r>
      <w:r w:rsidR="00406B2B" w:rsidRPr="00893088">
        <w:rPr>
          <w:rFonts w:ascii="Times New Roman" w:hAnsi="Times New Roman" w:cs="Times New Roman"/>
          <w:sz w:val="24"/>
          <w:szCs w:val="24"/>
        </w:rPr>
        <w:t>4.4+22.6 c</w:t>
      </w:r>
      <w:r w:rsidR="00406B2B" w:rsidRPr="00893088">
        <w:rPr>
          <w:rFonts w:ascii="Times New Roman" w:hAnsi="Times New Roman" w:cs="Times New Roman"/>
          <w:sz w:val="24"/>
          <w:szCs w:val="24"/>
          <w:vertAlign w:val="subscript"/>
        </w:rPr>
        <w:t>i</w:t>
      </w:r>
      <w:r w:rsidR="00406B2B" w:rsidRPr="00893088">
        <w:rPr>
          <w:rFonts w:ascii="Times New Roman" w:hAnsi="Times New Roman" w:cs="Times New Roman"/>
          <w:sz w:val="24"/>
          <w:szCs w:val="24"/>
        </w:rPr>
        <w:t>/c</w:t>
      </w:r>
      <w:r w:rsidR="00406B2B" w:rsidRPr="00893088">
        <w:rPr>
          <w:rFonts w:ascii="Times New Roman" w:hAnsi="Times New Roman" w:cs="Times New Roman"/>
          <w:sz w:val="24"/>
          <w:szCs w:val="24"/>
          <w:vertAlign w:val="subscript"/>
        </w:rPr>
        <w:t>a</w:t>
      </w:r>
      <w:r w:rsidR="00AD117B">
        <w:rPr>
          <w:rFonts w:ascii="Times New Roman" w:hAnsi="Times New Roman" w:cs="Times New Roman"/>
          <w:sz w:val="24"/>
          <w:szCs w:val="24"/>
        </w:rPr>
        <w:t>.</w:t>
      </w:r>
      <w:r w:rsidR="00AD117B" w:rsidRPr="00893088">
        <w:rPr>
          <w:rFonts w:ascii="Times New Roman" w:hAnsi="Times New Roman" w:cs="Times New Roman"/>
          <w:sz w:val="24"/>
          <w:szCs w:val="24"/>
        </w:rPr>
        <w:t>(</w:t>
      </w:r>
      <w:r w:rsidR="00AD117B" w:rsidRPr="00893088">
        <w:rPr>
          <w:rFonts w:asciiTheme="majorBidi" w:hAnsiTheme="majorBidi" w:cstheme="majorBidi"/>
          <w:sz w:val="24"/>
          <w:szCs w:val="24"/>
        </w:rPr>
        <w:t>ROUABHI , 2007</w:t>
      </w:r>
      <w:r w:rsidR="00AD117B" w:rsidRPr="00893088">
        <w:rPr>
          <w:rFonts w:ascii="Times New Roman" w:hAnsi="Times New Roman" w:cs="Times New Roman"/>
          <w:sz w:val="24"/>
          <w:szCs w:val="24"/>
        </w:rPr>
        <w:t>).</w:t>
      </w:r>
    </w:p>
    <w:p w:rsidR="00406B2B" w:rsidRPr="00893088" w:rsidRDefault="00406B2B" w:rsidP="00654195">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lastRenderedPageBreak/>
        <w:t>Depui</w:t>
      </w:r>
      <w:r w:rsidR="00B32856" w:rsidRPr="00893088">
        <w:rPr>
          <w:rFonts w:asciiTheme="majorBidi" w:hAnsiTheme="majorBidi" w:cstheme="majorBidi"/>
          <w:sz w:val="24"/>
          <w:szCs w:val="24"/>
        </w:rPr>
        <w:t>s les équations précédentes le Δ</w:t>
      </w:r>
      <w:r w:rsidR="00B32856" w:rsidRPr="00893088">
        <w:rPr>
          <w:rFonts w:ascii="Times New Roman" w:hAnsi="Times New Roman" w:cs="Times New Roman"/>
          <w:sz w:val="24"/>
          <w:szCs w:val="24"/>
        </w:rPr>
        <w:t>C</w:t>
      </w:r>
      <w:r w:rsidR="00B32856"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est positivement corrélée avec le ratio c</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/c</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w:t>
      </w:r>
    </w:p>
    <w:p w:rsidR="00406B2B" w:rsidRPr="00893088" w:rsidRDefault="00406B2B" w:rsidP="00AD117B">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Au départ, il a été noté que L’EUE</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devrait être négativement corrélée avec le rapport c</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/c</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 xml:space="preserve"> ; </w:t>
      </w:r>
      <w:r w:rsidR="00711C04" w:rsidRPr="00893088">
        <w:rPr>
          <w:rFonts w:asciiTheme="majorBidi" w:hAnsiTheme="majorBidi" w:cstheme="majorBidi"/>
          <w:sz w:val="24"/>
          <w:szCs w:val="24"/>
        </w:rPr>
        <w:t xml:space="preserve">par conséquent le Δ </w:t>
      </w:r>
      <w:r w:rsidR="00711C04" w:rsidRPr="00893088">
        <w:rPr>
          <w:rFonts w:ascii="Times New Roman" w:hAnsi="Times New Roman" w:cs="Times New Roman"/>
          <w:sz w:val="24"/>
          <w:szCs w:val="24"/>
        </w:rPr>
        <w:t>C</w:t>
      </w:r>
      <w:r w:rsidR="00711C04"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et L’EUE</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l’un vis-à-vis de l’autre devraient l’être aussi. Il y a eu de nombreuses études qui ont prouvé que ce</w:t>
      </w:r>
      <w:r w:rsidR="00711C04" w:rsidRPr="00893088">
        <w:rPr>
          <w:rFonts w:asciiTheme="majorBidi" w:hAnsiTheme="majorBidi" w:cstheme="majorBidi"/>
          <w:sz w:val="24"/>
          <w:szCs w:val="24"/>
        </w:rPr>
        <w:t xml:space="preserve">tte corrélation négative entre </w:t>
      </w:r>
      <w:r w:rsidRPr="00893088">
        <w:rPr>
          <w:rFonts w:asciiTheme="majorBidi" w:hAnsiTheme="majorBidi" w:cstheme="majorBidi"/>
          <w:sz w:val="24"/>
          <w:szCs w:val="24"/>
        </w:rPr>
        <w:t xml:space="preserve"> </w:t>
      </w:r>
      <w:r w:rsidR="00711C04" w:rsidRPr="00893088">
        <w:rPr>
          <w:rFonts w:asciiTheme="majorBidi" w:hAnsiTheme="majorBidi" w:cstheme="majorBidi"/>
          <w:sz w:val="24"/>
          <w:szCs w:val="24"/>
        </w:rPr>
        <w:t xml:space="preserve">Δ </w:t>
      </w:r>
      <w:r w:rsidR="00711C04" w:rsidRPr="00893088">
        <w:rPr>
          <w:rFonts w:ascii="Times New Roman" w:hAnsi="Times New Roman" w:cs="Times New Roman"/>
          <w:sz w:val="24"/>
          <w:szCs w:val="24"/>
        </w:rPr>
        <w:t>C</w:t>
      </w:r>
      <w:r w:rsidR="00711C04" w:rsidRPr="00893088">
        <w:rPr>
          <w:rFonts w:ascii="Times New Roman" w:hAnsi="Times New Roman" w:cs="Times New Roman"/>
          <w:sz w:val="24"/>
          <w:szCs w:val="24"/>
          <w:vertAlign w:val="superscript"/>
        </w:rPr>
        <w:t>13</w:t>
      </w:r>
      <w:r w:rsidR="00711C04" w:rsidRPr="00893088">
        <w:rPr>
          <w:rFonts w:asciiTheme="majorBidi" w:hAnsiTheme="majorBidi" w:cstheme="majorBidi"/>
          <w:sz w:val="24"/>
          <w:szCs w:val="24"/>
        </w:rPr>
        <w:t xml:space="preserve"> </w:t>
      </w:r>
      <w:r w:rsidRPr="00893088">
        <w:rPr>
          <w:rFonts w:asciiTheme="majorBidi" w:hAnsiTheme="majorBidi" w:cstheme="majorBidi"/>
          <w:sz w:val="24"/>
          <w:szCs w:val="24"/>
        </w:rPr>
        <w:t>et L’EUE</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est forte pour beaucoup d'espèces en C3. La théorie proposée par Farquhar et al., (198</w:t>
      </w:r>
      <w:r w:rsidR="00AD117B">
        <w:rPr>
          <w:rFonts w:asciiTheme="majorBidi" w:hAnsiTheme="majorBidi" w:cstheme="majorBidi"/>
          <w:sz w:val="24"/>
          <w:szCs w:val="24"/>
        </w:rPr>
        <w:t>9</w:t>
      </w:r>
      <w:r w:rsidRPr="00893088">
        <w:rPr>
          <w:rFonts w:asciiTheme="majorBidi" w:hAnsiTheme="majorBidi" w:cstheme="majorBidi"/>
          <w:sz w:val="24"/>
          <w:szCs w:val="24"/>
        </w:rPr>
        <w:t>)</w:t>
      </w:r>
      <w:r w:rsidR="00711C04" w:rsidRPr="00893088">
        <w:rPr>
          <w:rFonts w:asciiTheme="majorBidi" w:hAnsiTheme="majorBidi" w:cstheme="majorBidi"/>
          <w:sz w:val="24"/>
          <w:szCs w:val="24"/>
        </w:rPr>
        <w:t xml:space="preserve"> </w:t>
      </w:r>
      <w:r w:rsidRPr="00893088">
        <w:rPr>
          <w:rFonts w:asciiTheme="majorBidi" w:hAnsiTheme="majorBidi" w:cstheme="majorBidi"/>
          <w:sz w:val="24"/>
          <w:szCs w:val="24"/>
        </w:rPr>
        <w:t xml:space="preserve">reliant le </w:t>
      </w:r>
      <w:r w:rsidR="00711C04" w:rsidRPr="00893088">
        <w:rPr>
          <w:rFonts w:asciiTheme="majorBidi" w:hAnsiTheme="majorBidi" w:cstheme="majorBidi"/>
          <w:sz w:val="24"/>
          <w:szCs w:val="24"/>
        </w:rPr>
        <w:t xml:space="preserve">Δ </w:t>
      </w:r>
      <w:r w:rsidR="00711C04" w:rsidRPr="00893088">
        <w:rPr>
          <w:rFonts w:ascii="Times New Roman" w:hAnsi="Times New Roman" w:cs="Times New Roman"/>
          <w:sz w:val="24"/>
          <w:szCs w:val="24"/>
        </w:rPr>
        <w:t>C</w:t>
      </w:r>
      <w:r w:rsidR="00711C04"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à L’EUE</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était donc bien établie pour les deux, la feuille et la plante entière.</w:t>
      </w:r>
      <w:r w:rsidR="002B00B7" w:rsidRPr="00893088">
        <w:rPr>
          <w:rFonts w:asciiTheme="majorBidi" w:hAnsiTheme="majorBidi" w:cstheme="majorBidi"/>
          <w:sz w:val="24"/>
          <w:szCs w:val="24"/>
        </w:rPr>
        <w:t xml:space="preserve"> Actuellement  l’analyse de</w:t>
      </w:r>
      <w:r w:rsidRPr="00893088">
        <w:rPr>
          <w:rFonts w:asciiTheme="majorBidi" w:hAnsiTheme="majorBidi" w:cstheme="majorBidi"/>
          <w:sz w:val="24"/>
          <w:szCs w:val="24"/>
        </w:rPr>
        <w:t xml:space="preserve"> </w:t>
      </w:r>
      <w:r w:rsidR="002B00B7" w:rsidRPr="00893088">
        <w:rPr>
          <w:rFonts w:asciiTheme="majorBidi" w:hAnsiTheme="majorBidi" w:cstheme="majorBidi"/>
          <w:sz w:val="24"/>
          <w:szCs w:val="24"/>
        </w:rPr>
        <w:t xml:space="preserve">Δ </w:t>
      </w:r>
      <w:r w:rsidR="002B00B7" w:rsidRPr="00893088">
        <w:rPr>
          <w:rFonts w:ascii="Times New Roman" w:hAnsi="Times New Roman" w:cs="Times New Roman"/>
          <w:sz w:val="24"/>
          <w:szCs w:val="24"/>
        </w:rPr>
        <w:t>C</w:t>
      </w:r>
      <w:r w:rsidR="002B00B7"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à cause de sa commodité et son coût  relativement abordable, est devenue un indicateur utile dans l’analyse de L’EUE</w:t>
      </w:r>
      <w:r w:rsidRPr="00893088">
        <w:rPr>
          <w:rFonts w:asciiTheme="majorBidi" w:hAnsiTheme="majorBidi" w:cstheme="majorBidi"/>
          <w:sz w:val="24"/>
          <w:szCs w:val="24"/>
          <w:vertAlign w:val="subscript"/>
        </w:rPr>
        <w:t>i</w:t>
      </w:r>
      <w:r w:rsidR="00305FD7" w:rsidRPr="00893088">
        <w:rPr>
          <w:rFonts w:asciiTheme="majorBidi" w:hAnsiTheme="majorBidi" w:cstheme="majorBidi"/>
          <w:sz w:val="24"/>
          <w:szCs w:val="24"/>
        </w:rPr>
        <w:t xml:space="preserve"> </w:t>
      </w:r>
      <w:r w:rsidRPr="00893088">
        <w:rPr>
          <w:rFonts w:asciiTheme="majorBidi" w:hAnsiTheme="majorBidi" w:cstheme="majorBidi"/>
          <w:sz w:val="24"/>
          <w:szCs w:val="24"/>
        </w:rPr>
        <w:t>, en plus, de son avantage de gain de temps ,de la finesse et de la fiabilité des mesures.</w:t>
      </w:r>
    </w:p>
    <w:p w:rsidR="00242270" w:rsidRDefault="00A82EBD" w:rsidP="00406B2B">
      <w:pPr>
        <w:jc w:val="both"/>
        <w:rPr>
          <w:rFonts w:asciiTheme="majorBidi" w:hAnsiTheme="majorBidi" w:cstheme="majorBidi"/>
          <w:sz w:val="28"/>
          <w:szCs w:val="28"/>
        </w:rPr>
      </w:pPr>
      <w:r>
        <w:rPr>
          <w:rFonts w:asciiTheme="majorBidi" w:hAnsiTheme="majorBidi" w:cstheme="majorBidi"/>
          <w:b/>
          <w:bCs/>
          <w:sz w:val="24"/>
          <w:szCs w:val="24"/>
        </w:rPr>
        <w:t>2</w:t>
      </w:r>
      <w:r w:rsidR="00893088" w:rsidRPr="008F375E">
        <w:rPr>
          <w:rFonts w:asciiTheme="majorBidi" w:hAnsiTheme="majorBidi" w:cstheme="majorBidi"/>
          <w:b/>
          <w:bCs/>
          <w:sz w:val="24"/>
          <w:szCs w:val="24"/>
        </w:rPr>
        <w:t xml:space="preserve">-4- </w:t>
      </w:r>
      <w:r w:rsidR="00893088" w:rsidRPr="00242270">
        <w:rPr>
          <w:rFonts w:asciiTheme="majorBidi" w:hAnsiTheme="majorBidi" w:cstheme="majorBidi"/>
          <w:b/>
          <w:bCs/>
          <w:sz w:val="28"/>
          <w:szCs w:val="28"/>
        </w:rPr>
        <w:t>Rôle</w:t>
      </w:r>
      <w:r w:rsidR="00242270" w:rsidRPr="00242270">
        <w:rPr>
          <w:rFonts w:asciiTheme="majorBidi" w:hAnsiTheme="majorBidi" w:cstheme="majorBidi"/>
          <w:b/>
          <w:bCs/>
          <w:sz w:val="28"/>
          <w:szCs w:val="28"/>
        </w:rPr>
        <w:t xml:space="preserve"> de la composition </w:t>
      </w:r>
      <w:r w:rsidR="00893088" w:rsidRPr="00242270">
        <w:rPr>
          <w:rFonts w:asciiTheme="majorBidi" w:hAnsiTheme="majorBidi" w:cstheme="majorBidi"/>
          <w:b/>
          <w:bCs/>
          <w:sz w:val="28"/>
          <w:szCs w:val="28"/>
        </w:rPr>
        <w:t>isotopique</w:t>
      </w:r>
      <w:r w:rsidR="00242270" w:rsidRPr="00242270">
        <w:rPr>
          <w:rFonts w:asciiTheme="majorBidi" w:hAnsiTheme="majorBidi" w:cstheme="majorBidi"/>
          <w:b/>
          <w:bCs/>
          <w:sz w:val="28"/>
          <w:szCs w:val="28"/>
        </w:rPr>
        <w:t xml:space="preserve"> du carbone :</w:t>
      </w:r>
    </w:p>
    <w:p w:rsidR="00242270" w:rsidRPr="00893088" w:rsidRDefault="00242270"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La composition isotopique du carbone </w:t>
      </w:r>
      <w:r w:rsidR="004D008A" w:rsidRPr="00893088">
        <w:rPr>
          <w:rFonts w:asciiTheme="majorBidi" w:hAnsiTheme="majorBidi" w:cstheme="majorBidi"/>
          <w:sz w:val="24"/>
          <w:szCs w:val="24"/>
        </w:rPr>
        <w:t>naturel</w:t>
      </w:r>
      <w:r w:rsidRPr="00893088">
        <w:rPr>
          <w:rFonts w:asciiTheme="majorBidi" w:hAnsiTheme="majorBidi" w:cstheme="majorBidi"/>
          <w:sz w:val="24"/>
          <w:szCs w:val="24"/>
        </w:rPr>
        <w:t xml:space="preserve"> est maintenant</w:t>
      </w:r>
      <w:r w:rsidR="004D008A" w:rsidRPr="00893088">
        <w:rPr>
          <w:rFonts w:asciiTheme="majorBidi" w:hAnsiTheme="majorBidi" w:cstheme="majorBidi"/>
          <w:sz w:val="24"/>
          <w:szCs w:val="24"/>
        </w:rPr>
        <w:t xml:space="preserve">  fréquemment</w:t>
      </w:r>
      <w:r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utilisée</w:t>
      </w:r>
      <w:r w:rsidRPr="00893088">
        <w:rPr>
          <w:rFonts w:asciiTheme="majorBidi" w:hAnsiTheme="majorBidi" w:cstheme="majorBidi"/>
          <w:sz w:val="24"/>
          <w:szCs w:val="24"/>
        </w:rPr>
        <w:t xml:space="preserve"> comme un test </w:t>
      </w:r>
      <w:r w:rsidR="004D008A" w:rsidRPr="00893088">
        <w:rPr>
          <w:rFonts w:asciiTheme="majorBidi" w:hAnsiTheme="majorBidi" w:cstheme="majorBidi"/>
          <w:sz w:val="24"/>
          <w:szCs w:val="24"/>
        </w:rPr>
        <w:t>intégrateur</w:t>
      </w:r>
      <w:r w:rsidRPr="00893088">
        <w:rPr>
          <w:rFonts w:asciiTheme="majorBidi" w:hAnsiTheme="majorBidi" w:cstheme="majorBidi"/>
          <w:sz w:val="24"/>
          <w:szCs w:val="24"/>
        </w:rPr>
        <w:t xml:space="preserve"> capable d’estimer de l’utilisation de l’eau</w:t>
      </w:r>
      <w:r w:rsidR="004D008A" w:rsidRPr="00893088">
        <w:rPr>
          <w:rFonts w:asciiTheme="majorBidi" w:hAnsiTheme="majorBidi" w:cstheme="majorBidi"/>
          <w:sz w:val="24"/>
          <w:szCs w:val="24"/>
        </w:rPr>
        <w:t xml:space="preserve"> </w:t>
      </w:r>
      <w:r w:rsidRPr="00893088">
        <w:rPr>
          <w:rFonts w:asciiTheme="majorBidi" w:hAnsiTheme="majorBidi" w:cstheme="majorBidi"/>
          <w:sz w:val="24"/>
          <w:szCs w:val="24"/>
        </w:rPr>
        <w:t>(WUE).</w:t>
      </w:r>
    </w:p>
    <w:p w:rsidR="00242270" w:rsidRPr="00893088" w:rsidRDefault="00242270" w:rsidP="00684ADC">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ab/>
        <w:t xml:space="preserve">Le </w:t>
      </w:r>
      <w:r w:rsidR="004D008A" w:rsidRPr="00893088">
        <w:rPr>
          <w:rFonts w:asciiTheme="majorBidi" w:hAnsiTheme="majorBidi" w:cstheme="majorBidi"/>
          <w:sz w:val="24"/>
          <w:szCs w:val="24"/>
        </w:rPr>
        <w:t>modèle</w:t>
      </w:r>
      <w:r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décrit</w:t>
      </w:r>
      <w:r w:rsidRPr="00893088">
        <w:rPr>
          <w:rFonts w:asciiTheme="majorBidi" w:hAnsiTheme="majorBidi" w:cstheme="majorBidi"/>
          <w:sz w:val="24"/>
          <w:szCs w:val="24"/>
        </w:rPr>
        <w:t xml:space="preserve"> par (Monneveux, 1993)</w:t>
      </w:r>
      <w:r w:rsidR="005924E8"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suggère</w:t>
      </w:r>
      <w:r w:rsidR="005924E8" w:rsidRPr="00893088">
        <w:rPr>
          <w:rFonts w:asciiTheme="majorBidi" w:hAnsiTheme="majorBidi" w:cstheme="majorBidi"/>
          <w:sz w:val="24"/>
          <w:szCs w:val="24"/>
        </w:rPr>
        <w:t xml:space="preserve"> que des </w:t>
      </w:r>
      <w:r w:rsidR="004D008A" w:rsidRPr="00893088">
        <w:rPr>
          <w:rFonts w:asciiTheme="majorBidi" w:hAnsiTheme="majorBidi" w:cstheme="majorBidi"/>
          <w:sz w:val="24"/>
          <w:szCs w:val="24"/>
        </w:rPr>
        <w:t>teneurs</w:t>
      </w:r>
      <w:r w:rsidR="005924E8"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élevées</w:t>
      </w:r>
      <w:r w:rsidR="005924E8" w:rsidRPr="00893088">
        <w:rPr>
          <w:rFonts w:asciiTheme="majorBidi" w:hAnsiTheme="majorBidi" w:cstheme="majorBidi"/>
          <w:sz w:val="24"/>
          <w:szCs w:val="24"/>
        </w:rPr>
        <w:t xml:space="preserve"> en C</w:t>
      </w:r>
      <w:r w:rsidR="005924E8" w:rsidRPr="00893088">
        <w:rPr>
          <w:rFonts w:asciiTheme="majorBidi" w:hAnsiTheme="majorBidi" w:cstheme="majorBidi"/>
          <w:sz w:val="24"/>
          <w:szCs w:val="24"/>
          <w:vertAlign w:val="superscript"/>
        </w:rPr>
        <w:t>13</w:t>
      </w:r>
      <w:r w:rsidR="005924E8" w:rsidRPr="00893088">
        <w:rPr>
          <w:rFonts w:asciiTheme="majorBidi" w:hAnsiTheme="majorBidi" w:cstheme="majorBidi"/>
          <w:sz w:val="24"/>
          <w:szCs w:val="24"/>
        </w:rPr>
        <w:t xml:space="preserve"> au niveau es feuilles sont </w:t>
      </w:r>
      <w:r w:rsidR="004D008A" w:rsidRPr="00893088">
        <w:rPr>
          <w:rFonts w:asciiTheme="majorBidi" w:hAnsiTheme="majorBidi" w:cstheme="majorBidi"/>
          <w:sz w:val="24"/>
          <w:szCs w:val="24"/>
        </w:rPr>
        <w:t>associées</w:t>
      </w:r>
      <w:r w:rsidR="005924E8" w:rsidRPr="00893088">
        <w:rPr>
          <w:rFonts w:asciiTheme="majorBidi" w:hAnsiTheme="majorBidi" w:cstheme="majorBidi"/>
          <w:sz w:val="24"/>
          <w:szCs w:val="24"/>
        </w:rPr>
        <w:t xml:space="preserve"> a des </w:t>
      </w:r>
      <w:r w:rsidR="004D008A" w:rsidRPr="00893088">
        <w:rPr>
          <w:rFonts w:asciiTheme="majorBidi" w:hAnsiTheme="majorBidi" w:cstheme="majorBidi"/>
          <w:sz w:val="24"/>
          <w:szCs w:val="24"/>
        </w:rPr>
        <w:t>efficacités</w:t>
      </w:r>
      <w:r w:rsidR="005924E8"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élevées</w:t>
      </w:r>
      <w:r w:rsidR="005924E8" w:rsidRPr="00893088">
        <w:rPr>
          <w:rFonts w:asciiTheme="majorBidi" w:hAnsiTheme="majorBidi" w:cstheme="majorBidi"/>
          <w:sz w:val="24"/>
          <w:szCs w:val="24"/>
        </w:rPr>
        <w:t xml:space="preserve"> d’utilisation de l’eau. Cette </w:t>
      </w:r>
      <w:r w:rsidR="004D008A" w:rsidRPr="00893088">
        <w:rPr>
          <w:rFonts w:asciiTheme="majorBidi" w:hAnsiTheme="majorBidi" w:cstheme="majorBidi"/>
          <w:sz w:val="24"/>
          <w:szCs w:val="24"/>
        </w:rPr>
        <w:t>corrélation</w:t>
      </w:r>
      <w:r w:rsidR="005924E8" w:rsidRPr="00893088">
        <w:rPr>
          <w:rFonts w:asciiTheme="majorBidi" w:hAnsiTheme="majorBidi" w:cstheme="majorBidi"/>
          <w:sz w:val="24"/>
          <w:szCs w:val="24"/>
        </w:rPr>
        <w:t xml:space="preserve"> a été </w:t>
      </w:r>
      <w:r w:rsidR="004D008A" w:rsidRPr="00893088">
        <w:rPr>
          <w:rFonts w:asciiTheme="majorBidi" w:hAnsiTheme="majorBidi" w:cstheme="majorBidi"/>
          <w:sz w:val="24"/>
          <w:szCs w:val="24"/>
        </w:rPr>
        <w:t>montrée</w:t>
      </w:r>
      <w:r w:rsidR="005924E8" w:rsidRPr="00893088">
        <w:rPr>
          <w:rFonts w:asciiTheme="majorBidi" w:hAnsiTheme="majorBidi" w:cstheme="majorBidi"/>
          <w:sz w:val="24"/>
          <w:szCs w:val="24"/>
        </w:rPr>
        <w:t xml:space="preserve"> chez entre </w:t>
      </w:r>
      <w:r w:rsidR="004D008A" w:rsidRPr="00893088">
        <w:rPr>
          <w:rFonts w:asciiTheme="majorBidi" w:hAnsiTheme="majorBidi" w:cstheme="majorBidi"/>
          <w:sz w:val="24"/>
          <w:szCs w:val="24"/>
        </w:rPr>
        <w:t>différentes</w:t>
      </w:r>
      <w:r w:rsidR="005924E8" w:rsidRPr="00893088">
        <w:rPr>
          <w:rFonts w:asciiTheme="majorBidi" w:hAnsiTheme="majorBidi" w:cstheme="majorBidi"/>
          <w:sz w:val="24"/>
          <w:szCs w:val="24"/>
        </w:rPr>
        <w:t xml:space="preserve"> </w:t>
      </w:r>
      <w:r w:rsidR="004D008A" w:rsidRPr="00893088">
        <w:rPr>
          <w:rFonts w:asciiTheme="majorBidi" w:hAnsiTheme="majorBidi" w:cstheme="majorBidi"/>
          <w:sz w:val="24"/>
          <w:szCs w:val="24"/>
        </w:rPr>
        <w:t>espèces</w:t>
      </w:r>
      <w:r w:rsidR="005924E8" w:rsidRPr="00893088">
        <w:rPr>
          <w:rFonts w:asciiTheme="majorBidi" w:hAnsiTheme="majorBidi" w:cstheme="majorBidi"/>
          <w:sz w:val="24"/>
          <w:szCs w:val="24"/>
        </w:rPr>
        <w:t xml:space="preserve"> comme l’orge, le tournesol et le pois.</w:t>
      </w:r>
    </w:p>
    <w:p w:rsidR="00242270" w:rsidRPr="00242270" w:rsidRDefault="00A82EBD" w:rsidP="00242270">
      <w:pPr>
        <w:jc w:val="both"/>
        <w:rPr>
          <w:rFonts w:asciiTheme="majorBidi" w:hAnsiTheme="majorBidi" w:cstheme="majorBidi"/>
          <w:b/>
          <w:bCs/>
          <w:sz w:val="28"/>
          <w:szCs w:val="28"/>
        </w:rPr>
      </w:pPr>
      <w:r>
        <w:rPr>
          <w:rFonts w:asciiTheme="majorBidi" w:hAnsiTheme="majorBidi" w:cstheme="majorBidi"/>
          <w:b/>
          <w:bCs/>
          <w:sz w:val="28"/>
          <w:szCs w:val="28"/>
        </w:rPr>
        <w:t>3</w:t>
      </w:r>
      <w:r w:rsidR="00893088">
        <w:rPr>
          <w:rFonts w:asciiTheme="majorBidi" w:hAnsiTheme="majorBidi" w:cstheme="majorBidi"/>
          <w:b/>
          <w:bCs/>
          <w:sz w:val="28"/>
          <w:szCs w:val="28"/>
        </w:rPr>
        <w:t xml:space="preserve">- </w:t>
      </w:r>
      <w:r w:rsidR="00242270" w:rsidRPr="00242270">
        <w:rPr>
          <w:rFonts w:asciiTheme="majorBidi" w:hAnsiTheme="majorBidi" w:cstheme="majorBidi"/>
          <w:b/>
          <w:bCs/>
          <w:sz w:val="28"/>
          <w:szCs w:val="28"/>
        </w:rPr>
        <w:t>Efficacité d’utilisation de l’eau et la discrimination isotopique du carbone</w:t>
      </w:r>
    </w:p>
    <w:p w:rsidR="00242270" w:rsidRPr="00893088" w:rsidRDefault="00242270" w:rsidP="00DC1761">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Farquhar et al., (198</w:t>
      </w:r>
      <w:r w:rsidR="00DC1761">
        <w:rPr>
          <w:rFonts w:asciiTheme="majorBidi" w:hAnsiTheme="majorBidi" w:cstheme="majorBidi"/>
          <w:sz w:val="24"/>
          <w:szCs w:val="24"/>
        </w:rPr>
        <w:t>9</w:t>
      </w:r>
      <w:r w:rsidRPr="00893088">
        <w:rPr>
          <w:rFonts w:asciiTheme="majorBidi" w:hAnsiTheme="majorBidi" w:cstheme="majorBidi"/>
          <w:sz w:val="24"/>
          <w:szCs w:val="24"/>
        </w:rPr>
        <w:t xml:space="preserve">) ont recommandé un rapport entre l’EUE des plantes en C3 et la discrimination du </w:t>
      </w:r>
      <w:r w:rsidR="008268E0" w:rsidRPr="00893088">
        <w:rPr>
          <w:rFonts w:ascii="Times New Roman" w:hAnsi="Times New Roman" w:cs="Times New Roman"/>
          <w:sz w:val="24"/>
          <w:szCs w:val="24"/>
        </w:rPr>
        <w:t>C</w:t>
      </w:r>
      <w:r w:rsidR="008268E0"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Tout facteur environnemental qui affecte la conductance stomatique et l'activité enzymatique affectera également l’EUE et la discrimination du </w:t>
      </w:r>
      <w:r w:rsidR="00A76D6C" w:rsidRPr="00893088">
        <w:rPr>
          <w:rFonts w:ascii="Times New Roman" w:hAnsi="Times New Roman" w:cs="Times New Roman"/>
          <w:sz w:val="24"/>
          <w:szCs w:val="24"/>
        </w:rPr>
        <w:t>C</w:t>
      </w:r>
      <w:r w:rsidR="00A76D6C" w:rsidRPr="00893088">
        <w:rPr>
          <w:rFonts w:ascii="Times New Roman" w:hAnsi="Times New Roman" w:cs="Times New Roman"/>
          <w:sz w:val="24"/>
          <w:szCs w:val="24"/>
          <w:vertAlign w:val="superscript"/>
        </w:rPr>
        <w:t>13</w:t>
      </w:r>
      <w:r w:rsidR="00DC1761">
        <w:rPr>
          <w:rFonts w:asciiTheme="majorBidi" w:hAnsiTheme="majorBidi" w:cstheme="majorBidi"/>
          <w:sz w:val="24"/>
          <w:szCs w:val="24"/>
        </w:rPr>
        <w:t>.</w:t>
      </w:r>
    </w:p>
    <w:p w:rsidR="00242270" w:rsidRPr="00893088" w:rsidRDefault="00242270" w:rsidP="00DC1761">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Théoriquement, la discrimination contre le </w:t>
      </w:r>
      <w:r w:rsidR="00A76D6C" w:rsidRPr="00893088">
        <w:rPr>
          <w:rFonts w:ascii="Times New Roman" w:hAnsi="Times New Roman" w:cs="Times New Roman"/>
          <w:sz w:val="24"/>
          <w:szCs w:val="24"/>
        </w:rPr>
        <w:t>C</w:t>
      </w:r>
      <w:r w:rsidR="00A76D6C" w:rsidRPr="00893088">
        <w:rPr>
          <w:rFonts w:ascii="Times New Roman" w:hAnsi="Times New Roman" w:cs="Times New Roman"/>
          <w:sz w:val="24"/>
          <w:szCs w:val="24"/>
          <w:vertAlign w:val="superscript"/>
        </w:rPr>
        <w:t xml:space="preserve">13 </w:t>
      </w:r>
      <w:r w:rsidRPr="00893088">
        <w:rPr>
          <w:rFonts w:asciiTheme="majorBidi" w:hAnsiTheme="majorBidi" w:cstheme="majorBidi"/>
          <w:sz w:val="24"/>
          <w:szCs w:val="24"/>
        </w:rPr>
        <w:t>par les feuilles peut être associée au ratio entre l'assimilation du carbone (A) et la conductance stomatique (gs) (Farquhar et al.,</w:t>
      </w:r>
      <w:r w:rsidR="00A76D6C" w:rsidRPr="00893088">
        <w:rPr>
          <w:rFonts w:asciiTheme="majorBidi" w:hAnsiTheme="majorBidi" w:cstheme="majorBidi"/>
          <w:sz w:val="24"/>
          <w:szCs w:val="24"/>
        </w:rPr>
        <w:t xml:space="preserve"> </w:t>
      </w:r>
      <w:r w:rsidRPr="00893088">
        <w:rPr>
          <w:rFonts w:asciiTheme="majorBidi" w:hAnsiTheme="majorBidi" w:cstheme="majorBidi"/>
          <w:sz w:val="24"/>
          <w:szCs w:val="24"/>
        </w:rPr>
        <w:t>198</w:t>
      </w:r>
      <w:r w:rsidR="00DC1761">
        <w:rPr>
          <w:rFonts w:asciiTheme="majorBidi" w:hAnsiTheme="majorBidi" w:cstheme="majorBidi"/>
          <w:sz w:val="24"/>
          <w:szCs w:val="24"/>
        </w:rPr>
        <w:t>9</w:t>
      </w:r>
      <w:r w:rsidRPr="00893088">
        <w:rPr>
          <w:rFonts w:asciiTheme="majorBidi" w:hAnsiTheme="majorBidi" w:cstheme="majorBidi"/>
          <w:sz w:val="24"/>
          <w:szCs w:val="24"/>
        </w:rPr>
        <w:t>). Donc, L’EUE</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 xml:space="preserve">  de la feuille qui est le ratio entre le taux de l'assimilation du CO2 (A) et le taux de transpiration (T) doit avoir aussi une forte relation avec la discrimination du carbone.</w:t>
      </w:r>
    </w:p>
    <w:p w:rsidR="00242270" w:rsidRPr="00893088" w:rsidRDefault="00242270" w:rsidP="00D94719">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La sécheresse et les différences génotypiques affectent également la discrimination du carbone et le ratio A/gs (Meinzer  et al</w:t>
      </w:r>
      <w:r w:rsidR="00D94719">
        <w:rPr>
          <w:rFonts w:asciiTheme="majorBidi" w:hAnsiTheme="majorBidi" w:cstheme="majorBidi"/>
          <w:sz w:val="24"/>
          <w:szCs w:val="24"/>
        </w:rPr>
        <w:t>.</w:t>
      </w:r>
      <w:r w:rsidRPr="00893088">
        <w:rPr>
          <w:rFonts w:asciiTheme="majorBidi" w:hAnsiTheme="majorBidi" w:cstheme="majorBidi"/>
          <w:sz w:val="24"/>
          <w:szCs w:val="24"/>
        </w:rPr>
        <w:t xml:space="preserve">, 1990) ont rapporté une réduction dans la discrimination du </w:t>
      </w:r>
      <w:r w:rsidR="00A76D6C" w:rsidRPr="00893088">
        <w:rPr>
          <w:rFonts w:ascii="Times New Roman" w:hAnsi="Times New Roman" w:cs="Times New Roman"/>
          <w:sz w:val="24"/>
          <w:szCs w:val="24"/>
        </w:rPr>
        <w:t>C</w:t>
      </w:r>
      <w:r w:rsidR="00A76D6C" w:rsidRPr="00893088">
        <w:rPr>
          <w:rFonts w:ascii="Times New Roman" w:hAnsi="Times New Roman" w:cs="Times New Roman"/>
          <w:sz w:val="24"/>
          <w:szCs w:val="24"/>
          <w:vertAlign w:val="superscript"/>
        </w:rPr>
        <w:t>13</w:t>
      </w:r>
      <w:r w:rsidRPr="00893088">
        <w:rPr>
          <w:rFonts w:asciiTheme="majorBidi" w:hAnsiTheme="majorBidi" w:cstheme="majorBidi"/>
          <w:sz w:val="24"/>
          <w:szCs w:val="24"/>
        </w:rPr>
        <w:t xml:space="preserve"> sous sécheresse pour les génotypes du colza.</w:t>
      </w:r>
    </w:p>
    <w:p w:rsidR="00242270" w:rsidRDefault="00242270" w:rsidP="00DC1761">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Farquhar et al., (198</w:t>
      </w:r>
      <w:r w:rsidR="00DC1761">
        <w:rPr>
          <w:rFonts w:asciiTheme="majorBidi" w:hAnsiTheme="majorBidi" w:cstheme="majorBidi"/>
          <w:sz w:val="24"/>
          <w:szCs w:val="24"/>
        </w:rPr>
        <w:t>9</w:t>
      </w:r>
      <w:r w:rsidRPr="00893088">
        <w:rPr>
          <w:rFonts w:asciiTheme="majorBidi" w:hAnsiTheme="majorBidi" w:cstheme="majorBidi"/>
          <w:sz w:val="24"/>
          <w:szCs w:val="24"/>
        </w:rPr>
        <w:t>) ,ils ont recommandé un modèle entre la discrimination et le ratio entre la les concentrations intercellulaire et ambiante du CO2 : (C</w:t>
      </w:r>
      <w:r w:rsidRPr="00893088">
        <w:rPr>
          <w:rFonts w:asciiTheme="majorBidi" w:hAnsiTheme="majorBidi" w:cstheme="majorBidi"/>
          <w:sz w:val="24"/>
          <w:szCs w:val="24"/>
          <w:vertAlign w:val="subscript"/>
        </w:rPr>
        <w:t>i</w:t>
      </w:r>
      <w:r w:rsidRPr="00893088">
        <w:rPr>
          <w:rFonts w:asciiTheme="majorBidi" w:hAnsiTheme="majorBidi" w:cstheme="majorBidi"/>
          <w:sz w:val="24"/>
          <w:szCs w:val="24"/>
        </w:rPr>
        <w:t>/C</w:t>
      </w:r>
      <w:r w:rsidRPr="00893088">
        <w:rPr>
          <w:rFonts w:asciiTheme="majorBidi" w:hAnsiTheme="majorBidi" w:cstheme="majorBidi"/>
          <w:sz w:val="24"/>
          <w:szCs w:val="24"/>
          <w:vertAlign w:val="subscript"/>
        </w:rPr>
        <w:t>a</w:t>
      </w:r>
      <w:r w:rsidRPr="00893088">
        <w:rPr>
          <w:rFonts w:asciiTheme="majorBidi" w:hAnsiTheme="majorBidi" w:cstheme="majorBidi"/>
          <w:sz w:val="24"/>
          <w:szCs w:val="24"/>
        </w:rPr>
        <w:t>).</w:t>
      </w:r>
    </w:p>
    <w:p w:rsidR="00401AE8" w:rsidRPr="00893088" w:rsidRDefault="00401AE8" w:rsidP="00DC1761">
      <w:pPr>
        <w:spacing w:line="360" w:lineRule="auto"/>
        <w:jc w:val="both"/>
        <w:rPr>
          <w:rFonts w:asciiTheme="majorBidi" w:hAnsiTheme="majorBidi" w:cstheme="majorBidi"/>
          <w:sz w:val="24"/>
          <w:szCs w:val="24"/>
        </w:rPr>
      </w:pPr>
    </w:p>
    <w:p w:rsidR="00242270" w:rsidRPr="00893088" w:rsidRDefault="00870FDD" w:rsidP="00893088">
      <w:pPr>
        <w:spacing w:line="360" w:lineRule="auto"/>
        <w:jc w:val="both"/>
        <w:rPr>
          <w:rFonts w:asciiTheme="majorBidi" w:hAnsiTheme="majorBidi" w:cstheme="majorBidi"/>
          <w:sz w:val="24"/>
          <w:szCs w:val="24"/>
        </w:rPr>
      </w:pPr>
      <w:r w:rsidRPr="00893088">
        <w:rPr>
          <w:rFonts w:ascii="Times New Roman" w:hAnsi="Times New Roman" w:cs="Times New Roman"/>
          <w:sz w:val="24"/>
          <w:szCs w:val="24"/>
        </w:rPr>
        <w:lastRenderedPageBreak/>
        <w:t xml:space="preserve">Δ= </w:t>
      </w:r>
      <w:r w:rsidR="00242270" w:rsidRPr="00893088">
        <w:rPr>
          <w:rFonts w:ascii="Times New Roman" w:hAnsi="Times New Roman" w:cs="Times New Roman"/>
          <w:sz w:val="24"/>
          <w:szCs w:val="24"/>
        </w:rPr>
        <w:t>a+(b-a)(C</w:t>
      </w:r>
      <w:r w:rsidR="00242270" w:rsidRPr="00893088">
        <w:rPr>
          <w:rFonts w:ascii="Times New Roman" w:hAnsi="Times New Roman" w:cs="Times New Roman"/>
          <w:sz w:val="24"/>
          <w:szCs w:val="24"/>
          <w:vertAlign w:val="subscript"/>
        </w:rPr>
        <w:t>i</w:t>
      </w:r>
      <w:r w:rsidR="00242270" w:rsidRPr="00893088">
        <w:rPr>
          <w:rFonts w:ascii="Times New Roman" w:hAnsi="Times New Roman" w:cs="Times New Roman"/>
          <w:sz w:val="24"/>
          <w:szCs w:val="24"/>
        </w:rPr>
        <w:t>/C</w:t>
      </w:r>
      <w:r w:rsidR="00242270" w:rsidRPr="00893088">
        <w:rPr>
          <w:rFonts w:ascii="Times New Roman" w:hAnsi="Times New Roman" w:cs="Times New Roman"/>
          <w:sz w:val="24"/>
          <w:szCs w:val="24"/>
          <w:vertAlign w:val="subscript"/>
        </w:rPr>
        <w:t>a</w:t>
      </w:r>
      <w:r w:rsidR="00242270" w:rsidRPr="00893088">
        <w:rPr>
          <w:rFonts w:ascii="Times New Roman" w:hAnsi="Times New Roman" w:cs="Times New Roman"/>
          <w:sz w:val="24"/>
          <w:szCs w:val="24"/>
        </w:rPr>
        <w:t>)</w:t>
      </w:r>
    </w:p>
    <w:p w:rsidR="00242270" w:rsidRPr="00893088" w:rsidRDefault="00242270"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Où :</w:t>
      </w:r>
    </w:p>
    <w:p w:rsidR="00242270" w:rsidRPr="00893088" w:rsidRDefault="00242270"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a : la discrimination due à la diffusion du CO2 et égale à : 4.4 x 10</w:t>
      </w:r>
      <w:r w:rsidRPr="00893088">
        <w:rPr>
          <w:rFonts w:asciiTheme="majorBidi" w:hAnsiTheme="majorBidi" w:cstheme="majorBidi"/>
          <w:sz w:val="24"/>
          <w:szCs w:val="24"/>
          <w:vertAlign w:val="superscript"/>
        </w:rPr>
        <w:t>-3</w:t>
      </w:r>
    </w:p>
    <w:p w:rsidR="00242270" w:rsidRPr="00893088" w:rsidRDefault="00870FDD"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 xml:space="preserve">b: </w:t>
      </w:r>
      <w:r w:rsidR="00242270" w:rsidRPr="00893088">
        <w:rPr>
          <w:rFonts w:asciiTheme="majorBidi" w:hAnsiTheme="majorBidi" w:cstheme="majorBidi"/>
          <w:sz w:val="24"/>
          <w:szCs w:val="24"/>
        </w:rPr>
        <w:t>la discrimination biochimique des enzymes et égale à :27 x 10</w:t>
      </w:r>
      <w:r w:rsidR="00242270" w:rsidRPr="00893088">
        <w:rPr>
          <w:rFonts w:asciiTheme="majorBidi" w:hAnsiTheme="majorBidi" w:cstheme="majorBidi"/>
          <w:sz w:val="24"/>
          <w:szCs w:val="24"/>
          <w:vertAlign w:val="superscript"/>
        </w:rPr>
        <w:t>-3</w:t>
      </w:r>
      <w:r w:rsidRPr="00893088">
        <w:rPr>
          <w:rFonts w:asciiTheme="majorBidi" w:hAnsiTheme="majorBidi" w:cstheme="majorBidi"/>
          <w:sz w:val="24"/>
          <w:szCs w:val="24"/>
          <w:vertAlign w:val="superscript"/>
        </w:rPr>
        <w:t xml:space="preserve"> </w:t>
      </w:r>
      <w:r w:rsidR="00242270" w:rsidRPr="00893088">
        <w:rPr>
          <w:rFonts w:asciiTheme="majorBidi" w:hAnsiTheme="majorBidi" w:cstheme="majorBidi"/>
          <w:sz w:val="24"/>
          <w:szCs w:val="24"/>
        </w:rPr>
        <w:t>Généralement, en littérature, il devrait y avoir une corrélation négative entre</w:t>
      </w:r>
      <w:r w:rsidRPr="00893088">
        <w:rPr>
          <w:rFonts w:asciiTheme="majorBidi" w:hAnsiTheme="majorBidi" w:cstheme="majorBidi"/>
          <w:sz w:val="24"/>
          <w:szCs w:val="24"/>
        </w:rPr>
        <w:t xml:space="preserve"> </w:t>
      </w:r>
      <w:r w:rsidR="00242270" w:rsidRPr="00893088">
        <w:rPr>
          <w:rFonts w:asciiTheme="majorBidi" w:hAnsiTheme="majorBidi" w:cstheme="majorBidi"/>
          <w:sz w:val="24"/>
          <w:szCs w:val="24"/>
        </w:rPr>
        <w:t>l’EUE</w:t>
      </w:r>
      <w:r w:rsidR="00242270" w:rsidRPr="00893088">
        <w:rPr>
          <w:rFonts w:asciiTheme="majorBidi" w:hAnsiTheme="majorBidi" w:cstheme="majorBidi"/>
          <w:sz w:val="24"/>
          <w:szCs w:val="24"/>
          <w:vertAlign w:val="subscript"/>
        </w:rPr>
        <w:t>i</w:t>
      </w:r>
      <w:r w:rsidR="00242270" w:rsidRPr="00893088">
        <w:rPr>
          <w:rFonts w:asciiTheme="majorBidi" w:hAnsiTheme="majorBidi" w:cstheme="majorBidi"/>
          <w:sz w:val="24"/>
          <w:szCs w:val="24"/>
        </w:rPr>
        <w:t xml:space="preserve">  et la discrimination.</w:t>
      </w:r>
    </w:p>
    <w:p w:rsidR="00242270" w:rsidRPr="00893088" w:rsidRDefault="00870FDD"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 xml:space="preserve">  </w:t>
      </w:r>
      <m:oMath>
        <m:r>
          <m:rPr>
            <m:sty m:val="p"/>
          </m:rPr>
          <w:rPr>
            <w:rFonts w:ascii="Cambria Math" w:hAnsi="Cambria Math" w:cstheme="majorBidi"/>
            <w:sz w:val="24"/>
            <w:szCs w:val="24"/>
          </w:rPr>
          <m:t>EUEi</m:t>
        </m:r>
        <m:r>
          <m:rPr>
            <m:sty m:val="p"/>
          </m:rPr>
          <w:rPr>
            <w:rFonts w:ascii="Cambria Math" w:hAnsi="Cambria Math" w:cs="Cambria Math"/>
            <w:sz w:val="24"/>
            <w:szCs w:val="24"/>
          </w:rPr>
          <m:t>=</m:t>
        </m:r>
        <m:f>
          <m:fPr>
            <m:ctrlPr>
              <w:rPr>
                <w:rFonts w:ascii="Cambria Math" w:hAnsi="Cambria Math" w:cstheme="majorBidi"/>
                <w:sz w:val="24"/>
                <w:szCs w:val="24"/>
              </w:rPr>
            </m:ctrlPr>
          </m:fPr>
          <m:num>
            <m:sSub>
              <m:sSubPr>
                <m:ctrlPr>
                  <w:rPr>
                    <w:rFonts w:ascii="Cambria Math" w:hAnsi="Cambria Math" w:cstheme="majorBidi"/>
                    <w:sz w:val="24"/>
                    <w:szCs w:val="24"/>
                  </w:rPr>
                </m:ctrlPr>
              </m:sSubPr>
              <m:e>
                <m:r>
                  <m:rPr>
                    <m:sty m:val="p"/>
                  </m:rPr>
                  <w:rPr>
                    <w:rFonts w:ascii="Cambria Math" w:hAnsi="Cambria Math" w:cstheme="majorBidi"/>
                    <w:sz w:val="24"/>
                    <w:szCs w:val="24"/>
                  </w:rPr>
                  <m:t>c</m:t>
                </m:r>
              </m:e>
              <m:sub>
                <m:r>
                  <m:rPr>
                    <m:sty m:val="p"/>
                  </m:rPr>
                  <w:rPr>
                    <w:rFonts w:ascii="Cambria Math" w:hAnsi="Cambria Math" w:cstheme="majorBidi"/>
                    <w:sz w:val="24"/>
                    <w:szCs w:val="24"/>
                  </w:rPr>
                  <m:t>a</m:t>
                </m:r>
              </m:sub>
            </m:sSub>
            <m:r>
              <m:rPr>
                <m:sty m:val="p"/>
              </m:rPr>
              <w:rPr>
                <w:rFonts w:ascii="Cambria Math" w:hAnsi="Cambria Math" w:cstheme="majorBidi"/>
                <w:sz w:val="24"/>
                <w:szCs w:val="24"/>
              </w:rPr>
              <m:t>(b-d-Δ</m:t>
            </m:r>
            <m:r>
              <m:rPr>
                <m:sty m:val="p"/>
              </m:rPr>
              <w:rPr>
                <w:rFonts w:ascii="Cambria Math" w:hAnsi="Cambria Math" w:cs="Cambria Math"/>
                <w:sz w:val="24"/>
                <w:szCs w:val="24"/>
              </w:rPr>
              <m:t>)</m:t>
            </m:r>
          </m:num>
          <m:den>
            <m:r>
              <m:rPr>
                <m:sty m:val="p"/>
              </m:rPr>
              <w:rPr>
                <w:rFonts w:ascii="Cambria Math" w:hAnsi="Cambria Math" w:cstheme="majorBidi"/>
                <w:sz w:val="24"/>
                <w:szCs w:val="24"/>
              </w:rPr>
              <m:t>(b-a)</m:t>
            </m:r>
          </m:den>
        </m:f>
        <m:r>
          <m:rPr>
            <m:sty m:val="p"/>
          </m:rPr>
          <w:rPr>
            <w:rFonts w:ascii="Cambria Math" w:hAnsi="Cambria Math" w:cstheme="majorBidi"/>
            <w:sz w:val="24"/>
            <w:szCs w:val="24"/>
          </w:rPr>
          <m:t xml:space="preserve"> x </m:t>
        </m:r>
        <m:f>
          <m:fPr>
            <m:ctrlPr>
              <w:rPr>
                <w:rFonts w:ascii="Cambria Math" w:hAnsi="Cambria Math" w:cstheme="majorBidi"/>
                <w:sz w:val="24"/>
                <w:szCs w:val="24"/>
              </w:rPr>
            </m:ctrlPr>
          </m:fPr>
          <m:num>
            <m:r>
              <m:rPr>
                <m:sty m:val="p"/>
              </m:rPr>
              <w:rPr>
                <w:rFonts w:ascii="Cambria Math" w:hAnsi="Cambria Math" w:cs="Times New Roman"/>
                <w:sz w:val="24"/>
                <w:szCs w:val="24"/>
              </w:rPr>
              <m:t>(1-</m:t>
            </m:r>
            <m:r>
              <m:rPr>
                <m:sty m:val="p"/>
              </m:rPr>
              <w:rPr>
                <w:rFonts w:ascii="Cambria Math" w:hAnsi="Cambria Math" w:cs="Cambria Math"/>
                <w:sz w:val="24"/>
                <w:szCs w:val="24"/>
              </w:rPr>
              <m:t></m:t>
            </m:r>
            <m:sSub>
              <m:sSubPr>
                <m:ctrlPr>
                  <w:rPr>
                    <w:rFonts w:ascii="Cambria Math" w:hAnsi="Cambria Math" w:cstheme="majorBidi"/>
                    <w:sz w:val="24"/>
                    <w:szCs w:val="24"/>
                  </w:rPr>
                </m:ctrlPr>
              </m:sSubPr>
              <m:e>
                <m:r>
                  <m:rPr>
                    <m:sty m:val="p"/>
                  </m:rPr>
                  <w:rPr>
                    <w:rFonts w:ascii="Cambria Math" w:hAnsi="Cambria Math" w:cs="Cambria Math"/>
                    <w:sz w:val="24"/>
                    <w:szCs w:val="24"/>
                  </w:rPr>
                  <m:t>Φ</m:t>
                </m:r>
              </m:e>
              <m:sub>
                <m:r>
                  <m:rPr>
                    <m:sty m:val="p"/>
                  </m:rPr>
                  <w:rPr>
                    <w:rFonts w:ascii="Cambria Math" w:hAnsi="Cambria Math" w:cstheme="majorBidi"/>
                    <w:sz w:val="24"/>
                    <w:szCs w:val="24"/>
                  </w:rPr>
                  <m:t>c</m:t>
                </m:r>
              </m:sub>
            </m:sSub>
            <m:r>
              <m:rPr>
                <m:sty m:val="p"/>
              </m:rPr>
              <w:rPr>
                <w:rFonts w:ascii="Cambria Math" w:hAnsi="Cambria Math" w:cs="Cambria Math"/>
                <w:sz w:val="24"/>
                <w:szCs w:val="24"/>
              </w:rPr>
              <m:t>)</m:t>
            </m:r>
          </m:num>
          <m:den>
            <m:r>
              <m:rPr>
                <m:sty m:val="p"/>
              </m:rPr>
              <w:rPr>
                <w:rFonts w:ascii="Cambria Math" w:hAnsi="Cambria Math" w:cstheme="majorBidi"/>
                <w:sz w:val="24"/>
                <w:szCs w:val="24"/>
              </w:rPr>
              <m:t>1.6v (1+</m:t>
            </m:r>
            <m:r>
              <m:rPr>
                <m:sty m:val="p"/>
              </m:rPr>
              <w:rPr>
                <w:rFonts w:ascii="Cambria Math" w:hAnsi="Cambria Math" w:cs="Cambria Math"/>
                <w:sz w:val="24"/>
                <w:szCs w:val="24"/>
              </w:rPr>
              <m:t></m:t>
            </m:r>
            <m:r>
              <m:rPr>
                <m:sty m:val="p"/>
              </m:rPr>
              <w:rPr>
                <w:rFonts w:ascii="Cambria Math" w:hAnsi="Cambria Math" w:cs="Cambria Math"/>
                <w:sz w:val="24"/>
                <w:szCs w:val="24"/>
              </w:rPr>
              <m:t></m:t>
            </m:r>
            <m:sSub>
              <m:sSubPr>
                <m:ctrlPr>
                  <w:rPr>
                    <w:rFonts w:ascii="Cambria Math" w:hAnsi="Cambria Math" w:cstheme="majorBidi"/>
                    <w:sz w:val="24"/>
                    <w:szCs w:val="24"/>
                  </w:rPr>
                </m:ctrlPr>
              </m:sSubPr>
              <m:e>
                <m:r>
                  <m:rPr>
                    <m:sty m:val="p"/>
                  </m:rPr>
                  <w:rPr>
                    <w:rFonts w:ascii="Cambria Math" w:hAnsi="Cambria Math" w:cs="Cambria Math"/>
                    <w:sz w:val="24"/>
                    <w:szCs w:val="24"/>
                  </w:rPr>
                  <m:t>Φ</m:t>
                </m:r>
              </m:e>
              <m:sub>
                <m:r>
                  <m:rPr>
                    <m:sty m:val="p"/>
                  </m:rPr>
                  <w:rPr>
                    <w:rFonts w:ascii="Cambria Math" w:hAnsi="Cambria Math" w:cstheme="majorBidi"/>
                    <w:sz w:val="24"/>
                    <w:szCs w:val="24"/>
                  </w:rPr>
                  <m:t>ω</m:t>
                </m:r>
              </m:sub>
            </m:sSub>
            <m:r>
              <m:rPr>
                <m:sty m:val="p"/>
              </m:rPr>
              <w:rPr>
                <w:rFonts w:ascii="Cambria Math" w:hAnsi="Cambria Math" w:cs="Times New Roman"/>
                <w:sz w:val="24"/>
                <w:szCs w:val="24"/>
              </w:rPr>
              <m:t>)</m:t>
            </m:r>
          </m:den>
        </m:f>
      </m:oMath>
    </w:p>
    <w:p w:rsidR="00242270" w:rsidRPr="00893088" w:rsidRDefault="00242270"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Où :</w:t>
      </w:r>
    </w:p>
    <w:p w:rsidR="00242270" w:rsidRPr="00893088" w:rsidRDefault="0062482C" w:rsidP="00893088">
      <w:pPr>
        <w:spacing w:line="360" w:lineRule="auto"/>
        <w:jc w:val="both"/>
        <w:rPr>
          <w:rFonts w:asciiTheme="majorBidi" w:hAnsiTheme="majorBidi" w:cstheme="majorBidi"/>
          <w:sz w:val="24"/>
          <w:szCs w:val="24"/>
        </w:rPr>
      </w:pPr>
      <m:oMath>
        <m:sSub>
          <m:sSubPr>
            <m:ctrlPr>
              <w:rPr>
                <w:rFonts w:ascii="Cambria Math" w:hAnsi="Cambria Math" w:cstheme="majorBidi"/>
                <w:sz w:val="24"/>
                <w:szCs w:val="24"/>
              </w:rPr>
            </m:ctrlPr>
          </m:sSubPr>
          <m:e>
            <m:r>
              <m:rPr>
                <m:sty m:val="p"/>
              </m:rPr>
              <w:rPr>
                <w:rFonts w:ascii="Cambria Math" w:hAnsi="Cambria Math" w:cs="Cambria Math"/>
                <w:sz w:val="24"/>
                <w:szCs w:val="24"/>
              </w:rPr>
              <m:t>Φ</m:t>
            </m:r>
          </m:e>
          <m:sub>
            <m:r>
              <m:rPr>
                <m:sty m:val="p"/>
              </m:rPr>
              <w:rPr>
                <w:rFonts w:ascii="Cambria Math" w:hAnsi="Cambria Math" w:cstheme="majorBidi"/>
                <w:sz w:val="24"/>
                <w:szCs w:val="24"/>
              </w:rPr>
              <m:t>c</m:t>
            </m:r>
          </m:sub>
        </m:sSub>
      </m:oMath>
      <w:r w:rsidR="00242270" w:rsidRPr="00893088">
        <w:rPr>
          <w:rFonts w:ascii="Times New Roman" w:hAnsi="Times New Roman" w:cs="Times New Roman"/>
          <w:sz w:val="24"/>
          <w:szCs w:val="24"/>
        </w:rPr>
        <w:t xml:space="preserve"> : Une fraction perdue du CO2 assi</w:t>
      </w:r>
      <w:r w:rsidR="00242270" w:rsidRPr="00893088">
        <w:rPr>
          <w:rFonts w:asciiTheme="majorBidi" w:hAnsiTheme="majorBidi" w:cstheme="majorBidi"/>
          <w:sz w:val="24"/>
          <w:szCs w:val="24"/>
        </w:rPr>
        <w:t>milée pendant le jour à travers la respiration.</w:t>
      </w:r>
    </w:p>
    <w:p w:rsidR="00242270" w:rsidRPr="00893088" w:rsidRDefault="0062482C" w:rsidP="00893088">
      <w:pPr>
        <w:spacing w:line="360" w:lineRule="auto"/>
        <w:jc w:val="both"/>
        <w:rPr>
          <w:rFonts w:asciiTheme="majorBidi" w:hAnsiTheme="majorBidi" w:cstheme="majorBidi"/>
          <w:sz w:val="24"/>
          <w:szCs w:val="24"/>
        </w:rPr>
      </w:pPr>
      <m:oMath>
        <m:sSub>
          <m:sSubPr>
            <m:ctrlPr>
              <w:rPr>
                <w:rFonts w:ascii="Cambria Math" w:hAnsi="Cambria Math" w:cstheme="majorBidi"/>
                <w:sz w:val="24"/>
                <w:szCs w:val="24"/>
              </w:rPr>
            </m:ctrlPr>
          </m:sSubPr>
          <m:e>
            <m:r>
              <m:rPr>
                <m:sty m:val="p"/>
              </m:rPr>
              <w:rPr>
                <w:rFonts w:ascii="Cambria Math" w:hAnsi="Cambria Math" w:cs="Cambria Math"/>
                <w:sz w:val="24"/>
                <w:szCs w:val="24"/>
              </w:rPr>
              <m:t>Φ</m:t>
            </m:r>
          </m:e>
          <m:sub>
            <m:r>
              <m:rPr>
                <m:sty m:val="p"/>
              </m:rPr>
              <w:rPr>
                <w:rFonts w:ascii="Cambria Math" w:hAnsi="Cambria Math" w:cstheme="majorBidi"/>
                <w:sz w:val="24"/>
                <w:szCs w:val="24"/>
              </w:rPr>
              <m:t>ω</m:t>
            </m:r>
          </m:sub>
        </m:sSub>
      </m:oMath>
      <w:r w:rsidR="00BF16AC" w:rsidRPr="00893088">
        <w:rPr>
          <w:rFonts w:ascii="Times New Roman" w:hAnsi="Times New Roman" w:cs="Times New Roman"/>
          <w:sz w:val="24"/>
          <w:szCs w:val="24"/>
        </w:rPr>
        <w:t>: La</w:t>
      </w:r>
      <w:r w:rsidR="00242270" w:rsidRPr="00893088">
        <w:rPr>
          <w:rFonts w:ascii="Times New Roman" w:hAnsi="Times New Roman" w:cs="Times New Roman"/>
          <w:sz w:val="24"/>
          <w:szCs w:val="24"/>
        </w:rPr>
        <w:t xml:space="preserve"> perte d’eau à travers le cuticule ou à travers les stomates mal fermées lors de la </w:t>
      </w:r>
      <w:r w:rsidR="00242270" w:rsidRPr="00893088">
        <w:rPr>
          <w:rFonts w:asciiTheme="majorBidi" w:hAnsiTheme="majorBidi" w:cstheme="majorBidi"/>
          <w:sz w:val="24"/>
          <w:szCs w:val="24"/>
        </w:rPr>
        <w:t>transpiration au cours de la nuit Donc, ces deux quantités devraient être considérées dans le rapport précité.</w:t>
      </w:r>
      <w:r w:rsidR="00BF16AC" w:rsidRPr="00893088">
        <w:rPr>
          <w:rFonts w:asciiTheme="majorBidi" w:hAnsiTheme="majorBidi" w:cstheme="majorBidi"/>
          <w:sz w:val="24"/>
          <w:szCs w:val="24"/>
        </w:rPr>
        <w:t xml:space="preserve"> </w:t>
      </w:r>
    </w:p>
    <w:p w:rsidR="00242270" w:rsidRPr="00893088" w:rsidRDefault="00242270"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d : un facteur de correction (Farquhar et al., 1989)</w:t>
      </w:r>
      <w:r w:rsidR="00BF16AC" w:rsidRPr="00893088">
        <w:rPr>
          <w:rFonts w:asciiTheme="majorBidi" w:hAnsiTheme="majorBidi" w:cstheme="majorBidi"/>
          <w:sz w:val="24"/>
          <w:szCs w:val="24"/>
        </w:rPr>
        <w:t>.</w:t>
      </w:r>
    </w:p>
    <w:p w:rsidR="00242270" w:rsidRPr="00893088" w:rsidRDefault="00242270" w:rsidP="00893088">
      <w:pPr>
        <w:spacing w:line="360" w:lineRule="auto"/>
        <w:jc w:val="both"/>
        <w:rPr>
          <w:rFonts w:asciiTheme="majorBidi" w:hAnsiTheme="majorBidi" w:cstheme="majorBidi"/>
          <w:sz w:val="24"/>
          <w:szCs w:val="24"/>
        </w:rPr>
      </w:pPr>
      <w:r w:rsidRPr="00893088">
        <w:rPr>
          <w:rFonts w:asciiTheme="majorBidi" w:hAnsiTheme="majorBidi" w:cstheme="majorBidi"/>
          <w:sz w:val="24"/>
          <w:szCs w:val="24"/>
        </w:rPr>
        <w:t>v : gradient de la pression de la vapeur d'eau entre la feuille et l’air ambiant.</w:t>
      </w:r>
    </w:p>
    <w:p w:rsidR="00242270" w:rsidRPr="00893088" w:rsidRDefault="00242270" w:rsidP="00893088">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Cette équation montre que la technique de la discrimination du carbone en général permet la prédiction de l’EUE sur le long terme pour les plantes en C3.</w:t>
      </w:r>
    </w:p>
    <w:p w:rsidR="00613147" w:rsidRPr="00893088" w:rsidRDefault="00242270" w:rsidP="00E57404">
      <w:pPr>
        <w:spacing w:line="360" w:lineRule="auto"/>
        <w:ind w:firstLine="567"/>
        <w:jc w:val="both"/>
        <w:rPr>
          <w:rFonts w:asciiTheme="majorBidi" w:hAnsiTheme="majorBidi" w:cstheme="majorBidi"/>
          <w:sz w:val="24"/>
          <w:szCs w:val="24"/>
        </w:rPr>
      </w:pPr>
      <w:r w:rsidRPr="00893088">
        <w:rPr>
          <w:rFonts w:asciiTheme="majorBidi" w:hAnsiTheme="majorBidi" w:cstheme="majorBidi"/>
          <w:sz w:val="24"/>
          <w:szCs w:val="24"/>
        </w:rPr>
        <w:t xml:space="preserve">La relation entre </w:t>
      </w:r>
      <w:r w:rsidR="00105B2F" w:rsidRPr="00893088">
        <w:rPr>
          <w:rFonts w:ascii="Times New Roman" w:hAnsi="Times New Roman" w:cs="Times New Roman"/>
          <w:sz w:val="24"/>
          <w:szCs w:val="24"/>
        </w:rPr>
        <w:t xml:space="preserve">Δ </w:t>
      </w:r>
      <w:r w:rsidRPr="00893088">
        <w:rPr>
          <w:rFonts w:ascii="Times New Roman" w:hAnsi="Times New Roman" w:cs="Times New Roman"/>
          <w:sz w:val="24"/>
          <w:szCs w:val="24"/>
        </w:rPr>
        <w:t>et EUE n'a pas été complètement établie dans les études sur champ.</w:t>
      </w:r>
      <w:r w:rsidR="00105B2F" w:rsidRPr="00893088">
        <w:rPr>
          <w:rFonts w:asciiTheme="majorBidi" w:hAnsiTheme="majorBidi" w:cstheme="majorBidi"/>
          <w:sz w:val="24"/>
          <w:szCs w:val="24"/>
        </w:rPr>
        <w:t xml:space="preserve"> </w:t>
      </w:r>
      <w:r w:rsidRPr="00893088">
        <w:rPr>
          <w:rFonts w:asciiTheme="majorBidi" w:hAnsiTheme="majorBidi" w:cstheme="majorBidi"/>
          <w:sz w:val="24"/>
          <w:szCs w:val="24"/>
        </w:rPr>
        <w:t>Donc, les chercheurs doivent multiplier leurs efforts pour déterminer une relation pareille.</w:t>
      </w:r>
    </w:p>
    <w:sectPr w:rsidR="00613147" w:rsidRPr="00893088" w:rsidSect="00451FC4">
      <w:headerReference w:type="default" r:id="rId7"/>
      <w:footerReference w:type="default" r:id="rId8"/>
      <w:pgSz w:w="11906" w:h="16838"/>
      <w:pgMar w:top="1418" w:right="1418" w:bottom="1418" w:left="1418" w:header="708" w:footer="708" w:gutter="0"/>
      <w:pgNumType w:start="2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0F1" w:rsidRDefault="003E70F1" w:rsidP="002B794E">
      <w:pPr>
        <w:spacing w:after="0" w:line="240" w:lineRule="auto"/>
      </w:pPr>
      <w:r>
        <w:separator/>
      </w:r>
    </w:p>
  </w:endnote>
  <w:endnote w:type="continuationSeparator" w:id="1">
    <w:p w:rsidR="003E70F1" w:rsidRDefault="003E70F1" w:rsidP="002B7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9475"/>
      <w:docPartObj>
        <w:docPartGallery w:val="Page Numbers (Bottom of Page)"/>
        <w:docPartUnique/>
      </w:docPartObj>
    </w:sdtPr>
    <w:sdtContent>
      <w:p w:rsidR="007064AB" w:rsidRDefault="0062482C">
        <w:pPr>
          <w:pStyle w:val="a7"/>
          <w:jc w:val="center"/>
        </w:pPr>
        <w:fldSimple w:instr=" PAGE   \* MERGEFORMAT ">
          <w:r w:rsidR="00401AE8">
            <w:rPr>
              <w:noProof/>
            </w:rPr>
            <w:t>24</w:t>
          </w:r>
        </w:fldSimple>
      </w:p>
    </w:sdtContent>
  </w:sdt>
  <w:p w:rsidR="006108D3" w:rsidRDefault="006108D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0F1" w:rsidRDefault="003E70F1" w:rsidP="002B794E">
      <w:pPr>
        <w:spacing w:after="0" w:line="240" w:lineRule="auto"/>
      </w:pPr>
      <w:r>
        <w:separator/>
      </w:r>
    </w:p>
  </w:footnote>
  <w:footnote w:type="continuationSeparator" w:id="1">
    <w:p w:rsidR="003E70F1" w:rsidRDefault="003E70F1" w:rsidP="002B79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8"/>
        <w:szCs w:val="28"/>
      </w:rPr>
      <w:alias w:val="Titre"/>
      <w:id w:val="77738743"/>
      <w:placeholder>
        <w:docPart w:val="A95FB99ACC2B4A8FB14446131C39C02E"/>
      </w:placeholder>
      <w:dataBinding w:prefixMappings="xmlns:ns0='http://schemas.openxmlformats.org/package/2006/metadata/core-properties' xmlns:ns1='http://purl.org/dc/elements/1.1/'" w:xpath="/ns0:coreProperties[1]/ns1:title[1]" w:storeItemID="{6C3C8BC8-F283-45AE-878A-BAB7291924A1}"/>
      <w:text/>
    </w:sdtPr>
    <w:sdtContent>
      <w:p w:rsidR="006108D3" w:rsidRDefault="006108D3" w:rsidP="006108D3">
        <w:pPr>
          <w:pStyle w:val="a6"/>
          <w:pBdr>
            <w:bottom w:val="thickThinSmallGap" w:sz="24" w:space="1" w:color="622423" w:themeColor="accent2" w:themeShade="7F"/>
          </w:pBdr>
          <w:jc w:val="center"/>
          <w:rPr>
            <w:rFonts w:asciiTheme="majorHAnsi" w:eastAsiaTheme="majorEastAsia" w:hAnsiTheme="majorHAnsi" w:cstheme="majorBidi"/>
            <w:sz w:val="32"/>
            <w:szCs w:val="32"/>
          </w:rPr>
        </w:pPr>
        <w:r w:rsidRPr="006108D3">
          <w:rPr>
            <w:rFonts w:asciiTheme="majorBidi" w:hAnsiTheme="majorBidi" w:cstheme="majorBidi"/>
            <w:b/>
            <w:bCs/>
            <w:sz w:val="28"/>
            <w:szCs w:val="28"/>
          </w:rPr>
          <w:t>Chapitre III</w:t>
        </w:r>
        <w:r>
          <w:rPr>
            <w:rFonts w:asciiTheme="majorBidi" w:hAnsiTheme="majorBidi" w:cstheme="majorBidi"/>
            <w:b/>
            <w:bCs/>
            <w:sz w:val="28"/>
            <w:szCs w:val="28"/>
          </w:rPr>
          <w:t xml:space="preserve">                                           </w:t>
        </w:r>
        <w:r w:rsidRPr="006108D3">
          <w:rPr>
            <w:rFonts w:asciiTheme="majorBidi" w:hAnsiTheme="majorBidi" w:cstheme="majorBidi"/>
            <w:b/>
            <w:bCs/>
            <w:sz w:val="28"/>
            <w:szCs w:val="28"/>
          </w:rPr>
          <w:t xml:space="preserve"> Discrimination isotopique du carbone </w:t>
        </w:r>
      </w:p>
    </w:sdtContent>
  </w:sdt>
  <w:p w:rsidR="006108D3" w:rsidRDefault="006108D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6207E"/>
    <w:multiLevelType w:val="hybridMultilevel"/>
    <w:tmpl w:val="EF0C3EC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26127"/>
    <w:rsid w:val="00003089"/>
    <w:rsid w:val="0005421C"/>
    <w:rsid w:val="000F52E8"/>
    <w:rsid w:val="00105B2F"/>
    <w:rsid w:val="00145F05"/>
    <w:rsid w:val="00146238"/>
    <w:rsid w:val="00156DBF"/>
    <w:rsid w:val="001B154F"/>
    <w:rsid w:val="001F14C8"/>
    <w:rsid w:val="00242270"/>
    <w:rsid w:val="0024666C"/>
    <w:rsid w:val="002A50FE"/>
    <w:rsid w:val="002B00B7"/>
    <w:rsid w:val="002B794E"/>
    <w:rsid w:val="002C2516"/>
    <w:rsid w:val="003052FC"/>
    <w:rsid w:val="00305FD7"/>
    <w:rsid w:val="00353208"/>
    <w:rsid w:val="003E1F93"/>
    <w:rsid w:val="003E70F1"/>
    <w:rsid w:val="003F6E6B"/>
    <w:rsid w:val="00401AE8"/>
    <w:rsid w:val="00406B2B"/>
    <w:rsid w:val="00451FC4"/>
    <w:rsid w:val="004D008A"/>
    <w:rsid w:val="004F14B8"/>
    <w:rsid w:val="005057EB"/>
    <w:rsid w:val="00567CE6"/>
    <w:rsid w:val="00573B4C"/>
    <w:rsid w:val="005924E8"/>
    <w:rsid w:val="005D1B71"/>
    <w:rsid w:val="006108D3"/>
    <w:rsid w:val="00613147"/>
    <w:rsid w:val="00623358"/>
    <w:rsid w:val="0062482C"/>
    <w:rsid w:val="00654195"/>
    <w:rsid w:val="00684ADC"/>
    <w:rsid w:val="006B2B6C"/>
    <w:rsid w:val="007064AB"/>
    <w:rsid w:val="00711C04"/>
    <w:rsid w:val="007526B6"/>
    <w:rsid w:val="00770301"/>
    <w:rsid w:val="007E710C"/>
    <w:rsid w:val="008268E0"/>
    <w:rsid w:val="00847F38"/>
    <w:rsid w:val="00870FDD"/>
    <w:rsid w:val="00893088"/>
    <w:rsid w:val="008F0CF5"/>
    <w:rsid w:val="008F28B8"/>
    <w:rsid w:val="00914355"/>
    <w:rsid w:val="00926127"/>
    <w:rsid w:val="0095374B"/>
    <w:rsid w:val="00A01292"/>
    <w:rsid w:val="00A023A2"/>
    <w:rsid w:val="00A76D6C"/>
    <w:rsid w:val="00A82EBD"/>
    <w:rsid w:val="00AD117B"/>
    <w:rsid w:val="00B20F3D"/>
    <w:rsid w:val="00B32856"/>
    <w:rsid w:val="00B50EDF"/>
    <w:rsid w:val="00BB5285"/>
    <w:rsid w:val="00BF16AC"/>
    <w:rsid w:val="00C96FC8"/>
    <w:rsid w:val="00D9245B"/>
    <w:rsid w:val="00D94719"/>
    <w:rsid w:val="00DB5FE9"/>
    <w:rsid w:val="00DC1761"/>
    <w:rsid w:val="00DC5A6E"/>
    <w:rsid w:val="00E57404"/>
    <w:rsid w:val="00E64272"/>
    <w:rsid w:val="00E65482"/>
    <w:rsid w:val="00EC3704"/>
    <w:rsid w:val="00F109AE"/>
    <w:rsid w:val="00F46493"/>
    <w:rsid w:val="00FD0F7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8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6127"/>
    <w:pPr>
      <w:ind w:left="720"/>
      <w:contextualSpacing/>
    </w:pPr>
  </w:style>
  <w:style w:type="paragraph" w:styleId="a4">
    <w:name w:val="Balloon Text"/>
    <w:basedOn w:val="a"/>
    <w:link w:val="Char"/>
    <w:uiPriority w:val="99"/>
    <w:semiHidden/>
    <w:unhideWhenUsed/>
    <w:rsid w:val="003052FC"/>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3052FC"/>
    <w:rPr>
      <w:rFonts w:ascii="Tahoma" w:hAnsi="Tahoma" w:cs="Tahoma"/>
      <w:sz w:val="16"/>
      <w:szCs w:val="16"/>
    </w:rPr>
  </w:style>
  <w:style w:type="character" w:styleId="a5">
    <w:name w:val="Placeholder Text"/>
    <w:basedOn w:val="a0"/>
    <w:uiPriority w:val="99"/>
    <w:semiHidden/>
    <w:rsid w:val="00870FDD"/>
    <w:rPr>
      <w:color w:val="808080"/>
    </w:rPr>
  </w:style>
  <w:style w:type="paragraph" w:styleId="a6">
    <w:name w:val="header"/>
    <w:basedOn w:val="a"/>
    <w:link w:val="Char0"/>
    <w:uiPriority w:val="99"/>
    <w:unhideWhenUsed/>
    <w:rsid w:val="002B794E"/>
    <w:pPr>
      <w:tabs>
        <w:tab w:val="center" w:pos="4536"/>
        <w:tab w:val="right" w:pos="9072"/>
      </w:tabs>
      <w:spacing w:after="0" w:line="240" w:lineRule="auto"/>
    </w:pPr>
  </w:style>
  <w:style w:type="character" w:customStyle="1" w:styleId="Char0">
    <w:name w:val="رأس صفحة Char"/>
    <w:basedOn w:val="a0"/>
    <w:link w:val="a6"/>
    <w:uiPriority w:val="99"/>
    <w:rsid w:val="002B794E"/>
  </w:style>
  <w:style w:type="paragraph" w:styleId="a7">
    <w:name w:val="footer"/>
    <w:basedOn w:val="a"/>
    <w:link w:val="Char1"/>
    <w:uiPriority w:val="99"/>
    <w:unhideWhenUsed/>
    <w:rsid w:val="002B794E"/>
    <w:pPr>
      <w:tabs>
        <w:tab w:val="center" w:pos="4536"/>
        <w:tab w:val="right" w:pos="9072"/>
      </w:tabs>
      <w:spacing w:after="0" w:line="240" w:lineRule="auto"/>
    </w:pPr>
  </w:style>
  <w:style w:type="character" w:customStyle="1" w:styleId="Char1">
    <w:name w:val="تذييل صفحة Char"/>
    <w:basedOn w:val="a0"/>
    <w:link w:val="a7"/>
    <w:uiPriority w:val="99"/>
    <w:rsid w:val="002B79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95FB99ACC2B4A8FB14446131C39C02E"/>
        <w:category>
          <w:name w:val="عام"/>
          <w:gallery w:val="placeholder"/>
        </w:category>
        <w:types>
          <w:type w:val="bbPlcHdr"/>
        </w:types>
        <w:behaviors>
          <w:behavior w:val="content"/>
        </w:behaviors>
        <w:guid w:val="{FC7E886D-3B31-4400-A17D-3A88358DA6B2}"/>
      </w:docPartPr>
      <w:docPartBody>
        <w:p w:rsidR="00765294" w:rsidRDefault="003467AA" w:rsidP="003467AA">
          <w:pPr>
            <w:pStyle w:val="A95FB99ACC2B4A8FB14446131C39C02E"/>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3467AA"/>
    <w:rsid w:val="000E3630"/>
    <w:rsid w:val="001F7D3A"/>
    <w:rsid w:val="003467AA"/>
    <w:rsid w:val="00453BA1"/>
    <w:rsid w:val="00463F72"/>
    <w:rsid w:val="00765294"/>
    <w:rsid w:val="007B7B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2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95FB99ACC2B4A8FB14446131C39C02E">
    <w:name w:val="A95FB99ACC2B4A8FB14446131C39C02E"/>
    <w:rsid w:val="003467A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1350</Words>
  <Characters>7697</Characters>
  <Application>Microsoft Office Word</Application>
  <DocSecurity>0</DocSecurity>
  <Lines>64</Lines>
  <Paragraphs>18</Paragraphs>
  <ScaleCrop>false</ScaleCrop>
  <HeadingPairs>
    <vt:vector size="2" baseType="variant">
      <vt:variant>
        <vt:lpstr>العنوان</vt:lpstr>
      </vt:variant>
      <vt:variant>
        <vt:i4>1</vt:i4>
      </vt:variant>
    </vt:vector>
  </HeadingPairs>
  <TitlesOfParts>
    <vt:vector size="1" baseType="lpstr">
      <vt:lpstr/>
    </vt:vector>
  </TitlesOfParts>
  <Company>Sweet</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III                                            Discrimination isotopique du carbone </dc:title>
  <dc:subject/>
  <dc:creator>SWEET</dc:creator>
  <cp:keywords/>
  <dc:description/>
  <cp:lastModifiedBy>amroune</cp:lastModifiedBy>
  <cp:revision>20</cp:revision>
  <dcterms:created xsi:type="dcterms:W3CDTF">2011-05-29T06:25:00Z</dcterms:created>
  <dcterms:modified xsi:type="dcterms:W3CDTF">2011-06-27T13:28:00Z</dcterms:modified>
</cp:coreProperties>
</file>