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AB7" w:rsidRDefault="001C0AB7" w:rsidP="00417287">
      <w:pPr>
        <w:bidi w:val="0"/>
        <w:spacing w:line="360" w:lineRule="auto"/>
        <w:jc w:val="both"/>
        <w:rPr>
          <w:b/>
          <w:bCs/>
          <w:sz w:val="28"/>
          <w:szCs w:val="28"/>
          <w:lang w:val="fr-FR" w:bidi="ar-DZ"/>
        </w:rPr>
      </w:pPr>
      <w:r w:rsidRPr="00210E97">
        <w:rPr>
          <w:b/>
          <w:bCs/>
          <w:sz w:val="28"/>
          <w:szCs w:val="28"/>
          <w:lang w:val="fr-FR" w:bidi="ar-DZ"/>
        </w:rPr>
        <w:t xml:space="preserve">II- Sang et toxicité hématologique </w:t>
      </w:r>
    </w:p>
    <w:p w:rsidR="001C0AB7" w:rsidRPr="00912AE9" w:rsidRDefault="001C0AB7" w:rsidP="00417287">
      <w:pPr>
        <w:bidi w:val="0"/>
        <w:spacing w:line="360" w:lineRule="auto"/>
        <w:jc w:val="both"/>
        <w:rPr>
          <w:rFonts w:ascii="Arial" w:hAnsi="Arial" w:cs="Arial"/>
          <w:b/>
          <w:bCs/>
          <w:sz w:val="26"/>
          <w:szCs w:val="26"/>
          <w:rtl/>
          <w:lang w:val="fr-FR" w:bidi="ar-DZ"/>
        </w:rPr>
      </w:pPr>
      <w:r w:rsidRPr="00912AE9">
        <w:rPr>
          <w:rFonts w:ascii="Arial" w:hAnsi="Arial" w:cs="Arial"/>
          <w:b/>
          <w:bCs/>
          <w:sz w:val="26"/>
          <w:szCs w:val="26"/>
          <w:lang w:val="fr-FR" w:bidi="ar-DZ"/>
        </w:rPr>
        <w:t>2.1- Sang</w:t>
      </w:r>
    </w:p>
    <w:p w:rsidR="001C0AB7" w:rsidRPr="007C2184" w:rsidRDefault="001C0AB7" w:rsidP="00417287">
      <w:pPr>
        <w:bidi w:val="0"/>
        <w:spacing w:line="360" w:lineRule="auto"/>
        <w:jc w:val="both"/>
        <w:rPr>
          <w:lang w:val="fr-FR" w:bidi="ar-DZ"/>
        </w:rPr>
      </w:pPr>
      <w:r>
        <w:rPr>
          <w:lang w:val="fr-FR" w:bidi="ar-DZ"/>
        </w:rPr>
        <w:t xml:space="preserve">         </w:t>
      </w:r>
      <w:r w:rsidRPr="007C2184">
        <w:rPr>
          <w:lang w:val="fr-FR" w:bidi="ar-DZ"/>
        </w:rPr>
        <w:t>Le sang est un liquide circulant dans les veines et les artères qui irriguent tous les tissus d</w:t>
      </w:r>
      <w:r>
        <w:rPr>
          <w:lang w:val="fr-FR" w:bidi="ar-DZ"/>
        </w:rPr>
        <w:t>u</w:t>
      </w:r>
      <w:r w:rsidRPr="007C2184">
        <w:rPr>
          <w:lang w:val="fr-FR" w:bidi="ar-DZ"/>
        </w:rPr>
        <w:t xml:space="preserve"> corps</w:t>
      </w:r>
      <w:r>
        <w:rPr>
          <w:lang w:val="fr-FR" w:bidi="ar-DZ"/>
        </w:rPr>
        <w:t xml:space="preserve">. </w:t>
      </w:r>
      <w:r w:rsidRPr="007C2184">
        <w:rPr>
          <w:lang w:val="fr-FR" w:bidi="ar-DZ"/>
        </w:rPr>
        <w:t xml:space="preserve">Il est composé du plasma et de trois types de cellules : </w:t>
      </w:r>
    </w:p>
    <w:p w:rsidR="001C0AB7" w:rsidRPr="007C2184" w:rsidRDefault="001C0AB7" w:rsidP="00417287">
      <w:pPr>
        <w:bidi w:val="0"/>
        <w:spacing w:line="360" w:lineRule="auto"/>
        <w:jc w:val="both"/>
        <w:rPr>
          <w:lang w:val="fr-FR" w:bidi="ar-DZ"/>
        </w:rPr>
      </w:pPr>
      <w:r w:rsidRPr="007C2184">
        <w:rPr>
          <w:lang w:val="fr-FR" w:bidi="ar-DZ"/>
        </w:rPr>
        <w:t>1-</w:t>
      </w:r>
      <w:r>
        <w:rPr>
          <w:lang w:val="fr-FR" w:bidi="ar-DZ"/>
        </w:rPr>
        <w:t xml:space="preserve"> </w:t>
      </w:r>
      <w:r w:rsidRPr="005F04FB">
        <w:rPr>
          <w:b/>
          <w:bCs/>
          <w:lang w:val="fr-FR" w:bidi="ar-DZ"/>
        </w:rPr>
        <w:t>Globules blancs</w:t>
      </w:r>
      <w:r w:rsidRPr="00D94C46">
        <w:rPr>
          <w:b/>
          <w:bCs/>
          <w:lang w:val="fr-FR" w:bidi="ar-DZ"/>
        </w:rPr>
        <w:t xml:space="preserve"> (leucocytes):</w:t>
      </w:r>
      <w:r w:rsidRPr="007C2184">
        <w:rPr>
          <w:lang w:val="fr-FR" w:bidi="ar-DZ"/>
        </w:rPr>
        <w:t xml:space="preserve"> qui font partie de système immunitaire d</w:t>
      </w:r>
      <w:r>
        <w:rPr>
          <w:lang w:val="fr-FR" w:bidi="ar-DZ"/>
        </w:rPr>
        <w:t>u</w:t>
      </w:r>
      <w:r w:rsidRPr="007C2184">
        <w:rPr>
          <w:lang w:val="fr-FR" w:bidi="ar-DZ"/>
        </w:rPr>
        <w:t xml:space="preserve"> corps</w:t>
      </w:r>
      <w:r>
        <w:rPr>
          <w:lang w:val="fr-FR" w:bidi="ar-DZ"/>
        </w:rPr>
        <w:t>.</w:t>
      </w:r>
      <w:r w:rsidRPr="007C2184">
        <w:rPr>
          <w:lang w:val="fr-FR" w:bidi="ar-DZ"/>
        </w:rPr>
        <w:t xml:space="preserve"> </w:t>
      </w:r>
    </w:p>
    <w:p w:rsidR="001C0AB7" w:rsidRPr="007C2184" w:rsidRDefault="001C0AB7" w:rsidP="00417287">
      <w:pPr>
        <w:tabs>
          <w:tab w:val="left" w:pos="284"/>
          <w:tab w:val="left" w:pos="426"/>
        </w:tabs>
        <w:bidi w:val="0"/>
        <w:spacing w:line="360" w:lineRule="auto"/>
        <w:jc w:val="both"/>
        <w:rPr>
          <w:lang w:val="fr-FR" w:bidi="ar-DZ"/>
        </w:rPr>
      </w:pPr>
      <w:r w:rsidRPr="007C2184">
        <w:rPr>
          <w:lang w:val="fr-FR" w:bidi="ar-DZ"/>
        </w:rPr>
        <w:t>2-</w:t>
      </w:r>
      <w:r>
        <w:rPr>
          <w:lang w:val="fr-FR" w:bidi="ar-DZ"/>
        </w:rPr>
        <w:t xml:space="preserve"> </w:t>
      </w:r>
      <w:r w:rsidRPr="005F04FB">
        <w:rPr>
          <w:b/>
          <w:bCs/>
          <w:lang w:val="fr-FR" w:bidi="ar-DZ"/>
        </w:rPr>
        <w:t>Globules rouges</w:t>
      </w:r>
      <w:r w:rsidRPr="00D94C46">
        <w:rPr>
          <w:b/>
          <w:bCs/>
          <w:lang w:val="fr-FR" w:bidi="ar-DZ"/>
        </w:rPr>
        <w:t xml:space="preserve"> (érythrocytes ou hématies</w:t>
      </w:r>
      <w:r w:rsidRPr="005F04FB">
        <w:rPr>
          <w:b/>
          <w:bCs/>
          <w:lang w:val="fr-FR" w:bidi="ar-DZ"/>
        </w:rPr>
        <w:t>)</w:t>
      </w:r>
      <w:r w:rsidR="005F04FB" w:rsidRPr="005F04FB">
        <w:rPr>
          <w:b/>
          <w:bCs/>
          <w:lang w:val="fr-FR" w:bidi="ar-DZ"/>
        </w:rPr>
        <w:t> :</w:t>
      </w:r>
      <w:r w:rsidR="005F04FB">
        <w:rPr>
          <w:lang w:val="fr-FR" w:bidi="ar-DZ"/>
        </w:rPr>
        <w:t xml:space="preserve"> </w:t>
      </w:r>
      <w:r w:rsidRPr="007C2184">
        <w:rPr>
          <w:lang w:val="fr-FR" w:bidi="ar-DZ"/>
        </w:rPr>
        <w:t>qui transportent l'oxygène dans le corps</w:t>
      </w:r>
      <w:r>
        <w:rPr>
          <w:lang w:val="fr-FR" w:bidi="ar-DZ"/>
        </w:rPr>
        <w:br/>
        <w:t xml:space="preserve">    </w:t>
      </w:r>
      <w:r w:rsidRPr="007C2184">
        <w:rPr>
          <w:lang w:val="fr-FR" w:bidi="ar-DZ"/>
        </w:rPr>
        <w:t>à l'aide d'une substance appelée hémoglobine.</w:t>
      </w:r>
      <w:r>
        <w:rPr>
          <w:lang w:val="fr-FR" w:bidi="ar-DZ"/>
        </w:rPr>
        <w:t xml:space="preserve"> </w:t>
      </w:r>
      <w:r w:rsidRPr="007C2184">
        <w:rPr>
          <w:lang w:val="fr-FR" w:bidi="ar-DZ"/>
        </w:rPr>
        <w:t>Les globules rouges ont besoin de</w:t>
      </w:r>
      <w:r>
        <w:rPr>
          <w:lang w:val="fr-FR" w:bidi="ar-DZ"/>
        </w:rPr>
        <w:t xml:space="preserve"> </w:t>
      </w:r>
      <w:r w:rsidRPr="007C2184">
        <w:rPr>
          <w:lang w:val="fr-FR" w:bidi="ar-DZ"/>
        </w:rPr>
        <w:t xml:space="preserve">fer pour </w:t>
      </w:r>
      <w:r>
        <w:rPr>
          <w:lang w:val="fr-FR" w:bidi="ar-DZ"/>
        </w:rPr>
        <w:br/>
        <w:t xml:space="preserve">    </w:t>
      </w:r>
      <w:r w:rsidRPr="007C2184">
        <w:rPr>
          <w:lang w:val="fr-FR" w:bidi="ar-DZ"/>
        </w:rPr>
        <w:t xml:space="preserve">stocker et transporter l'oxygène à toutes les parties du corps. </w:t>
      </w:r>
    </w:p>
    <w:p w:rsidR="001C0AB7" w:rsidRPr="007C2184" w:rsidRDefault="001C0AB7" w:rsidP="00417287">
      <w:pPr>
        <w:bidi w:val="0"/>
        <w:spacing w:line="360" w:lineRule="auto"/>
        <w:jc w:val="both"/>
        <w:rPr>
          <w:lang w:val="fr-FR" w:bidi="ar-DZ"/>
        </w:rPr>
      </w:pPr>
      <w:r w:rsidRPr="007C2184">
        <w:rPr>
          <w:lang w:val="fr-FR" w:bidi="ar-DZ"/>
        </w:rPr>
        <w:t xml:space="preserve">3- </w:t>
      </w:r>
      <w:r w:rsidRPr="00210E97">
        <w:rPr>
          <w:b/>
          <w:bCs/>
          <w:lang w:val="fr-FR" w:bidi="ar-DZ"/>
        </w:rPr>
        <w:t>P</w:t>
      </w:r>
      <w:r w:rsidRPr="00D94C46">
        <w:rPr>
          <w:b/>
          <w:bCs/>
          <w:lang w:val="fr-FR" w:bidi="ar-DZ"/>
        </w:rPr>
        <w:t>laquettes</w:t>
      </w:r>
      <w:r w:rsidR="005F04FB">
        <w:rPr>
          <w:b/>
          <w:bCs/>
          <w:lang w:val="fr-FR" w:bidi="ar-DZ"/>
        </w:rPr>
        <w:t> :</w:t>
      </w:r>
      <w:r w:rsidRPr="007C2184">
        <w:rPr>
          <w:lang w:val="fr-FR" w:bidi="ar-DZ"/>
        </w:rPr>
        <w:t xml:space="preserve"> qui permettent au sang de</w:t>
      </w:r>
      <w:r>
        <w:rPr>
          <w:lang w:val="fr-FR" w:bidi="ar-DZ"/>
        </w:rPr>
        <w:t xml:space="preserve"> se</w:t>
      </w:r>
      <w:r w:rsidRPr="007C2184">
        <w:rPr>
          <w:lang w:val="fr-FR" w:bidi="ar-DZ"/>
        </w:rPr>
        <w:t xml:space="preserve"> coaguler (</w:t>
      </w:r>
      <w:proofErr w:type="spellStart"/>
      <w:r>
        <w:rPr>
          <w:lang w:val="fr-FR" w:bidi="ar-DZ"/>
        </w:rPr>
        <w:t>B</w:t>
      </w:r>
      <w:r w:rsidRPr="007C2184">
        <w:rPr>
          <w:lang w:val="fr-FR" w:bidi="ar-DZ"/>
        </w:rPr>
        <w:t>endjebla</w:t>
      </w:r>
      <w:proofErr w:type="spellEnd"/>
      <w:r>
        <w:rPr>
          <w:lang w:val="fr-FR" w:bidi="ar-DZ"/>
        </w:rPr>
        <w:t>,</w:t>
      </w:r>
      <w:r w:rsidRPr="007C2184">
        <w:rPr>
          <w:lang w:val="fr-FR" w:bidi="ar-DZ"/>
        </w:rPr>
        <w:t xml:space="preserve"> 2004)</w:t>
      </w:r>
    </w:p>
    <w:p w:rsidR="001C0AB7" w:rsidRDefault="001C0AB7" w:rsidP="00417287">
      <w:pPr>
        <w:bidi w:val="0"/>
        <w:spacing w:line="360" w:lineRule="auto"/>
        <w:jc w:val="both"/>
        <w:rPr>
          <w:b/>
          <w:bCs/>
          <w:sz w:val="26"/>
          <w:szCs w:val="26"/>
          <w:lang w:val="fr-FR" w:bidi="ar-DZ"/>
        </w:rPr>
      </w:pPr>
    </w:p>
    <w:p w:rsidR="001C0AB7" w:rsidRPr="005F04FB" w:rsidRDefault="001C0AB7" w:rsidP="00417287">
      <w:pPr>
        <w:bidi w:val="0"/>
        <w:spacing w:line="360" w:lineRule="auto"/>
        <w:jc w:val="both"/>
        <w:rPr>
          <w:rFonts w:asciiTheme="minorBidi" w:hAnsiTheme="minorBidi" w:cstheme="minorBidi"/>
          <w:lang w:val="fr-FR" w:bidi="ar-DZ"/>
        </w:rPr>
      </w:pPr>
      <w:r w:rsidRPr="005F04FB">
        <w:rPr>
          <w:rFonts w:asciiTheme="minorBidi" w:hAnsiTheme="minorBidi" w:cstheme="minorBidi"/>
          <w:b/>
          <w:bCs/>
          <w:sz w:val="26"/>
          <w:szCs w:val="26"/>
          <w:lang w:val="fr-FR" w:bidi="ar-DZ"/>
        </w:rPr>
        <w:t>2.2- Toxicité hématologique</w:t>
      </w:r>
      <w:r w:rsidRPr="005F04FB">
        <w:rPr>
          <w:rFonts w:asciiTheme="minorBidi" w:hAnsiTheme="minorBidi" w:cstheme="minorBidi"/>
          <w:lang w:val="fr-FR" w:bidi="ar-DZ"/>
        </w:rPr>
        <w:t xml:space="preserve"> </w:t>
      </w:r>
    </w:p>
    <w:p w:rsidR="001C0AB7" w:rsidRPr="005F04FB" w:rsidRDefault="001C0AB7" w:rsidP="005F04FB">
      <w:pPr>
        <w:autoSpaceDE w:val="0"/>
        <w:autoSpaceDN w:val="0"/>
        <w:bidi w:val="0"/>
        <w:adjustRightInd w:val="0"/>
        <w:spacing w:line="360" w:lineRule="auto"/>
        <w:ind w:firstLine="567"/>
        <w:jc w:val="both"/>
        <w:rPr>
          <w:sz w:val="26"/>
          <w:szCs w:val="26"/>
          <w:lang w:val="fr-FR" w:bidi="ar-DZ"/>
        </w:rPr>
      </w:pPr>
      <w:r>
        <w:rPr>
          <w:lang w:val="fr-FR"/>
        </w:rPr>
        <w:t xml:space="preserve">L’organisme est exposé à de nombreux produits potentiellement toxiques dans son environnement. </w:t>
      </w:r>
    </w:p>
    <w:p w:rsidR="001C0AB7" w:rsidRDefault="001C0AB7" w:rsidP="00417287">
      <w:pPr>
        <w:bidi w:val="0"/>
        <w:spacing w:line="360" w:lineRule="auto"/>
        <w:jc w:val="both"/>
        <w:rPr>
          <w:rFonts w:ascii="Arial" w:hAnsi="Arial" w:cs="Arial"/>
          <w:b/>
          <w:bCs/>
          <w:sz w:val="26"/>
          <w:szCs w:val="26"/>
          <w:lang w:val="fr-FR" w:bidi="ar-DZ"/>
        </w:rPr>
      </w:pPr>
      <w:r w:rsidRPr="00F85921">
        <w:rPr>
          <w:rFonts w:ascii="Arial" w:hAnsi="Arial" w:cs="Arial"/>
          <w:b/>
          <w:bCs/>
          <w:sz w:val="26"/>
          <w:szCs w:val="26"/>
          <w:lang w:val="fr-FR" w:bidi="ar-DZ"/>
        </w:rPr>
        <w:t xml:space="preserve">2.2.1- Cibles des toxiques du sang </w:t>
      </w:r>
    </w:p>
    <w:p w:rsidR="001C0AB7" w:rsidRDefault="001C0AB7" w:rsidP="00417287">
      <w:pPr>
        <w:bidi w:val="0"/>
        <w:spacing w:line="360" w:lineRule="auto"/>
        <w:jc w:val="both"/>
        <w:rPr>
          <w:lang w:val="fr-FR" w:bidi="ar-DZ"/>
        </w:rPr>
      </w:pPr>
      <w:r>
        <w:rPr>
          <w:lang w:val="fr-FR" w:bidi="ar-DZ"/>
        </w:rPr>
        <w:t xml:space="preserve">          </w:t>
      </w:r>
      <w:r w:rsidRPr="007C2184">
        <w:rPr>
          <w:lang w:val="fr-FR" w:bidi="ar-DZ"/>
        </w:rPr>
        <w:t>Certain</w:t>
      </w:r>
      <w:r>
        <w:rPr>
          <w:lang w:val="fr-FR" w:bidi="ar-DZ"/>
        </w:rPr>
        <w:t>s</w:t>
      </w:r>
      <w:r w:rsidRPr="007C2184">
        <w:rPr>
          <w:lang w:val="fr-FR" w:bidi="ar-DZ"/>
        </w:rPr>
        <w:t xml:space="preserve"> toxiques sont capables de perturber la synthèse de l'hémoglobine</w:t>
      </w:r>
      <w:r>
        <w:rPr>
          <w:lang w:val="fr-FR" w:bidi="ar-DZ"/>
        </w:rPr>
        <w:t xml:space="preserve"> ou bien sa </w:t>
      </w:r>
      <w:proofErr w:type="gramStart"/>
      <w:r>
        <w:rPr>
          <w:lang w:val="fr-FR" w:bidi="ar-DZ"/>
        </w:rPr>
        <w:t>fonction</w:t>
      </w:r>
      <w:proofErr w:type="gramEnd"/>
      <w:r>
        <w:rPr>
          <w:lang w:val="fr-FR" w:bidi="ar-DZ"/>
        </w:rPr>
        <w:t xml:space="preserve"> comme transporteur d’oxygène dans les hématies</w:t>
      </w:r>
      <w:r w:rsidRPr="007C2184">
        <w:rPr>
          <w:lang w:val="fr-FR" w:bidi="ar-DZ"/>
        </w:rPr>
        <w:t xml:space="preserve">. C'est le cas </w:t>
      </w:r>
      <w:r>
        <w:rPr>
          <w:lang w:val="fr-FR" w:bidi="ar-DZ"/>
        </w:rPr>
        <w:t xml:space="preserve">de certains types d’antibiotiques, </w:t>
      </w:r>
      <w:r w:rsidRPr="007C2184">
        <w:rPr>
          <w:lang w:val="fr-FR" w:bidi="ar-DZ"/>
        </w:rPr>
        <w:t>d</w:t>
      </w:r>
      <w:r>
        <w:rPr>
          <w:lang w:val="fr-FR" w:bidi="ar-DZ"/>
        </w:rPr>
        <w:t>u</w:t>
      </w:r>
      <w:r w:rsidRPr="007C2184">
        <w:rPr>
          <w:lang w:val="fr-FR" w:bidi="ar-DZ"/>
        </w:rPr>
        <w:t xml:space="preserve"> plomb </w:t>
      </w:r>
      <w:r>
        <w:rPr>
          <w:lang w:val="fr-FR" w:bidi="ar-DZ"/>
        </w:rPr>
        <w:t>(</w:t>
      </w:r>
      <w:r w:rsidRPr="007C2184">
        <w:rPr>
          <w:lang w:val="fr-FR" w:bidi="ar-DZ"/>
        </w:rPr>
        <w:t xml:space="preserve">action </w:t>
      </w:r>
      <w:proofErr w:type="spellStart"/>
      <w:r w:rsidRPr="007C2184">
        <w:rPr>
          <w:lang w:val="fr-FR" w:bidi="ar-DZ"/>
        </w:rPr>
        <w:t>thioprivante</w:t>
      </w:r>
      <w:proofErr w:type="spellEnd"/>
      <w:r>
        <w:rPr>
          <w:lang w:val="fr-FR" w:bidi="ar-DZ"/>
        </w:rPr>
        <w:t xml:space="preserve"> par </w:t>
      </w:r>
      <w:r w:rsidRPr="007C2184">
        <w:rPr>
          <w:lang w:val="fr-FR" w:bidi="ar-DZ"/>
        </w:rPr>
        <w:t>liaison au groupement SH protéique)</w:t>
      </w:r>
      <w:r>
        <w:rPr>
          <w:lang w:val="fr-FR" w:bidi="ar-DZ"/>
        </w:rPr>
        <w:t xml:space="preserve"> et du monoxyde de carbone.</w:t>
      </w:r>
    </w:p>
    <w:p w:rsidR="001C0AB7" w:rsidRDefault="001C0AB7" w:rsidP="00417287">
      <w:pPr>
        <w:autoSpaceDE w:val="0"/>
        <w:autoSpaceDN w:val="0"/>
        <w:bidi w:val="0"/>
        <w:adjustRightInd w:val="0"/>
        <w:spacing w:line="360" w:lineRule="auto"/>
        <w:ind w:firstLine="567"/>
        <w:jc w:val="both"/>
        <w:rPr>
          <w:lang w:val="fr-FR"/>
        </w:rPr>
      </w:pPr>
      <w:r>
        <w:rPr>
          <w:lang w:val="fr-FR"/>
        </w:rPr>
        <w:t xml:space="preserve">La toxicité hématologique peut se traduire aussi par une augmentation ou une diminution du nombre de cellules sanguines périphériques d’une ou plusieurs lignées cellulaires ou par une modification de la coagulabilité sanguine. </w:t>
      </w:r>
    </w:p>
    <w:p w:rsidR="001C0AB7" w:rsidRPr="00210E97" w:rsidRDefault="001C0AB7" w:rsidP="00417287">
      <w:pPr>
        <w:autoSpaceDE w:val="0"/>
        <w:autoSpaceDN w:val="0"/>
        <w:bidi w:val="0"/>
        <w:adjustRightInd w:val="0"/>
        <w:spacing w:line="360" w:lineRule="auto"/>
        <w:ind w:firstLine="567"/>
        <w:jc w:val="both"/>
        <w:rPr>
          <w:sz w:val="26"/>
          <w:szCs w:val="26"/>
          <w:lang w:val="fr-FR" w:bidi="ar-DZ"/>
        </w:rPr>
      </w:pPr>
      <w:r>
        <w:rPr>
          <w:lang w:val="fr-FR"/>
        </w:rPr>
        <w:t>Les cytopénies ont diverses conséquences : syndrome anémique, hémorragique, infectieux par immunosuppression… L’origine de cette modification de la numération sanguine peut être centrale par atteinte médullaire ou périphérique par destruction immune ou non.</w:t>
      </w:r>
    </w:p>
    <w:p w:rsidR="001C0AB7" w:rsidRPr="00912AE9" w:rsidRDefault="001C0AB7" w:rsidP="00417287">
      <w:pPr>
        <w:bidi w:val="0"/>
        <w:spacing w:line="360" w:lineRule="auto"/>
        <w:jc w:val="both"/>
        <w:rPr>
          <w:rFonts w:ascii="Arial" w:hAnsi="Arial" w:cs="Arial"/>
          <w:b/>
          <w:bCs/>
          <w:lang w:val="fr-FR" w:bidi="ar-DZ"/>
        </w:rPr>
      </w:pPr>
      <w:r w:rsidRPr="00912AE9">
        <w:rPr>
          <w:rFonts w:ascii="Arial" w:hAnsi="Arial" w:cs="Arial"/>
          <w:b/>
          <w:bCs/>
          <w:lang w:val="fr-FR" w:bidi="ar-DZ"/>
        </w:rPr>
        <w:t xml:space="preserve">a- Action sur l'hémoglobine </w:t>
      </w:r>
    </w:p>
    <w:p w:rsidR="001C0AB7" w:rsidRPr="00D51623" w:rsidRDefault="001C0AB7" w:rsidP="00417287">
      <w:pPr>
        <w:autoSpaceDE w:val="0"/>
        <w:autoSpaceDN w:val="0"/>
        <w:bidi w:val="0"/>
        <w:adjustRightInd w:val="0"/>
        <w:spacing w:line="360" w:lineRule="auto"/>
        <w:ind w:firstLine="567"/>
        <w:rPr>
          <w:b/>
          <w:bCs/>
          <w:lang w:val="fr-FR" w:bidi="ar-DZ"/>
        </w:rPr>
      </w:pPr>
      <w:r>
        <w:rPr>
          <w:lang w:val="fr-FR"/>
        </w:rPr>
        <w:t>L’hémoglobine r</w:t>
      </w:r>
      <w:r w:rsidRPr="00D51623">
        <w:rPr>
          <w:lang w:val="fr-FR"/>
        </w:rPr>
        <w:t xml:space="preserve">eprésente 33% du poids du </w:t>
      </w:r>
      <w:r>
        <w:rPr>
          <w:lang w:val="fr-FR"/>
        </w:rPr>
        <w:t>globule rouge (</w:t>
      </w:r>
      <w:r w:rsidRPr="00D51623">
        <w:rPr>
          <w:lang w:val="fr-FR"/>
        </w:rPr>
        <w:t>GR</w:t>
      </w:r>
      <w:r>
        <w:rPr>
          <w:lang w:val="fr-FR"/>
        </w:rPr>
        <w:t>)</w:t>
      </w:r>
      <w:r w:rsidRPr="00D51623">
        <w:rPr>
          <w:lang w:val="fr-FR"/>
        </w:rPr>
        <w:t xml:space="preserve">. </w:t>
      </w:r>
      <w:r>
        <w:rPr>
          <w:lang w:val="fr-FR"/>
        </w:rPr>
        <w:t xml:space="preserve">Il est </w:t>
      </w:r>
      <w:r w:rsidRPr="00D51623">
        <w:rPr>
          <w:lang w:val="fr-FR"/>
        </w:rPr>
        <w:t>constitué de 4</w:t>
      </w:r>
      <w:r>
        <w:rPr>
          <w:lang w:val="fr-FR"/>
        </w:rPr>
        <w:t xml:space="preserve"> </w:t>
      </w:r>
      <w:r w:rsidRPr="00D51623">
        <w:rPr>
          <w:lang w:val="fr-FR"/>
        </w:rPr>
        <w:t>chaînes de globine, et de l’hème avec un atome de fer ferreux enchâssé en son centre</w:t>
      </w:r>
      <w:r>
        <w:rPr>
          <w:lang w:val="fr-FR"/>
        </w:rPr>
        <w:t>.</w:t>
      </w:r>
      <w:r w:rsidRPr="00D51623">
        <w:rPr>
          <w:lang w:val="fr-FR"/>
        </w:rPr>
        <w:t xml:space="preserve"> </w:t>
      </w:r>
      <w:r>
        <w:rPr>
          <w:lang w:val="fr-FR"/>
        </w:rPr>
        <w:t>Il assure t</w:t>
      </w:r>
      <w:r w:rsidRPr="00D51623">
        <w:rPr>
          <w:lang w:val="fr-FR"/>
        </w:rPr>
        <w:t>rois fonctions principales : transfère de l’oxygène des poumons aux tissus, du CO</w:t>
      </w:r>
      <w:r w:rsidRPr="00C53A84">
        <w:rPr>
          <w:vertAlign w:val="subscript"/>
          <w:lang w:val="fr-FR"/>
        </w:rPr>
        <w:t xml:space="preserve">2 </w:t>
      </w:r>
      <w:r w:rsidRPr="00D51623">
        <w:rPr>
          <w:lang w:val="fr-FR"/>
        </w:rPr>
        <w:t>des tissus aux poumons, et tamponne les ions H</w:t>
      </w:r>
      <w:r w:rsidRPr="009B4B2D">
        <w:rPr>
          <w:vertAlign w:val="superscript"/>
          <w:lang w:val="fr-FR"/>
        </w:rPr>
        <w:t xml:space="preserve">+ </w:t>
      </w:r>
      <w:r w:rsidRPr="00D51623">
        <w:rPr>
          <w:lang w:val="fr-FR"/>
        </w:rPr>
        <w:t>libérés par les tissus (</w:t>
      </w:r>
      <w:proofErr w:type="spellStart"/>
      <w:r w:rsidRPr="00D51623">
        <w:rPr>
          <w:rFonts w:ascii="ComicSansMS" w:hAnsi="ComicSansMS" w:cs="ComicSansMS"/>
          <w:sz w:val="25"/>
          <w:szCs w:val="25"/>
          <w:lang w:val="fr-FR"/>
        </w:rPr>
        <w:t>A</w:t>
      </w:r>
      <w:r w:rsidRPr="00D51623">
        <w:rPr>
          <w:rFonts w:ascii="ComicSansMS" w:hAnsi="ComicSansMS" w:cs="ComicSansMS"/>
          <w:sz w:val="21"/>
          <w:szCs w:val="21"/>
          <w:lang w:val="fr-FR"/>
        </w:rPr>
        <w:t>nkri</w:t>
      </w:r>
      <w:proofErr w:type="spellEnd"/>
      <w:r w:rsidRPr="00D51623">
        <w:rPr>
          <w:rFonts w:ascii="ComicSansMS" w:hAnsi="ComicSansMS" w:cs="ComicSansMS"/>
          <w:sz w:val="21"/>
          <w:szCs w:val="21"/>
          <w:lang w:val="fr-FR"/>
        </w:rPr>
        <w:t xml:space="preserve"> et </w:t>
      </w:r>
      <w:proofErr w:type="gramStart"/>
      <w:r w:rsidRPr="00D51623">
        <w:rPr>
          <w:rFonts w:ascii="ComicSansMS" w:hAnsi="ComicSansMS" w:cs="ComicSansMS"/>
          <w:b/>
          <w:bCs/>
          <w:i/>
          <w:iCs/>
          <w:sz w:val="21"/>
          <w:szCs w:val="21"/>
          <w:lang w:val="fr-FR"/>
        </w:rPr>
        <w:t>al</w:t>
      </w:r>
      <w:r w:rsidRPr="00D51623">
        <w:rPr>
          <w:rFonts w:ascii="ComicSansMS" w:hAnsi="ComicSansMS" w:cs="ComicSansMS"/>
          <w:sz w:val="21"/>
          <w:szCs w:val="21"/>
          <w:lang w:val="fr-FR"/>
        </w:rPr>
        <w:t>.,</w:t>
      </w:r>
      <w:proofErr w:type="gramEnd"/>
      <w:r w:rsidRPr="00D51623">
        <w:rPr>
          <w:rFonts w:ascii="ComicSansMS" w:hAnsi="ComicSansMS" w:cs="ComicSansMS"/>
          <w:sz w:val="21"/>
          <w:szCs w:val="21"/>
          <w:lang w:val="fr-FR"/>
        </w:rPr>
        <w:t xml:space="preserve"> 2008)</w:t>
      </w:r>
      <w:r w:rsidRPr="00D51623">
        <w:rPr>
          <w:lang w:val="fr-FR"/>
        </w:rPr>
        <w:t>.</w:t>
      </w:r>
    </w:p>
    <w:p w:rsidR="00417287" w:rsidRDefault="00417287" w:rsidP="00417287">
      <w:pPr>
        <w:autoSpaceDE w:val="0"/>
        <w:autoSpaceDN w:val="0"/>
        <w:bidi w:val="0"/>
        <w:adjustRightInd w:val="0"/>
        <w:spacing w:line="360" w:lineRule="auto"/>
        <w:jc w:val="both"/>
        <w:rPr>
          <w:b/>
          <w:bCs/>
          <w:sz w:val="28"/>
          <w:szCs w:val="28"/>
          <w:lang w:val="fr-FR"/>
        </w:rPr>
      </w:pPr>
    </w:p>
    <w:p w:rsidR="00417287" w:rsidRDefault="00417287" w:rsidP="00417287">
      <w:pPr>
        <w:autoSpaceDE w:val="0"/>
        <w:autoSpaceDN w:val="0"/>
        <w:bidi w:val="0"/>
        <w:adjustRightInd w:val="0"/>
        <w:spacing w:line="360" w:lineRule="auto"/>
        <w:jc w:val="both"/>
        <w:rPr>
          <w:b/>
          <w:bCs/>
          <w:sz w:val="28"/>
          <w:szCs w:val="28"/>
          <w:lang w:val="fr-FR"/>
        </w:rPr>
      </w:pPr>
    </w:p>
    <w:p w:rsidR="005F04FB" w:rsidRDefault="005F04FB" w:rsidP="00417287">
      <w:pPr>
        <w:autoSpaceDE w:val="0"/>
        <w:autoSpaceDN w:val="0"/>
        <w:bidi w:val="0"/>
        <w:adjustRightInd w:val="0"/>
        <w:spacing w:line="360" w:lineRule="auto"/>
        <w:jc w:val="both"/>
        <w:rPr>
          <w:b/>
          <w:bCs/>
          <w:sz w:val="28"/>
          <w:szCs w:val="28"/>
          <w:lang w:val="fr-FR"/>
        </w:rPr>
      </w:pPr>
    </w:p>
    <w:p w:rsidR="001C0AB7" w:rsidRPr="00417287" w:rsidRDefault="001C0AB7" w:rsidP="005F04FB">
      <w:pPr>
        <w:autoSpaceDE w:val="0"/>
        <w:autoSpaceDN w:val="0"/>
        <w:bidi w:val="0"/>
        <w:adjustRightInd w:val="0"/>
        <w:spacing w:line="360" w:lineRule="auto"/>
        <w:jc w:val="both"/>
        <w:rPr>
          <w:b/>
          <w:bCs/>
          <w:sz w:val="28"/>
          <w:szCs w:val="28"/>
          <w:lang w:val="fr-FR"/>
        </w:rPr>
      </w:pPr>
      <w:r w:rsidRPr="00417287">
        <w:rPr>
          <w:b/>
          <w:bCs/>
          <w:sz w:val="28"/>
          <w:szCs w:val="28"/>
          <w:lang w:val="fr-FR"/>
        </w:rPr>
        <w:lastRenderedPageBreak/>
        <w:t>Toxicité hématologique des anti-infectieux : chloramphénicol et sulfamides</w:t>
      </w:r>
    </w:p>
    <w:p w:rsidR="001C0AB7" w:rsidRDefault="001C0AB7" w:rsidP="00417287">
      <w:pPr>
        <w:autoSpaceDE w:val="0"/>
        <w:autoSpaceDN w:val="0"/>
        <w:bidi w:val="0"/>
        <w:adjustRightInd w:val="0"/>
        <w:spacing w:line="360" w:lineRule="auto"/>
        <w:jc w:val="both"/>
        <w:rPr>
          <w:lang w:val="fr-FR"/>
        </w:rPr>
      </w:pPr>
      <w:r>
        <w:rPr>
          <w:lang w:val="fr-FR"/>
        </w:rPr>
        <w:t xml:space="preserve">          Le chloramphénicol et les sulfamides sont des antibiotiques bactériostatiques de synthèse. Le chloramphénicol appartient à la famille des </w:t>
      </w:r>
      <w:proofErr w:type="spellStart"/>
      <w:r>
        <w:rPr>
          <w:lang w:val="fr-FR"/>
        </w:rPr>
        <w:t>phénicolés</w:t>
      </w:r>
      <w:proofErr w:type="spellEnd"/>
      <w:r>
        <w:rPr>
          <w:lang w:val="fr-FR"/>
        </w:rPr>
        <w:t xml:space="preserve"> et agit par inhibition d’une enzyme impliquée dans la synthèse des protéines mitochondriales. Les sulfamides sont des dérivés de l’acide </w:t>
      </w:r>
      <w:proofErr w:type="spellStart"/>
      <w:r>
        <w:rPr>
          <w:lang w:val="fr-FR"/>
        </w:rPr>
        <w:t>paraaminobenzène</w:t>
      </w:r>
      <w:proofErr w:type="spellEnd"/>
      <w:r>
        <w:rPr>
          <w:lang w:val="fr-FR"/>
        </w:rPr>
        <w:t xml:space="preserve"> sulfonique qui bloquent la synthèse des </w:t>
      </w:r>
      <w:proofErr w:type="spellStart"/>
      <w:r>
        <w:rPr>
          <w:lang w:val="fr-FR"/>
        </w:rPr>
        <w:t>folates</w:t>
      </w:r>
      <w:proofErr w:type="spellEnd"/>
      <w:r>
        <w:rPr>
          <w:lang w:val="fr-FR"/>
        </w:rPr>
        <w:t xml:space="preserve"> et par conséquent celle des acides nucléiques. </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Lors d’administration de longue durée de chloramphénicol, les anomalies hématologiques se répercutent cliniquement par un purpura (</w:t>
      </w:r>
      <w:proofErr w:type="spellStart"/>
      <w:r>
        <w:rPr>
          <w:lang w:val="fr-FR"/>
        </w:rPr>
        <w:t>Thrombocytopénie</w:t>
      </w:r>
      <w:proofErr w:type="spellEnd"/>
      <w:r>
        <w:rPr>
          <w:lang w:val="fr-FR"/>
        </w:rPr>
        <w:t xml:space="preserve">), des infections secondaires (Leucopénie, agranulocytose) et plus tardivement un syndrome anémique (Pâleur des muqueuses, dyspnée à l’effort, tachycardie). </w:t>
      </w:r>
      <w:r>
        <w:rPr>
          <w:sz w:val="20"/>
          <w:szCs w:val="20"/>
          <w:lang w:val="fr-FR"/>
        </w:rPr>
        <w:t>(</w:t>
      </w:r>
      <w:proofErr w:type="spellStart"/>
      <w:r w:rsidR="005F04FB">
        <w:rPr>
          <w:lang w:val="fr-FR"/>
        </w:rPr>
        <w:t>Keck</w:t>
      </w:r>
      <w:proofErr w:type="spellEnd"/>
      <w:r w:rsidRPr="001F375F">
        <w:rPr>
          <w:lang w:val="fr-FR"/>
        </w:rPr>
        <w:t>,</w:t>
      </w:r>
      <w:r w:rsidR="005F04FB">
        <w:rPr>
          <w:lang w:val="fr-FR"/>
        </w:rPr>
        <w:t xml:space="preserve"> </w:t>
      </w:r>
      <w:r w:rsidRPr="001F375F">
        <w:rPr>
          <w:lang w:val="fr-FR"/>
        </w:rPr>
        <w:t>1981)</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Le chloramphénicol ou ses métabolites (</w:t>
      </w:r>
      <w:proofErr w:type="spellStart"/>
      <w:r>
        <w:rPr>
          <w:lang w:val="fr-FR"/>
        </w:rPr>
        <w:t>nitrosochloramphénicol</w:t>
      </w:r>
      <w:proofErr w:type="spellEnd"/>
      <w:r>
        <w:rPr>
          <w:lang w:val="fr-FR"/>
        </w:rPr>
        <w:t xml:space="preserve"> notamment) ont un mode d’action complexe et interviendraient à différents niveaux : synthèse protéique, synthèse de l’hème, cinétique du fer et action antimitotique </w:t>
      </w:r>
      <w:r>
        <w:rPr>
          <w:sz w:val="20"/>
          <w:szCs w:val="20"/>
          <w:lang w:val="fr-FR"/>
        </w:rPr>
        <w:t>(</w:t>
      </w:r>
      <w:proofErr w:type="spellStart"/>
      <w:r w:rsidR="005F04FB">
        <w:rPr>
          <w:lang w:val="fr-FR"/>
        </w:rPr>
        <w:t>Keck</w:t>
      </w:r>
      <w:proofErr w:type="spellEnd"/>
      <w:proofErr w:type="gramStart"/>
      <w:r w:rsidRPr="001F375F">
        <w:rPr>
          <w:lang w:val="fr-FR"/>
        </w:rPr>
        <w:t>,1981</w:t>
      </w:r>
      <w:proofErr w:type="gramEnd"/>
      <w:r w:rsidRPr="001F375F">
        <w:rPr>
          <w:lang w:val="fr-FR"/>
        </w:rPr>
        <w:t>)</w:t>
      </w:r>
      <w:r>
        <w:rPr>
          <w:lang w:val="fr-FR"/>
        </w:rPr>
        <w:t xml:space="preserve">. Il inhibe les synthèses protéiques des bactéries (activité bactériostatique) mais aussi des cellules de mammifères à cause d’une structure similaire des mitochondries avec lesquelles il interfère. </w:t>
      </w:r>
      <w:r>
        <w:rPr>
          <w:sz w:val="20"/>
          <w:szCs w:val="20"/>
          <w:lang w:val="fr-FR"/>
        </w:rPr>
        <w:t xml:space="preserve">[100, 145] </w:t>
      </w:r>
      <w:r>
        <w:rPr>
          <w:lang w:val="fr-FR"/>
        </w:rPr>
        <w:t>Pour une dose unique de 50 mg/kg par voie intraveineuse, la diminution de la synthèse protéique est maximale 30 minutes à 4 heures plus tard. (</w:t>
      </w:r>
      <w:proofErr w:type="gramStart"/>
      <w:r w:rsidRPr="001F375F">
        <w:rPr>
          <w:lang w:val="fr-FR"/>
        </w:rPr>
        <w:t>Penny</w:t>
      </w:r>
      <w:r>
        <w:rPr>
          <w:sz w:val="20"/>
          <w:szCs w:val="20"/>
          <w:lang w:val="fr-FR"/>
        </w:rPr>
        <w:t xml:space="preserve"> ,</w:t>
      </w:r>
      <w:r>
        <w:rPr>
          <w:lang w:val="fr-FR"/>
        </w:rPr>
        <w:t>et</w:t>
      </w:r>
      <w:proofErr w:type="gramEnd"/>
      <w:r>
        <w:rPr>
          <w:lang w:val="fr-FR"/>
        </w:rPr>
        <w:t xml:space="preserve"> </w:t>
      </w:r>
      <w:r w:rsidRPr="005F04FB">
        <w:rPr>
          <w:b/>
          <w:bCs/>
          <w:i/>
          <w:iCs/>
          <w:lang w:val="fr-FR"/>
        </w:rPr>
        <w:t>al</w:t>
      </w:r>
      <w:r>
        <w:rPr>
          <w:i/>
          <w:iCs/>
          <w:lang w:val="fr-FR"/>
        </w:rPr>
        <w:t>.,</w:t>
      </w:r>
      <w:r w:rsidR="005F04FB">
        <w:rPr>
          <w:i/>
          <w:iCs/>
          <w:lang w:val="fr-FR"/>
        </w:rPr>
        <w:t xml:space="preserve"> </w:t>
      </w:r>
      <w:r>
        <w:rPr>
          <w:i/>
          <w:iCs/>
          <w:lang w:val="fr-FR"/>
        </w:rPr>
        <w:t>1970</w:t>
      </w:r>
      <w:r>
        <w:rPr>
          <w:lang w:val="fr-FR"/>
        </w:rPr>
        <w:t>)</w:t>
      </w:r>
      <w:r>
        <w:rPr>
          <w:sz w:val="20"/>
          <w:szCs w:val="20"/>
          <w:lang w:val="fr-FR"/>
        </w:rPr>
        <w:t xml:space="preserve"> </w:t>
      </w:r>
    </w:p>
    <w:p w:rsidR="001C0AB7" w:rsidRPr="001F375F" w:rsidRDefault="001C0AB7" w:rsidP="00417287">
      <w:pPr>
        <w:autoSpaceDE w:val="0"/>
        <w:autoSpaceDN w:val="0"/>
        <w:bidi w:val="0"/>
        <w:adjustRightInd w:val="0"/>
        <w:spacing w:line="360" w:lineRule="auto"/>
        <w:ind w:firstLine="567"/>
        <w:jc w:val="both"/>
        <w:rPr>
          <w:lang w:val="fr-FR"/>
        </w:rPr>
      </w:pPr>
      <w:r>
        <w:rPr>
          <w:lang w:val="fr-FR"/>
        </w:rPr>
        <w:t xml:space="preserve">Il bloque la synthèse de l’hème dans les érythroblastes en inhibant l’activité de la </w:t>
      </w:r>
      <w:proofErr w:type="spellStart"/>
      <w:r>
        <w:rPr>
          <w:lang w:val="fr-FR"/>
        </w:rPr>
        <w:t>ferrochélatase</w:t>
      </w:r>
      <w:proofErr w:type="spellEnd"/>
      <w:r>
        <w:rPr>
          <w:lang w:val="fr-FR"/>
        </w:rPr>
        <w:t xml:space="preserve"> (</w:t>
      </w:r>
      <w:proofErr w:type="spellStart"/>
      <w:r>
        <w:rPr>
          <w:lang w:val="fr-FR"/>
        </w:rPr>
        <w:t>hémosynthétase</w:t>
      </w:r>
      <w:proofErr w:type="spellEnd"/>
      <w:r>
        <w:rPr>
          <w:lang w:val="fr-FR"/>
        </w:rPr>
        <w:t xml:space="preserve">) </w:t>
      </w:r>
      <w:r>
        <w:rPr>
          <w:sz w:val="20"/>
          <w:szCs w:val="20"/>
          <w:lang w:val="fr-FR"/>
        </w:rPr>
        <w:t>(</w:t>
      </w:r>
      <w:proofErr w:type="spellStart"/>
      <w:r w:rsidR="005F04FB">
        <w:rPr>
          <w:lang w:val="fr-FR"/>
        </w:rPr>
        <w:t>Keck</w:t>
      </w:r>
      <w:proofErr w:type="spellEnd"/>
      <w:r w:rsidRPr="001F375F">
        <w:rPr>
          <w:lang w:val="fr-FR"/>
        </w:rPr>
        <w:t>,</w:t>
      </w:r>
      <w:r w:rsidR="005F04FB">
        <w:rPr>
          <w:lang w:val="fr-FR"/>
        </w:rPr>
        <w:t xml:space="preserve"> </w:t>
      </w:r>
      <w:r w:rsidRPr="001F375F">
        <w:rPr>
          <w:lang w:val="fr-FR"/>
        </w:rPr>
        <w:t>1981)</w:t>
      </w:r>
      <w:r>
        <w:rPr>
          <w:lang w:val="fr-FR"/>
        </w:rPr>
        <w:t xml:space="preserve">.et cause une dégénérescence toxique réversible des érythroblastes avec arrêt de la maturation au stade </w:t>
      </w:r>
      <w:proofErr w:type="spellStart"/>
      <w:r>
        <w:rPr>
          <w:lang w:val="fr-FR"/>
        </w:rPr>
        <w:t>normoblaste</w:t>
      </w:r>
      <w:proofErr w:type="spellEnd"/>
      <w:r>
        <w:rPr>
          <w:lang w:val="fr-FR"/>
        </w:rPr>
        <w:t xml:space="preserve"> précoce,</w:t>
      </w:r>
      <w:r w:rsidR="005F04FB">
        <w:rPr>
          <w:lang w:val="fr-FR"/>
        </w:rPr>
        <w:t xml:space="preserve"> </w:t>
      </w:r>
      <w:r>
        <w:rPr>
          <w:lang w:val="fr-FR"/>
        </w:rPr>
        <w:t>Il perturbe la cinétique du fer et provoque une augmentation des taux plasmatiques et une diminution de la fixation sur les hématies circulantes, même à dose modérée</w:t>
      </w:r>
      <w:r w:rsidR="005F04FB">
        <w:rPr>
          <w:lang w:val="fr-FR"/>
        </w:rPr>
        <w:t xml:space="preserve"> </w:t>
      </w:r>
      <w:r>
        <w:rPr>
          <w:lang w:val="fr-FR"/>
        </w:rPr>
        <w:t>(</w:t>
      </w:r>
      <w:r w:rsidRPr="001F375F">
        <w:rPr>
          <w:lang w:val="fr-FR"/>
        </w:rPr>
        <w:t>Penny</w:t>
      </w:r>
      <w:r>
        <w:rPr>
          <w:sz w:val="20"/>
          <w:szCs w:val="20"/>
          <w:lang w:val="fr-FR"/>
        </w:rPr>
        <w:t>,</w:t>
      </w:r>
      <w:r w:rsidR="005F04FB">
        <w:rPr>
          <w:sz w:val="20"/>
          <w:szCs w:val="20"/>
          <w:lang w:val="fr-FR"/>
        </w:rPr>
        <w:t xml:space="preserve"> </w:t>
      </w:r>
      <w:r>
        <w:rPr>
          <w:lang w:val="fr-FR"/>
        </w:rPr>
        <w:t xml:space="preserve">et </w:t>
      </w:r>
      <w:r w:rsidRPr="005F04FB">
        <w:rPr>
          <w:b/>
          <w:bCs/>
          <w:i/>
          <w:iCs/>
          <w:lang w:val="fr-FR"/>
        </w:rPr>
        <w:t>al</w:t>
      </w:r>
      <w:r>
        <w:rPr>
          <w:i/>
          <w:iCs/>
          <w:lang w:val="fr-FR"/>
        </w:rPr>
        <w:t>.</w:t>
      </w:r>
      <w:proofErr w:type="gramStart"/>
      <w:r>
        <w:rPr>
          <w:i/>
          <w:iCs/>
          <w:lang w:val="fr-FR"/>
        </w:rPr>
        <w:t>,1970</w:t>
      </w:r>
      <w:proofErr w:type="gramEnd"/>
      <w:r>
        <w:rPr>
          <w:lang w:val="fr-FR"/>
        </w:rPr>
        <w:t xml:space="preserve">). </w:t>
      </w:r>
    </w:p>
    <w:p w:rsidR="001C0AB7" w:rsidRDefault="001C0AB7" w:rsidP="00417287">
      <w:pPr>
        <w:bidi w:val="0"/>
        <w:spacing w:line="360" w:lineRule="auto"/>
        <w:jc w:val="both"/>
        <w:rPr>
          <w:b/>
          <w:bCs/>
          <w:lang w:val="fr-FR" w:bidi="ar-DZ"/>
        </w:rPr>
      </w:pPr>
      <w:r>
        <w:rPr>
          <w:b/>
          <w:bCs/>
          <w:lang w:val="fr-FR" w:bidi="ar-DZ"/>
        </w:rPr>
        <w:t>Toxicité du plomb</w:t>
      </w:r>
    </w:p>
    <w:p w:rsidR="001C0AB7" w:rsidRDefault="001C0AB7" w:rsidP="00417287">
      <w:pPr>
        <w:autoSpaceDE w:val="0"/>
        <w:autoSpaceDN w:val="0"/>
        <w:bidi w:val="0"/>
        <w:adjustRightInd w:val="0"/>
        <w:spacing w:line="360" w:lineRule="auto"/>
        <w:ind w:firstLine="567"/>
        <w:jc w:val="both"/>
        <w:rPr>
          <w:b/>
          <w:bCs/>
          <w:lang w:val="fr-FR" w:bidi="ar-DZ"/>
        </w:rPr>
      </w:pPr>
      <w:r>
        <w:rPr>
          <w:lang w:val="fr-FR"/>
        </w:rPr>
        <w:t xml:space="preserve">L’intoxication par le plomb, également appelée saturnisme, survient lors d’exposition forte aiguë ou faible mais répétée avec accumulation de plomb dans l’organisme. </w:t>
      </w:r>
    </w:p>
    <w:p w:rsidR="001C0AB7" w:rsidRDefault="001C0AB7" w:rsidP="005F04FB">
      <w:pPr>
        <w:autoSpaceDE w:val="0"/>
        <w:autoSpaceDN w:val="0"/>
        <w:bidi w:val="0"/>
        <w:adjustRightInd w:val="0"/>
        <w:spacing w:line="360" w:lineRule="auto"/>
        <w:ind w:firstLine="567"/>
        <w:jc w:val="both"/>
        <w:rPr>
          <w:lang w:val="fr-FR"/>
        </w:rPr>
      </w:pPr>
      <w:r>
        <w:rPr>
          <w:lang w:val="fr-FR"/>
        </w:rPr>
        <w:t xml:space="preserve">La dose toxique d’acétate de plomb par voie orale est de 1-2 g pour une prise unique et de 5 mg/kg/j pendant 6 semaines pour une intoxication chronique. L’ingestion est la voie de contamination la plus commune, mais la résorption pulmonaire est élevée et l’inhalation correspond en partie à la voie orale car l’appareil </w:t>
      </w:r>
      <w:proofErr w:type="spellStart"/>
      <w:r>
        <w:rPr>
          <w:lang w:val="fr-FR"/>
        </w:rPr>
        <w:t>mucociliaire</w:t>
      </w:r>
      <w:proofErr w:type="spellEnd"/>
      <w:r>
        <w:rPr>
          <w:lang w:val="fr-FR"/>
        </w:rPr>
        <w:t xml:space="preserve"> fait remonter les particules qui sont ensuite dégluties. 1 à 2% de l’ingéré est absorbé, le reste est excrété dans les fèces tel quel ou sous forme de complexes insolubles (</w:t>
      </w:r>
      <w:proofErr w:type="spellStart"/>
      <w:r w:rsidRPr="001F375F">
        <w:rPr>
          <w:lang w:val="fr-FR"/>
        </w:rPr>
        <w:t>Burgat</w:t>
      </w:r>
      <w:proofErr w:type="spellEnd"/>
      <w:r w:rsidRPr="001F375F">
        <w:rPr>
          <w:lang w:val="fr-FR"/>
        </w:rPr>
        <w:t>,</w:t>
      </w:r>
      <w:r w:rsidR="005F04FB">
        <w:rPr>
          <w:lang w:val="fr-FR"/>
        </w:rPr>
        <w:t xml:space="preserve"> </w:t>
      </w:r>
      <w:r>
        <w:rPr>
          <w:lang w:val="fr-FR"/>
        </w:rPr>
        <w:t xml:space="preserve">et </w:t>
      </w:r>
      <w:r w:rsidRPr="005F04FB">
        <w:rPr>
          <w:b/>
          <w:bCs/>
          <w:i/>
          <w:iCs/>
          <w:lang w:val="fr-FR"/>
        </w:rPr>
        <w:t>al</w:t>
      </w:r>
      <w:r w:rsidRPr="001F375F">
        <w:rPr>
          <w:i/>
          <w:iCs/>
          <w:lang w:val="fr-FR"/>
        </w:rPr>
        <w:t>.</w:t>
      </w:r>
      <w:proofErr w:type="gramStart"/>
      <w:r>
        <w:rPr>
          <w:lang w:val="fr-FR"/>
        </w:rPr>
        <w:t>,1995</w:t>
      </w:r>
      <w:proofErr w:type="gramEnd"/>
      <w:r w:rsidRPr="001F375F">
        <w:rPr>
          <w:lang w:val="fr-FR"/>
        </w:rPr>
        <w:t>).</w:t>
      </w:r>
    </w:p>
    <w:p w:rsidR="001C0AB7" w:rsidRDefault="001C0AB7" w:rsidP="005F04FB">
      <w:pPr>
        <w:autoSpaceDE w:val="0"/>
        <w:autoSpaceDN w:val="0"/>
        <w:bidi w:val="0"/>
        <w:adjustRightInd w:val="0"/>
        <w:spacing w:line="360" w:lineRule="auto"/>
        <w:ind w:firstLine="567"/>
        <w:jc w:val="both"/>
        <w:rPr>
          <w:sz w:val="20"/>
          <w:szCs w:val="20"/>
          <w:lang w:val="fr-FR"/>
        </w:rPr>
      </w:pPr>
      <w:r>
        <w:rPr>
          <w:lang w:val="fr-FR"/>
        </w:rPr>
        <w:t xml:space="preserve">L’absorption est plus importante pour l’organisme jeune, surtout s’il manque de calcium. Elle dépend de la surface, c’est pourquoi les fines particules présentes dans l’huile de </w:t>
      </w:r>
      <w:r>
        <w:rPr>
          <w:lang w:val="fr-FR"/>
        </w:rPr>
        <w:lastRenderedPageBreak/>
        <w:t xml:space="preserve">moteur sont particulièrement dangereuses. Le plomb inorganique ne traverse pas la peau mais le </w:t>
      </w:r>
      <w:proofErr w:type="spellStart"/>
      <w:r>
        <w:rPr>
          <w:lang w:val="fr-FR"/>
        </w:rPr>
        <w:t>tétraéthyle</w:t>
      </w:r>
      <w:proofErr w:type="spellEnd"/>
      <w:r>
        <w:rPr>
          <w:lang w:val="fr-FR"/>
        </w:rPr>
        <w:t xml:space="preserve"> de plomb présent dans l’essence est absorbé. 90-95% du plomb circulant est lié aux globules rouges par les groupements thiols des protéines membranaires. Le plomb s’accumule dans le foie et les reins, puis les os. L’excrétion se fait très lentement via la bile et l’urine de façon minime, sauf lors de traitement chélateur. (</w:t>
      </w:r>
      <w:proofErr w:type="spellStart"/>
      <w:r w:rsidRPr="001F375F">
        <w:rPr>
          <w:lang w:val="fr-FR"/>
        </w:rPr>
        <w:t>Beasley</w:t>
      </w:r>
      <w:proofErr w:type="spellEnd"/>
      <w:r w:rsidRPr="001F375F">
        <w:rPr>
          <w:lang w:val="fr-FR"/>
        </w:rPr>
        <w:t>,</w:t>
      </w:r>
      <w:r w:rsidR="005F04FB">
        <w:rPr>
          <w:lang w:val="fr-FR"/>
        </w:rPr>
        <w:t xml:space="preserve"> </w:t>
      </w:r>
      <w:r w:rsidRPr="001F375F">
        <w:rPr>
          <w:lang w:val="fr-FR"/>
        </w:rPr>
        <w:t>1999).</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Le plomb affecte de multiples tissus et cellules: système nerveux central (démyélinisation, diminution de la vitesse de conduction nerveuse…), tube digestif, cellules sanguines… Il interfère avec les enzymes à groupement thiol et peut remplacer le zinc dans certaines (</w:t>
      </w:r>
      <w:proofErr w:type="spellStart"/>
      <w:r w:rsidR="005F04FB">
        <w:rPr>
          <w:lang w:val="fr-FR"/>
        </w:rPr>
        <w:t>Beasley</w:t>
      </w:r>
      <w:proofErr w:type="spellEnd"/>
      <w:r w:rsidRPr="001F375F">
        <w:rPr>
          <w:lang w:val="fr-FR"/>
        </w:rPr>
        <w:t>,</w:t>
      </w:r>
      <w:r w:rsidR="005F04FB">
        <w:rPr>
          <w:lang w:val="fr-FR"/>
        </w:rPr>
        <w:t xml:space="preserve"> </w:t>
      </w:r>
      <w:r w:rsidRPr="001F375F">
        <w:rPr>
          <w:lang w:val="fr-FR"/>
        </w:rPr>
        <w:t>1999).</w:t>
      </w:r>
    </w:p>
    <w:p w:rsidR="001C0AB7" w:rsidRDefault="001C0AB7" w:rsidP="005F04FB">
      <w:pPr>
        <w:autoSpaceDE w:val="0"/>
        <w:autoSpaceDN w:val="0"/>
        <w:bidi w:val="0"/>
        <w:adjustRightInd w:val="0"/>
        <w:spacing w:line="360" w:lineRule="auto"/>
        <w:ind w:firstLine="567"/>
        <w:jc w:val="both"/>
        <w:rPr>
          <w:sz w:val="20"/>
          <w:szCs w:val="20"/>
          <w:lang w:val="fr-FR"/>
        </w:rPr>
      </w:pPr>
      <w:r>
        <w:rPr>
          <w:lang w:val="fr-FR"/>
        </w:rPr>
        <w:t>Le plomb augmente la fragilité des globules rouges et provoque une dépression médullaire en interférant avec le fonctionnement de certaines enzymes</w:t>
      </w:r>
      <w:r w:rsidR="005F04FB">
        <w:rPr>
          <w:lang w:val="fr-FR"/>
        </w:rPr>
        <w:t>,</w:t>
      </w:r>
      <w:r>
        <w:rPr>
          <w:lang w:val="fr-FR"/>
        </w:rPr>
        <w:t xml:space="preserve"> Il interfère avec la fonction de l’acide </w:t>
      </w:r>
      <w:r>
        <w:rPr>
          <w:rFonts w:ascii="TimesNewRoman" w:hAnsi="TimesNewRoman" w:cs="TimesNewRoman"/>
          <w:lang w:val="fr-FR"/>
        </w:rPr>
        <w:t>δ</w:t>
      </w:r>
      <w:r>
        <w:rPr>
          <w:lang w:val="fr-FR"/>
        </w:rPr>
        <w:t>-</w:t>
      </w:r>
      <w:proofErr w:type="spellStart"/>
      <w:r>
        <w:rPr>
          <w:lang w:val="fr-FR"/>
        </w:rPr>
        <w:t>aminolévulinique</w:t>
      </w:r>
      <w:proofErr w:type="spellEnd"/>
      <w:r>
        <w:rPr>
          <w:lang w:val="fr-FR"/>
        </w:rPr>
        <w:t xml:space="preserve"> (ALA) </w:t>
      </w:r>
      <w:proofErr w:type="spellStart"/>
      <w:r>
        <w:rPr>
          <w:lang w:val="fr-FR"/>
        </w:rPr>
        <w:t>déshydratase</w:t>
      </w:r>
      <w:proofErr w:type="spellEnd"/>
      <w:r>
        <w:rPr>
          <w:lang w:val="fr-FR"/>
        </w:rPr>
        <w:t xml:space="preserve">, enzyme qui intervient dans la synthèse de l’hème, et augmente la </w:t>
      </w:r>
      <w:r>
        <w:rPr>
          <w:rFonts w:ascii="TimesNewRoman" w:hAnsi="TimesNewRoman" w:cs="TimesNewRoman"/>
          <w:lang w:val="fr-FR"/>
        </w:rPr>
        <w:t>δ</w:t>
      </w:r>
      <w:r>
        <w:rPr>
          <w:lang w:val="fr-FR"/>
        </w:rPr>
        <w:t>-ALA plasmatique et urinaire(</w:t>
      </w:r>
      <w:proofErr w:type="spellStart"/>
      <w:r w:rsidRPr="001F375F">
        <w:rPr>
          <w:lang w:val="fr-FR"/>
        </w:rPr>
        <w:t>Burgat</w:t>
      </w:r>
      <w:proofErr w:type="spellEnd"/>
      <w:r w:rsidRPr="001F375F">
        <w:rPr>
          <w:lang w:val="fr-FR"/>
        </w:rPr>
        <w:t>,</w:t>
      </w:r>
      <w:r w:rsidR="005F04FB">
        <w:rPr>
          <w:lang w:val="fr-FR"/>
        </w:rPr>
        <w:t xml:space="preserve"> et </w:t>
      </w:r>
      <w:r w:rsidRPr="005F04FB">
        <w:rPr>
          <w:b/>
          <w:bCs/>
          <w:i/>
          <w:iCs/>
          <w:lang w:val="fr-FR"/>
        </w:rPr>
        <w:t>al</w:t>
      </w:r>
      <w:r w:rsidRPr="001F375F">
        <w:rPr>
          <w:i/>
          <w:iCs/>
          <w:lang w:val="fr-FR"/>
        </w:rPr>
        <w:t>.</w:t>
      </w:r>
      <w:r>
        <w:rPr>
          <w:lang w:val="fr-FR"/>
        </w:rPr>
        <w:t>,1995</w:t>
      </w:r>
      <w:r w:rsidRPr="001F375F">
        <w:rPr>
          <w:lang w:val="fr-FR"/>
        </w:rPr>
        <w:t>).</w:t>
      </w:r>
      <w:r>
        <w:rPr>
          <w:lang w:val="fr-FR"/>
        </w:rPr>
        <w:t xml:space="preserve">Il interfère avec l’incorporation du fer dans l’hème par inhibition de l’hème synthétase et augmente la </w:t>
      </w:r>
      <w:proofErr w:type="spellStart"/>
      <w:r>
        <w:rPr>
          <w:lang w:val="fr-FR"/>
        </w:rPr>
        <w:t>protoporphyrine</w:t>
      </w:r>
      <w:proofErr w:type="spellEnd"/>
      <w:r>
        <w:rPr>
          <w:lang w:val="fr-FR"/>
        </w:rPr>
        <w:t xml:space="preserve"> fixée au zinc : l’échec d’incorporation du fer par l’hème synthétase laisse la </w:t>
      </w:r>
      <w:proofErr w:type="spellStart"/>
      <w:r>
        <w:rPr>
          <w:lang w:val="fr-FR"/>
        </w:rPr>
        <w:t>protoporphyrine</w:t>
      </w:r>
      <w:proofErr w:type="spellEnd"/>
      <w:r>
        <w:rPr>
          <w:lang w:val="fr-FR"/>
        </w:rPr>
        <w:t xml:space="preserve"> libre de </w:t>
      </w:r>
      <w:proofErr w:type="spellStart"/>
      <w:r>
        <w:rPr>
          <w:lang w:val="fr-FR"/>
        </w:rPr>
        <w:t>chélater</w:t>
      </w:r>
      <w:proofErr w:type="spellEnd"/>
      <w:r>
        <w:rPr>
          <w:lang w:val="fr-FR"/>
        </w:rPr>
        <w:t xml:space="preserve"> le zinc endogène. </w:t>
      </w:r>
      <w:r>
        <w:rPr>
          <w:sz w:val="20"/>
          <w:szCs w:val="20"/>
          <w:lang w:val="fr-FR"/>
        </w:rPr>
        <w:t xml:space="preserve"> </w:t>
      </w:r>
      <w:r>
        <w:rPr>
          <w:lang w:val="fr-FR"/>
        </w:rPr>
        <w:t xml:space="preserve">Cet effet métabolique chronique affecte les nouveaux globules rouges produits, </w:t>
      </w:r>
      <w:proofErr w:type="spellStart"/>
      <w:r>
        <w:rPr>
          <w:lang w:val="fr-FR"/>
        </w:rPr>
        <w:t>protoporphyrinémie</w:t>
      </w:r>
      <w:proofErr w:type="spellEnd"/>
      <w:r>
        <w:rPr>
          <w:lang w:val="fr-FR"/>
        </w:rPr>
        <w:t xml:space="preserve"> et </w:t>
      </w:r>
      <w:proofErr w:type="spellStart"/>
      <w:r>
        <w:rPr>
          <w:lang w:val="fr-FR"/>
        </w:rPr>
        <w:t>zincémie</w:t>
      </w:r>
      <w:proofErr w:type="spellEnd"/>
      <w:r>
        <w:rPr>
          <w:lang w:val="fr-FR"/>
        </w:rPr>
        <w:t xml:space="preserve"> sont donc normales les deux premières semaines. L’inhibition de la pyrimidine-5’-</w:t>
      </w:r>
      <w:proofErr w:type="spellStart"/>
      <w:r>
        <w:rPr>
          <w:lang w:val="fr-FR"/>
        </w:rPr>
        <w:t>nucléotidase</w:t>
      </w:r>
      <w:proofErr w:type="spellEnd"/>
      <w:r>
        <w:rPr>
          <w:lang w:val="fr-FR"/>
        </w:rPr>
        <w:t xml:space="preserve">, qui catalyse la déphosphorylation des nucléotides à pyrimidine, est responsable des ponctuations basophiles et de l’augmentation de fragilité osmotique des globules rouges lors d’exposition chronique ou </w:t>
      </w:r>
      <w:proofErr w:type="spellStart"/>
      <w:r>
        <w:rPr>
          <w:lang w:val="fr-FR"/>
        </w:rPr>
        <w:t>subchronique</w:t>
      </w:r>
      <w:proofErr w:type="spellEnd"/>
      <w:r>
        <w:rPr>
          <w:lang w:val="fr-FR"/>
        </w:rPr>
        <w:t xml:space="preserve"> (</w:t>
      </w:r>
      <w:proofErr w:type="spellStart"/>
      <w:r w:rsidRPr="001F375F">
        <w:rPr>
          <w:lang w:val="fr-FR"/>
        </w:rPr>
        <w:t>Beasley</w:t>
      </w:r>
      <w:proofErr w:type="spellEnd"/>
      <w:r w:rsidRPr="001F375F">
        <w:rPr>
          <w:lang w:val="fr-FR"/>
        </w:rPr>
        <w:t>,</w:t>
      </w:r>
      <w:r w:rsidR="005F04FB">
        <w:rPr>
          <w:lang w:val="fr-FR"/>
        </w:rPr>
        <w:t xml:space="preserve"> </w:t>
      </w:r>
      <w:r w:rsidRPr="001F375F">
        <w:rPr>
          <w:lang w:val="fr-FR"/>
        </w:rPr>
        <w:t>1999).</w:t>
      </w:r>
      <w:r>
        <w:rPr>
          <w:sz w:val="20"/>
          <w:szCs w:val="20"/>
          <w:lang w:val="fr-FR"/>
        </w:rPr>
        <w:t xml:space="preserve"> </w:t>
      </w:r>
    </w:p>
    <w:p w:rsidR="001C0AB7" w:rsidRDefault="001C0AB7" w:rsidP="00417287">
      <w:pPr>
        <w:autoSpaceDE w:val="0"/>
        <w:autoSpaceDN w:val="0"/>
        <w:bidi w:val="0"/>
        <w:adjustRightInd w:val="0"/>
        <w:spacing w:line="360" w:lineRule="auto"/>
        <w:ind w:firstLine="567"/>
        <w:jc w:val="both"/>
        <w:rPr>
          <w:sz w:val="20"/>
          <w:szCs w:val="20"/>
          <w:lang w:val="fr-FR"/>
        </w:rPr>
      </w:pPr>
    </w:p>
    <w:p w:rsidR="001C0AB7" w:rsidRPr="005A11F3" w:rsidRDefault="001C0AB7" w:rsidP="005F04FB">
      <w:pPr>
        <w:autoSpaceDE w:val="0"/>
        <w:autoSpaceDN w:val="0"/>
        <w:bidi w:val="0"/>
        <w:adjustRightInd w:val="0"/>
        <w:spacing w:line="360" w:lineRule="auto"/>
        <w:jc w:val="both"/>
        <w:rPr>
          <w:b/>
          <w:bCs/>
          <w:lang w:val="fr-FR" w:bidi="ar-DZ"/>
        </w:rPr>
      </w:pPr>
      <w:r w:rsidRPr="005A11F3">
        <w:rPr>
          <w:lang w:val="fr-FR"/>
        </w:rPr>
        <w:t>Remarque : D’autres composés, zinc, cuivre, mercure ainsi que l’alcool et le</w:t>
      </w:r>
      <w:r>
        <w:rPr>
          <w:lang w:val="fr-FR"/>
        </w:rPr>
        <w:t xml:space="preserve"> </w:t>
      </w:r>
      <w:r w:rsidRPr="005A11F3">
        <w:rPr>
          <w:lang w:val="fr-FR"/>
        </w:rPr>
        <w:t xml:space="preserve">propylène glycol, diminuent aussi l’activité de la </w:t>
      </w:r>
      <w:r w:rsidRPr="005A11F3">
        <w:rPr>
          <w:rFonts w:ascii="TimesNewRoman" w:hAnsi="TimesNewRoman" w:cs="TimesNewRoman"/>
          <w:lang w:val="fr-FR"/>
        </w:rPr>
        <w:t>δ</w:t>
      </w:r>
      <w:r w:rsidRPr="005A11F3">
        <w:rPr>
          <w:lang w:val="fr-FR"/>
        </w:rPr>
        <w:t xml:space="preserve">-ALA </w:t>
      </w:r>
      <w:proofErr w:type="spellStart"/>
      <w:r w:rsidRPr="005A11F3">
        <w:rPr>
          <w:lang w:val="fr-FR"/>
        </w:rPr>
        <w:t>déshydratase</w:t>
      </w:r>
      <w:proofErr w:type="spellEnd"/>
      <w:r w:rsidRPr="005A11F3">
        <w:rPr>
          <w:lang w:val="fr-FR"/>
        </w:rPr>
        <w:t xml:space="preserve"> dans le sang circulant</w:t>
      </w:r>
      <w:r>
        <w:rPr>
          <w:lang w:val="fr-FR"/>
        </w:rPr>
        <w:t xml:space="preserve"> </w:t>
      </w:r>
      <w:r w:rsidRPr="005A11F3">
        <w:rPr>
          <w:lang w:val="fr-FR"/>
        </w:rPr>
        <w:t>mais dans une moindre mesure</w:t>
      </w:r>
      <w:r>
        <w:rPr>
          <w:lang w:val="fr-FR"/>
        </w:rPr>
        <w:t xml:space="preserve"> (</w:t>
      </w:r>
      <w:proofErr w:type="spellStart"/>
      <w:r w:rsidRPr="001F375F">
        <w:rPr>
          <w:lang w:val="fr-FR"/>
        </w:rPr>
        <w:t>Beasley</w:t>
      </w:r>
      <w:proofErr w:type="spellEnd"/>
      <w:r w:rsidRPr="001F375F">
        <w:rPr>
          <w:lang w:val="fr-FR"/>
        </w:rPr>
        <w:t>,</w:t>
      </w:r>
      <w:r w:rsidR="005F04FB">
        <w:rPr>
          <w:lang w:val="fr-FR"/>
        </w:rPr>
        <w:t xml:space="preserve"> </w:t>
      </w:r>
      <w:r w:rsidRPr="001F375F">
        <w:rPr>
          <w:lang w:val="fr-FR"/>
        </w:rPr>
        <w:t>1999).</w:t>
      </w:r>
    </w:p>
    <w:p w:rsidR="001C0AB7" w:rsidRDefault="001C0AB7" w:rsidP="00417287">
      <w:pPr>
        <w:bidi w:val="0"/>
        <w:spacing w:line="360" w:lineRule="auto"/>
        <w:jc w:val="both"/>
        <w:rPr>
          <w:b/>
          <w:bCs/>
          <w:lang w:val="fr-FR" w:bidi="ar-DZ"/>
        </w:rPr>
      </w:pPr>
    </w:p>
    <w:p w:rsidR="001C0AB7" w:rsidRPr="005F04FB" w:rsidRDefault="005F04FB" w:rsidP="005F04FB">
      <w:pPr>
        <w:bidi w:val="0"/>
        <w:jc w:val="both"/>
        <w:rPr>
          <w:b/>
          <w:bCs/>
          <w:lang w:val="fr-FR" w:bidi="ar-DZ"/>
        </w:rPr>
      </w:pPr>
      <w:proofErr w:type="gramStart"/>
      <w:r w:rsidRPr="005F04FB">
        <w:rPr>
          <w:b/>
          <w:bCs/>
          <w:lang w:val="fr-FR" w:bidi="ar-DZ"/>
        </w:rPr>
        <w:t>toxicité</w:t>
      </w:r>
      <w:proofErr w:type="gramEnd"/>
      <w:r w:rsidRPr="005F04FB">
        <w:rPr>
          <w:b/>
          <w:bCs/>
          <w:lang w:val="fr-FR" w:bidi="ar-DZ"/>
        </w:rPr>
        <w:t xml:space="preserve"> du monoxyde de carbone</w:t>
      </w:r>
    </w:p>
    <w:p w:rsidR="001C0AB7" w:rsidRDefault="001C0AB7" w:rsidP="005F04FB">
      <w:pPr>
        <w:pStyle w:val="NormalWeb"/>
        <w:spacing w:line="360" w:lineRule="auto"/>
        <w:ind w:firstLine="567"/>
        <w:jc w:val="both"/>
      </w:pPr>
      <w:r w:rsidRPr="005F04FB">
        <w:t xml:space="preserve">Le monoxyde de carbone </w:t>
      </w:r>
      <w:hyperlink r:id="rId8" w:tooltip="CO" w:history="1">
        <w:r w:rsidRPr="005F04FB">
          <w:rPr>
            <w:rStyle w:val="Lienhypertexte"/>
            <w:color w:val="auto"/>
            <w:u w:val="none"/>
          </w:rPr>
          <w:t>CO</w:t>
        </w:r>
      </w:hyperlink>
      <w:r w:rsidRPr="005F04FB">
        <w:t xml:space="preserve"> est un des </w:t>
      </w:r>
      <w:hyperlink r:id="rId9" w:tooltip="Oxyde" w:history="1">
        <w:r w:rsidRPr="005F04FB">
          <w:rPr>
            <w:rStyle w:val="Lienhypertexte"/>
            <w:color w:val="auto"/>
            <w:u w:val="none"/>
          </w:rPr>
          <w:t>oxydes</w:t>
        </w:r>
      </w:hyperlink>
      <w:r w:rsidRPr="005F04FB">
        <w:t xml:space="preserve"> du carbone. Ce corps composé est à l'état </w:t>
      </w:r>
      <w:hyperlink r:id="rId10" w:tooltip="Gaz" w:history="1">
        <w:r w:rsidRPr="005F04FB">
          <w:rPr>
            <w:rStyle w:val="Lienhypertexte"/>
            <w:color w:val="auto"/>
            <w:u w:val="none"/>
          </w:rPr>
          <w:t>gazeux</w:t>
        </w:r>
      </w:hyperlink>
      <w:r w:rsidRPr="005F04FB">
        <w:t xml:space="preserve"> dans les </w:t>
      </w:r>
      <w:hyperlink r:id="rId11" w:tooltip="Conditions normales de pression et de température" w:history="1">
        <w:r w:rsidRPr="005F04FB">
          <w:rPr>
            <w:rStyle w:val="Lienhypertexte"/>
            <w:color w:val="auto"/>
            <w:u w:val="none"/>
          </w:rPr>
          <w:t>conditions normales de pression et de température</w:t>
        </w:r>
      </w:hyperlink>
      <w:r w:rsidRPr="005F04FB">
        <w:t>. Le monoxyde de carbone a été et reste un gaz industriel</w:t>
      </w:r>
      <w:r w:rsidR="00417287" w:rsidRPr="005F04FB">
        <w:t xml:space="preserve"> Rappelons que le monoxyde de carbone CO participe à la combustion : les fours à</w:t>
      </w:r>
      <w:r w:rsidRPr="005F04FB">
        <w:t>. gazogène à la fin du dix-neuvième siècle, du type générateurs Siemens, le brûlent essentiellement. Il reste un grand combustible, un agent</w:t>
      </w:r>
      <w:r w:rsidRPr="000F1DF9">
        <w:t xml:space="preserve"> réducteur ou d’additions industrielles.</w:t>
      </w:r>
      <w:r w:rsidRPr="00AF3747">
        <w:t xml:space="preserve"> </w:t>
      </w:r>
      <w:r w:rsidRPr="000F1DF9">
        <w:t xml:space="preserve">Son émanation provient d'une combustion incomplète et est </w:t>
      </w:r>
      <w:r w:rsidRPr="000F1DF9">
        <w:lastRenderedPageBreak/>
        <w:t>accentuée par une mauvaise alimentation en air frais et/ou une mauvaise évacuation des produits de combustion (ventilation)</w:t>
      </w:r>
      <w:r>
        <w:t xml:space="preserve"> (</w:t>
      </w:r>
      <w:proofErr w:type="spellStart"/>
      <w:r>
        <w:t>Lide</w:t>
      </w:r>
      <w:proofErr w:type="spellEnd"/>
      <w:r>
        <w:t>, 2008).</w:t>
      </w:r>
    </w:p>
    <w:p w:rsidR="001C0AB7" w:rsidRDefault="001C0AB7" w:rsidP="00417287">
      <w:pPr>
        <w:pStyle w:val="NormalWeb"/>
        <w:spacing w:line="360" w:lineRule="auto"/>
        <w:ind w:firstLine="567"/>
        <w:jc w:val="both"/>
      </w:pPr>
      <w:r w:rsidRPr="000F1DF9">
        <w:t xml:space="preserve">Le monoxyde de carbone est incolore, inodore et très toxique pour les </w:t>
      </w:r>
      <w:hyperlink r:id="rId12" w:tooltip="Mammifère" w:history="1">
        <w:r w:rsidRPr="000F1DF9">
          <w:rPr>
            <w:rStyle w:val="Lienhypertexte"/>
            <w:color w:val="auto"/>
            <w:u w:val="none"/>
          </w:rPr>
          <w:t>mammifères</w:t>
        </w:r>
      </w:hyperlink>
      <w:r w:rsidRPr="000F1DF9">
        <w:t>. Il est la cause d’</w:t>
      </w:r>
      <w:hyperlink r:id="rId13" w:tooltip="Intoxication" w:history="1">
        <w:r w:rsidRPr="000F1DF9">
          <w:rPr>
            <w:rStyle w:val="Lienhypertexte"/>
            <w:color w:val="auto"/>
            <w:u w:val="none"/>
          </w:rPr>
          <w:t>intoxications</w:t>
        </w:r>
      </w:hyperlink>
      <w:r w:rsidRPr="000F1DF9">
        <w:t xml:space="preserve"> domestiques extrêmement fréquentes, parfois mortelles en cas d'absence de détection ou de survenue brutale dans l'air respirable de l'</w:t>
      </w:r>
      <w:hyperlink r:id="rId14" w:tooltip="Homme" w:history="1">
        <w:r w:rsidRPr="000F1DF9">
          <w:rPr>
            <w:rStyle w:val="Lienhypertexte"/>
            <w:color w:val="auto"/>
            <w:u w:val="none"/>
          </w:rPr>
          <w:t>homme</w:t>
        </w:r>
      </w:hyperlink>
      <w:r w:rsidRPr="000F1DF9">
        <w:t>.</w:t>
      </w:r>
      <w:r w:rsidR="00417287">
        <w:t xml:space="preserve"> </w:t>
      </w:r>
    </w:p>
    <w:p w:rsidR="001C0AB7" w:rsidRPr="007C2184" w:rsidRDefault="001C0AB7" w:rsidP="00417287">
      <w:pPr>
        <w:pStyle w:val="NormalWeb"/>
        <w:spacing w:line="360" w:lineRule="auto"/>
        <w:jc w:val="both"/>
        <w:rPr>
          <w:lang w:bidi="ar-DZ"/>
        </w:rPr>
      </w:pPr>
      <w:r>
        <w:rPr>
          <w:lang w:bidi="ar-DZ"/>
        </w:rPr>
        <w:t xml:space="preserve">          Cet</w:t>
      </w:r>
      <w:r w:rsidRPr="007C2184">
        <w:rPr>
          <w:lang w:bidi="ar-DZ"/>
        </w:rPr>
        <w:t xml:space="preserve"> agent toxique</w:t>
      </w:r>
      <w:r>
        <w:rPr>
          <w:lang w:bidi="ar-DZ"/>
        </w:rPr>
        <w:t xml:space="preserve"> pe</w:t>
      </w:r>
      <w:r w:rsidRPr="007C2184">
        <w:rPr>
          <w:lang w:bidi="ar-DZ"/>
        </w:rPr>
        <w:t>u</w:t>
      </w:r>
      <w:r>
        <w:rPr>
          <w:lang w:bidi="ar-DZ"/>
        </w:rPr>
        <w:t xml:space="preserve">t </w:t>
      </w:r>
      <w:r w:rsidRPr="007C2184">
        <w:rPr>
          <w:lang w:bidi="ar-DZ"/>
        </w:rPr>
        <w:t>inter</w:t>
      </w:r>
      <w:r>
        <w:rPr>
          <w:lang w:bidi="ar-DZ"/>
        </w:rPr>
        <w:t xml:space="preserve">férer </w:t>
      </w:r>
      <w:r w:rsidRPr="007C2184">
        <w:rPr>
          <w:lang w:bidi="ar-DZ"/>
        </w:rPr>
        <w:t>avec  le transport de l'oxygène dans le sang</w:t>
      </w:r>
      <w:r>
        <w:rPr>
          <w:lang w:bidi="ar-DZ"/>
        </w:rPr>
        <w:t xml:space="preserve"> car il </w:t>
      </w:r>
      <w:r w:rsidRPr="007C2184">
        <w:rPr>
          <w:lang w:bidi="ar-DZ"/>
        </w:rPr>
        <w:t xml:space="preserve"> </w:t>
      </w:r>
      <w:r>
        <w:rPr>
          <w:lang w:bidi="ar-DZ"/>
        </w:rPr>
        <w:t xml:space="preserve"> </w:t>
      </w:r>
      <w:r w:rsidRPr="007C2184">
        <w:rPr>
          <w:lang w:bidi="ar-DZ"/>
        </w:rPr>
        <w:t xml:space="preserve">pénètre dans les globules rouges et se fixe sur l'hémoglobine à la place de l'oxygène </w:t>
      </w:r>
      <w:r w:rsidRPr="006070F5">
        <w:rPr>
          <w:lang w:bidi="ar-DZ"/>
        </w:rPr>
        <w:t xml:space="preserve">(El </w:t>
      </w:r>
      <w:proofErr w:type="spellStart"/>
      <w:r w:rsidRPr="006070F5">
        <w:rPr>
          <w:lang w:bidi="ar-DZ"/>
        </w:rPr>
        <w:t>yamani</w:t>
      </w:r>
      <w:proofErr w:type="spellEnd"/>
      <w:r w:rsidRPr="006070F5">
        <w:rPr>
          <w:lang w:bidi="ar-DZ"/>
        </w:rPr>
        <w:t>, 2006).</w:t>
      </w:r>
      <w:r w:rsidRPr="007C2184">
        <w:rPr>
          <w:lang w:bidi="ar-DZ"/>
        </w:rPr>
        <w:t xml:space="preserve"> </w:t>
      </w:r>
    </w:p>
    <w:p w:rsidR="001C0AB7" w:rsidRDefault="001C0AB7" w:rsidP="00417287">
      <w:pPr>
        <w:pStyle w:val="NormalWeb"/>
        <w:spacing w:line="360" w:lineRule="auto"/>
        <w:ind w:firstLine="567"/>
        <w:jc w:val="both"/>
      </w:pPr>
      <w:r>
        <w:t>Les signes cliniques les plus fréquents sont des céphalées (environ 80 % des cas), des vertiges (75 % des cas), nausées (51 % des cas). Le malaise est aussi fréquent. L’asthénie, l’impotence musculaire surtout des membres inférieurs sont aussi classiques.</w:t>
      </w:r>
      <w:r>
        <w:br/>
        <w:t>Une exposition plus importante provoque des signes neurologiques et sensoriels : excitation, agitation, ataxie, confusion, et plus graves, perte de conscience (16 % des cas) et coma (3 à 13 % des cas) (Perry et Green, 1997).</w:t>
      </w:r>
    </w:p>
    <w:p w:rsidR="001C0AB7" w:rsidRPr="00116119" w:rsidRDefault="001C0AB7" w:rsidP="00417287">
      <w:pPr>
        <w:bidi w:val="0"/>
        <w:spacing w:line="360" w:lineRule="auto"/>
        <w:jc w:val="both"/>
        <w:rPr>
          <w:rFonts w:ascii="Arial" w:hAnsi="Arial" w:cs="Arial"/>
          <w:b/>
          <w:bCs/>
          <w:lang w:val="fr-FR" w:bidi="ar-DZ"/>
        </w:rPr>
      </w:pPr>
      <w:r w:rsidRPr="00116119">
        <w:rPr>
          <w:rFonts w:ascii="Arial" w:hAnsi="Arial" w:cs="Arial"/>
          <w:b/>
          <w:bCs/>
          <w:lang w:val="fr-FR" w:bidi="ar-DZ"/>
        </w:rPr>
        <w:t>b- Action sur les éléments figurés</w:t>
      </w:r>
      <w:r>
        <w:rPr>
          <w:rFonts w:ascii="Arial" w:hAnsi="Arial" w:cs="Arial"/>
          <w:b/>
          <w:bCs/>
          <w:lang w:val="fr-FR" w:bidi="ar-DZ"/>
        </w:rPr>
        <w:t xml:space="preserve"> du sang</w:t>
      </w:r>
      <w:r w:rsidRPr="00116119">
        <w:rPr>
          <w:rFonts w:ascii="Arial" w:hAnsi="Arial" w:cs="Arial"/>
          <w:b/>
          <w:bCs/>
          <w:lang w:val="fr-FR" w:bidi="ar-DZ"/>
        </w:rPr>
        <w:t xml:space="preserve"> </w:t>
      </w:r>
    </w:p>
    <w:p w:rsidR="001C0AB7" w:rsidRPr="007C2184" w:rsidRDefault="001C0AB7" w:rsidP="00417287">
      <w:pPr>
        <w:bidi w:val="0"/>
        <w:spacing w:line="360" w:lineRule="auto"/>
        <w:jc w:val="both"/>
        <w:rPr>
          <w:lang w:val="fr-FR" w:bidi="ar-DZ"/>
        </w:rPr>
      </w:pPr>
      <w:r>
        <w:rPr>
          <w:lang w:val="fr-FR" w:bidi="ar-DZ"/>
        </w:rPr>
        <w:t xml:space="preserve">           </w:t>
      </w:r>
      <w:r w:rsidRPr="007C2184">
        <w:rPr>
          <w:lang w:val="fr-FR" w:bidi="ar-DZ"/>
        </w:rPr>
        <w:t>Certains toxiques peuvent toucher les éléments figurés du sang par des mécanismes différents</w:t>
      </w:r>
      <w:r>
        <w:rPr>
          <w:lang w:val="fr-FR" w:bidi="ar-DZ"/>
        </w:rPr>
        <w:t xml:space="preserve"> : toxicité directe, </w:t>
      </w:r>
      <w:proofErr w:type="spellStart"/>
      <w:r>
        <w:rPr>
          <w:lang w:val="fr-FR" w:bidi="ar-DZ"/>
        </w:rPr>
        <w:t>immunoallergie</w:t>
      </w:r>
      <w:proofErr w:type="spellEnd"/>
      <w:r>
        <w:rPr>
          <w:lang w:val="fr-FR" w:bidi="ar-DZ"/>
        </w:rPr>
        <w:t xml:space="preserve"> et </w:t>
      </w:r>
      <w:proofErr w:type="spellStart"/>
      <w:r>
        <w:rPr>
          <w:lang w:val="fr-FR" w:bidi="ar-DZ"/>
        </w:rPr>
        <w:t>autoimmunité</w:t>
      </w:r>
      <w:proofErr w:type="spellEnd"/>
      <w:r>
        <w:rPr>
          <w:lang w:val="fr-FR" w:bidi="ar-DZ"/>
        </w:rPr>
        <w:t xml:space="preserve">. </w:t>
      </w:r>
      <w:r w:rsidRPr="007C2184">
        <w:rPr>
          <w:b/>
          <w:bCs/>
          <w:lang w:val="fr-FR" w:bidi="ar-DZ"/>
        </w:rPr>
        <w:t xml:space="preserve"> </w:t>
      </w:r>
    </w:p>
    <w:p w:rsidR="001C0AB7" w:rsidRDefault="001C0AB7" w:rsidP="00417287">
      <w:pPr>
        <w:bidi w:val="0"/>
        <w:spacing w:line="360" w:lineRule="auto"/>
        <w:jc w:val="both"/>
        <w:rPr>
          <w:b/>
          <w:bCs/>
          <w:lang w:val="fr-FR" w:bidi="ar-DZ"/>
        </w:rPr>
      </w:pPr>
      <w:r>
        <w:rPr>
          <w:b/>
          <w:bCs/>
          <w:lang w:val="fr-FR" w:bidi="ar-DZ"/>
        </w:rPr>
        <w:t>Toxicité directe sur les GR</w:t>
      </w:r>
    </w:p>
    <w:p w:rsidR="001C0AB7" w:rsidRPr="00BC7952" w:rsidRDefault="001C0AB7" w:rsidP="00417287">
      <w:pPr>
        <w:autoSpaceDE w:val="0"/>
        <w:autoSpaceDN w:val="0"/>
        <w:bidi w:val="0"/>
        <w:adjustRightInd w:val="0"/>
        <w:spacing w:line="360" w:lineRule="auto"/>
        <w:rPr>
          <w:b/>
          <w:bCs/>
          <w:lang w:val="fr-FR"/>
        </w:rPr>
      </w:pPr>
      <w:r w:rsidRPr="00BC7952">
        <w:rPr>
          <w:b/>
          <w:bCs/>
          <w:lang w:val="fr-FR"/>
        </w:rPr>
        <w:t>Les envenimations ophidiennes par morsure de vipère</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 xml:space="preserve">La vipère européenne, Ophidien de la famille des </w:t>
      </w:r>
      <w:proofErr w:type="spellStart"/>
      <w:r>
        <w:rPr>
          <w:i/>
          <w:iCs/>
          <w:lang w:val="fr-FR"/>
        </w:rPr>
        <w:t>Viperidae</w:t>
      </w:r>
      <w:proofErr w:type="spellEnd"/>
      <w:r>
        <w:rPr>
          <w:lang w:val="fr-FR"/>
        </w:rPr>
        <w:t xml:space="preserve">, est un serpent venimeux de 50 à 80 cm de long à maturité. En France, on rencontre quatre espèces de vipères. La vipère aspic </w:t>
      </w:r>
      <w:r>
        <w:rPr>
          <w:i/>
          <w:iCs/>
          <w:lang w:val="fr-FR"/>
        </w:rPr>
        <w:t>(</w:t>
      </w:r>
      <w:proofErr w:type="spellStart"/>
      <w:r>
        <w:rPr>
          <w:i/>
          <w:iCs/>
          <w:lang w:val="fr-FR"/>
        </w:rPr>
        <w:t>Vipera</w:t>
      </w:r>
      <w:proofErr w:type="spellEnd"/>
      <w:r>
        <w:rPr>
          <w:i/>
          <w:iCs/>
          <w:lang w:val="fr-FR"/>
        </w:rPr>
        <w:t xml:space="preserve"> aspis) </w:t>
      </w:r>
      <w:r>
        <w:rPr>
          <w:lang w:val="fr-FR"/>
        </w:rPr>
        <w:t xml:space="preserve">est présente au sud d’une ligne brisée qui relie Nantes à Metz en passant par Paris, à l’exception du littoral méditerranéen et surtout dans les zones montagneuses. La vipère péliade </w:t>
      </w:r>
      <w:r>
        <w:rPr>
          <w:i/>
          <w:iCs/>
          <w:lang w:val="fr-FR"/>
        </w:rPr>
        <w:t>(</w:t>
      </w:r>
      <w:proofErr w:type="spellStart"/>
      <w:r>
        <w:rPr>
          <w:i/>
          <w:iCs/>
          <w:lang w:val="fr-FR"/>
        </w:rPr>
        <w:t>Vipera</w:t>
      </w:r>
      <w:proofErr w:type="spellEnd"/>
      <w:r>
        <w:rPr>
          <w:i/>
          <w:iCs/>
          <w:lang w:val="fr-FR"/>
        </w:rPr>
        <w:t xml:space="preserve"> </w:t>
      </w:r>
      <w:proofErr w:type="spellStart"/>
      <w:r>
        <w:rPr>
          <w:i/>
          <w:iCs/>
          <w:lang w:val="fr-FR"/>
        </w:rPr>
        <w:t>berus</w:t>
      </w:r>
      <w:proofErr w:type="spellEnd"/>
      <w:r>
        <w:rPr>
          <w:i/>
          <w:iCs/>
          <w:lang w:val="fr-FR"/>
        </w:rPr>
        <w:t xml:space="preserve">) </w:t>
      </w:r>
      <w:r>
        <w:rPr>
          <w:lang w:val="fr-FR"/>
        </w:rPr>
        <w:t>vit dans les milieux froids et humides, dans la moitié nord et le Massif Central ; son venin est plus toxique que celui de la vipère aspic. La vipère d’Orsini (</w:t>
      </w:r>
      <w:proofErr w:type="spellStart"/>
      <w:r>
        <w:rPr>
          <w:i/>
          <w:iCs/>
          <w:lang w:val="fr-FR"/>
        </w:rPr>
        <w:t>Vipera</w:t>
      </w:r>
      <w:proofErr w:type="spellEnd"/>
      <w:r>
        <w:rPr>
          <w:i/>
          <w:iCs/>
          <w:lang w:val="fr-FR"/>
        </w:rPr>
        <w:t xml:space="preserve"> </w:t>
      </w:r>
      <w:proofErr w:type="spellStart"/>
      <w:r>
        <w:rPr>
          <w:i/>
          <w:iCs/>
          <w:lang w:val="fr-FR"/>
        </w:rPr>
        <w:t>ursinii</w:t>
      </w:r>
      <w:proofErr w:type="spellEnd"/>
      <w:r>
        <w:rPr>
          <w:i/>
          <w:iCs/>
          <w:lang w:val="fr-FR"/>
        </w:rPr>
        <w:t xml:space="preserve">) </w:t>
      </w:r>
      <w:r>
        <w:rPr>
          <w:lang w:val="fr-FR"/>
        </w:rPr>
        <w:t xml:space="preserve">est présente dans les pelouses entre 900 et 2200 mètres d’altitude entre le Mont Ventoux et les Alpes Maritimes. La vipère de </w:t>
      </w:r>
      <w:proofErr w:type="spellStart"/>
      <w:r>
        <w:rPr>
          <w:lang w:val="fr-FR"/>
        </w:rPr>
        <w:t>Séoane</w:t>
      </w:r>
      <w:proofErr w:type="spellEnd"/>
      <w:r>
        <w:rPr>
          <w:lang w:val="fr-FR"/>
        </w:rPr>
        <w:t xml:space="preserve"> </w:t>
      </w:r>
      <w:r>
        <w:rPr>
          <w:i/>
          <w:iCs/>
          <w:lang w:val="fr-FR"/>
        </w:rPr>
        <w:t>(</w:t>
      </w:r>
      <w:proofErr w:type="spellStart"/>
      <w:r>
        <w:rPr>
          <w:i/>
          <w:iCs/>
          <w:lang w:val="fr-FR"/>
        </w:rPr>
        <w:t>Vipera</w:t>
      </w:r>
      <w:proofErr w:type="spellEnd"/>
      <w:r>
        <w:rPr>
          <w:i/>
          <w:iCs/>
          <w:lang w:val="fr-FR"/>
        </w:rPr>
        <w:t xml:space="preserve"> </w:t>
      </w:r>
      <w:proofErr w:type="spellStart"/>
      <w:r>
        <w:rPr>
          <w:i/>
          <w:iCs/>
          <w:lang w:val="fr-FR"/>
        </w:rPr>
        <w:t>seoanei</w:t>
      </w:r>
      <w:proofErr w:type="spellEnd"/>
      <w:r>
        <w:rPr>
          <w:i/>
          <w:iCs/>
          <w:lang w:val="fr-FR"/>
        </w:rPr>
        <w:t xml:space="preserve">) </w:t>
      </w:r>
      <w:r>
        <w:rPr>
          <w:lang w:val="fr-FR"/>
        </w:rPr>
        <w:t xml:space="preserve">vit au pays </w:t>
      </w:r>
      <w:proofErr w:type="gramStart"/>
      <w:r>
        <w:rPr>
          <w:lang w:val="fr-FR"/>
        </w:rPr>
        <w:t>Basque(</w:t>
      </w:r>
      <w:proofErr w:type="gramEnd"/>
      <w:r w:rsidR="005F04FB">
        <w:rPr>
          <w:lang w:val="fr-FR"/>
        </w:rPr>
        <w:t xml:space="preserve"> Pineau</w:t>
      </w:r>
      <w:r w:rsidRPr="001F375F">
        <w:rPr>
          <w:lang w:val="fr-FR"/>
        </w:rPr>
        <w:t>,</w:t>
      </w:r>
      <w:r w:rsidR="005F04FB">
        <w:rPr>
          <w:lang w:val="fr-FR"/>
        </w:rPr>
        <w:t xml:space="preserve"> </w:t>
      </w:r>
      <w:r w:rsidRPr="001F375F">
        <w:rPr>
          <w:lang w:val="fr-FR"/>
        </w:rPr>
        <w:t>1995</w:t>
      </w:r>
      <w:r>
        <w:rPr>
          <w:lang w:val="fr-FR"/>
        </w:rPr>
        <w:t xml:space="preserve">). </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 xml:space="preserve">La vipère ne mord généralement que lorsqu’elle est provoquée et la morsure n’est pas systématiquement accompagnée d’envenimation. Les symptômes apparaissent dans les minutes ou les heures suivant la morsure. Les lésions tissulaires locales apparaissent dans les </w:t>
      </w:r>
      <w:r>
        <w:rPr>
          <w:lang w:val="fr-FR"/>
        </w:rPr>
        <w:lastRenderedPageBreak/>
        <w:t xml:space="preserve">minutes qui suivent la morsure et au plus tard dans les 2 heures. Une tuméfaction douloureuse localisée se développe progressivement sur quelques jours et peut devenir hémorragique. </w:t>
      </w:r>
    </w:p>
    <w:p w:rsidR="001C0AB7" w:rsidRDefault="001C0AB7" w:rsidP="005F04FB">
      <w:pPr>
        <w:autoSpaceDE w:val="0"/>
        <w:autoSpaceDN w:val="0"/>
        <w:bidi w:val="0"/>
        <w:adjustRightInd w:val="0"/>
        <w:spacing w:line="360" w:lineRule="auto"/>
        <w:jc w:val="both"/>
        <w:rPr>
          <w:sz w:val="20"/>
          <w:szCs w:val="20"/>
          <w:lang w:val="fr-FR"/>
        </w:rPr>
      </w:pPr>
      <w:r>
        <w:rPr>
          <w:rFonts w:ascii="Wingdings" w:hAnsi="Wingdings" w:cs="Wingdings"/>
          <w:lang w:val="fr-FR"/>
        </w:rPr>
        <w:t></w:t>
      </w:r>
      <w:r>
        <w:rPr>
          <w:rFonts w:ascii="Wingdings" w:hAnsi="Wingdings" w:cs="Wingdings"/>
          <w:lang w:val="fr-FR"/>
        </w:rPr>
        <w:t></w:t>
      </w:r>
      <w:r>
        <w:rPr>
          <w:lang w:val="fr-FR"/>
        </w:rPr>
        <w:t>Des signes cliniques généraux peuvent s’ajouter aux signes locaux : il s’agit de troubles hémorragiques, circulatoires et gastro-intestinaux. Des hémorragies sur les muqueuses, autour du site de morsure et des saignements digestifs révèlent la présence de troubles de la coagulation sous-jacents : pétéchies sur les gencives, ecchymoses, hématémèse, méléna</w:t>
      </w:r>
      <w:r>
        <w:rPr>
          <w:sz w:val="20"/>
          <w:szCs w:val="20"/>
          <w:lang w:val="fr-FR"/>
        </w:rPr>
        <w:t xml:space="preserve"> (</w:t>
      </w:r>
      <w:r w:rsidRPr="001F375F">
        <w:rPr>
          <w:lang w:val="fr-FR"/>
        </w:rPr>
        <w:t>Burns,</w:t>
      </w:r>
      <w:r w:rsidR="005F04FB">
        <w:rPr>
          <w:lang w:val="fr-FR"/>
        </w:rPr>
        <w:t xml:space="preserve"> </w:t>
      </w:r>
      <w:r w:rsidRPr="001F375F">
        <w:rPr>
          <w:lang w:val="fr-FR"/>
        </w:rPr>
        <w:t>2005).</w:t>
      </w:r>
    </w:p>
    <w:p w:rsidR="001C0AB7" w:rsidRDefault="001C0AB7" w:rsidP="005F04FB">
      <w:pPr>
        <w:autoSpaceDE w:val="0"/>
        <w:autoSpaceDN w:val="0"/>
        <w:bidi w:val="0"/>
        <w:adjustRightInd w:val="0"/>
        <w:spacing w:line="360" w:lineRule="auto"/>
        <w:jc w:val="both"/>
        <w:rPr>
          <w:sz w:val="20"/>
          <w:szCs w:val="20"/>
          <w:lang w:val="fr-FR"/>
        </w:rPr>
      </w:pPr>
      <w:r>
        <w:rPr>
          <w:lang w:val="fr-FR"/>
        </w:rPr>
        <w:t xml:space="preserve">Les troubles circulatoires sont objectivables par la pâleur des muqueuses et la tachycardie initiale. Celle-ci fait place à une bradycardie, une hypotension avec choc </w:t>
      </w:r>
      <w:proofErr w:type="spellStart"/>
      <w:r>
        <w:rPr>
          <w:lang w:val="fr-FR"/>
        </w:rPr>
        <w:t>hypovolémique</w:t>
      </w:r>
      <w:proofErr w:type="spellEnd"/>
      <w:r>
        <w:rPr>
          <w:lang w:val="fr-FR"/>
        </w:rPr>
        <w:t xml:space="preserve"> et collapsus cardiovasculaire dans les cas graves</w:t>
      </w:r>
      <w:r>
        <w:rPr>
          <w:sz w:val="20"/>
          <w:szCs w:val="20"/>
          <w:lang w:val="fr-FR"/>
        </w:rPr>
        <w:t xml:space="preserve"> (</w:t>
      </w:r>
      <w:r w:rsidRPr="001F375F">
        <w:rPr>
          <w:lang w:val="fr-FR"/>
        </w:rPr>
        <w:t>Burns,</w:t>
      </w:r>
      <w:r w:rsidR="005F04FB">
        <w:rPr>
          <w:lang w:val="fr-FR"/>
        </w:rPr>
        <w:t xml:space="preserve"> </w:t>
      </w:r>
      <w:r w:rsidRPr="001F375F">
        <w:rPr>
          <w:lang w:val="fr-FR"/>
        </w:rPr>
        <w:t>2005).</w:t>
      </w:r>
    </w:p>
    <w:p w:rsidR="001C0AB7" w:rsidRDefault="001C0AB7" w:rsidP="005F04FB">
      <w:pPr>
        <w:autoSpaceDE w:val="0"/>
        <w:autoSpaceDN w:val="0"/>
        <w:bidi w:val="0"/>
        <w:adjustRightInd w:val="0"/>
        <w:spacing w:line="360" w:lineRule="auto"/>
        <w:jc w:val="both"/>
        <w:rPr>
          <w:sz w:val="20"/>
          <w:szCs w:val="20"/>
          <w:lang w:val="fr-FR"/>
        </w:rPr>
      </w:pPr>
      <w:r>
        <w:rPr>
          <w:lang w:val="fr-FR"/>
        </w:rPr>
        <w:t xml:space="preserve">        L’hémogramme révèle une anémie due à l’extravasation sanguine, aux saignements et/ou à l’hémolyse qui s’installe en quelques heures. </w:t>
      </w:r>
      <w:r>
        <w:rPr>
          <w:sz w:val="20"/>
          <w:szCs w:val="20"/>
          <w:lang w:val="fr-FR"/>
        </w:rPr>
        <w:t xml:space="preserve">Cas 2 </w:t>
      </w:r>
      <w:r>
        <w:rPr>
          <w:lang w:val="fr-FR"/>
        </w:rPr>
        <w:t xml:space="preserve">L’hématocrite chute rapidement malgré une hémoconcentration dans les stades très précoces. Le frottis montre fréquemment des </w:t>
      </w:r>
      <w:proofErr w:type="spellStart"/>
      <w:r>
        <w:rPr>
          <w:lang w:val="fr-FR"/>
        </w:rPr>
        <w:t>echinocytes</w:t>
      </w:r>
      <w:proofErr w:type="spellEnd"/>
      <w:r>
        <w:rPr>
          <w:lang w:val="fr-FR"/>
        </w:rPr>
        <w:t xml:space="preserve"> dans les 24h à 48-72h suivant l’envenimation. </w:t>
      </w:r>
      <w:r>
        <w:rPr>
          <w:sz w:val="20"/>
          <w:szCs w:val="20"/>
          <w:lang w:val="fr-FR"/>
        </w:rPr>
        <w:t>(</w:t>
      </w:r>
      <w:r w:rsidRPr="001F375F">
        <w:rPr>
          <w:lang w:val="fr-FR"/>
        </w:rPr>
        <w:t>Burns,</w:t>
      </w:r>
      <w:r w:rsidR="005F04FB">
        <w:rPr>
          <w:lang w:val="fr-FR"/>
        </w:rPr>
        <w:t xml:space="preserve"> </w:t>
      </w:r>
      <w:r w:rsidRPr="001F375F">
        <w:rPr>
          <w:lang w:val="fr-FR"/>
        </w:rPr>
        <w:t>2005).</w:t>
      </w:r>
    </w:p>
    <w:p w:rsidR="001C0AB7" w:rsidRDefault="001C0AB7" w:rsidP="00417287">
      <w:pPr>
        <w:autoSpaceDE w:val="0"/>
        <w:autoSpaceDN w:val="0"/>
        <w:bidi w:val="0"/>
        <w:adjustRightInd w:val="0"/>
        <w:spacing w:line="360" w:lineRule="auto"/>
        <w:ind w:firstLine="567"/>
        <w:jc w:val="both"/>
        <w:rPr>
          <w:sz w:val="20"/>
          <w:szCs w:val="20"/>
          <w:lang w:val="fr-FR"/>
        </w:rPr>
      </w:pPr>
      <w:r>
        <w:rPr>
          <w:lang w:val="fr-FR"/>
        </w:rPr>
        <w:t xml:space="preserve">Le bilan de coagulation est anormal lorsque les envenimations modérées à sévères sont accompagnées de </w:t>
      </w:r>
      <w:proofErr w:type="spellStart"/>
      <w:r>
        <w:rPr>
          <w:lang w:val="fr-FR"/>
        </w:rPr>
        <w:t>coagulopathies</w:t>
      </w:r>
      <w:proofErr w:type="spellEnd"/>
      <w:r>
        <w:rPr>
          <w:lang w:val="fr-FR"/>
        </w:rPr>
        <w:t xml:space="preserve"> comme la coagulation </w:t>
      </w:r>
      <w:proofErr w:type="spellStart"/>
      <w:r>
        <w:rPr>
          <w:lang w:val="fr-FR"/>
        </w:rPr>
        <w:t>intravasculaire</w:t>
      </w:r>
      <w:proofErr w:type="spellEnd"/>
      <w:r>
        <w:rPr>
          <w:lang w:val="fr-FR"/>
        </w:rPr>
        <w:t xml:space="preserve"> disséminée (CIVD), lors d’injection </w:t>
      </w:r>
      <w:proofErr w:type="spellStart"/>
      <w:r>
        <w:rPr>
          <w:lang w:val="fr-FR"/>
        </w:rPr>
        <w:t>intravasculaire</w:t>
      </w:r>
      <w:proofErr w:type="spellEnd"/>
      <w:r>
        <w:rPr>
          <w:lang w:val="fr-FR"/>
        </w:rPr>
        <w:t xml:space="preserve"> du venin par exemple, et la défibrination. </w:t>
      </w:r>
    </w:p>
    <w:p w:rsidR="001C0AB7" w:rsidRDefault="001C0AB7" w:rsidP="005F04FB">
      <w:pPr>
        <w:autoSpaceDE w:val="0"/>
        <w:autoSpaceDN w:val="0"/>
        <w:bidi w:val="0"/>
        <w:adjustRightInd w:val="0"/>
        <w:spacing w:line="360" w:lineRule="auto"/>
        <w:jc w:val="both"/>
        <w:rPr>
          <w:sz w:val="20"/>
          <w:szCs w:val="20"/>
          <w:lang w:val="fr-FR"/>
        </w:rPr>
      </w:pPr>
      <w:r>
        <w:rPr>
          <w:lang w:val="fr-FR"/>
        </w:rPr>
        <w:t xml:space="preserve">L’hémolyse provoque une hémoglobinurie, l’insuffisance rénale une hématurie et la nécrose musculaire une </w:t>
      </w:r>
      <w:proofErr w:type="spellStart"/>
      <w:r>
        <w:rPr>
          <w:lang w:val="fr-FR"/>
        </w:rPr>
        <w:t>myoglobinurie</w:t>
      </w:r>
      <w:proofErr w:type="spellEnd"/>
      <w:r>
        <w:rPr>
          <w:lang w:val="fr-FR"/>
        </w:rPr>
        <w:t xml:space="preserve">. </w:t>
      </w:r>
      <w:r w:rsidRPr="001F375F">
        <w:rPr>
          <w:lang w:val="fr-FR"/>
        </w:rPr>
        <w:t>(Russell,</w:t>
      </w:r>
      <w:r w:rsidR="005F04FB">
        <w:rPr>
          <w:lang w:val="fr-FR"/>
        </w:rPr>
        <w:t xml:space="preserve"> </w:t>
      </w:r>
      <w:r w:rsidRPr="001F375F">
        <w:rPr>
          <w:lang w:val="fr-FR"/>
        </w:rPr>
        <w:t>1991)</w:t>
      </w:r>
    </w:p>
    <w:p w:rsidR="001C0AB7" w:rsidRDefault="001C0AB7" w:rsidP="00417287">
      <w:pPr>
        <w:autoSpaceDE w:val="0"/>
        <w:autoSpaceDN w:val="0"/>
        <w:bidi w:val="0"/>
        <w:adjustRightInd w:val="0"/>
        <w:spacing w:line="360" w:lineRule="auto"/>
        <w:ind w:firstLine="567"/>
        <w:jc w:val="both"/>
        <w:rPr>
          <w:lang w:val="fr-FR"/>
        </w:rPr>
      </w:pPr>
      <w:r>
        <w:rPr>
          <w:lang w:val="fr-FR"/>
        </w:rPr>
        <w:t>La toxicité hématologique est double avec apparition d’une hémolyse et de troubles de</w:t>
      </w:r>
    </w:p>
    <w:p w:rsidR="001C0AB7" w:rsidRPr="001F375F" w:rsidRDefault="001C0AB7" w:rsidP="005F04FB">
      <w:pPr>
        <w:autoSpaceDE w:val="0"/>
        <w:autoSpaceDN w:val="0"/>
        <w:bidi w:val="0"/>
        <w:adjustRightInd w:val="0"/>
        <w:spacing w:line="360" w:lineRule="auto"/>
        <w:jc w:val="both"/>
        <w:rPr>
          <w:sz w:val="20"/>
          <w:szCs w:val="20"/>
          <w:lang w:val="fr-FR"/>
        </w:rPr>
      </w:pPr>
      <w:proofErr w:type="gramStart"/>
      <w:r>
        <w:rPr>
          <w:lang w:val="fr-FR"/>
        </w:rPr>
        <w:t>la</w:t>
      </w:r>
      <w:proofErr w:type="gramEnd"/>
      <w:r>
        <w:rPr>
          <w:lang w:val="fr-FR"/>
        </w:rPr>
        <w:t xml:space="preserve"> coagulation. </w:t>
      </w:r>
      <w:r w:rsidRPr="001F375F">
        <w:rPr>
          <w:lang w:val="fr-FR"/>
        </w:rPr>
        <w:t>(Russell,</w:t>
      </w:r>
      <w:r w:rsidR="005F04FB">
        <w:rPr>
          <w:lang w:val="fr-FR"/>
        </w:rPr>
        <w:t xml:space="preserve"> </w:t>
      </w:r>
      <w:r w:rsidRPr="001F375F">
        <w:rPr>
          <w:lang w:val="fr-FR"/>
        </w:rPr>
        <w:t>1991)</w:t>
      </w:r>
      <w:r>
        <w:rPr>
          <w:lang w:val="fr-FR"/>
        </w:rPr>
        <w:t xml:space="preserve"> </w:t>
      </w:r>
      <w:r>
        <w:rPr>
          <w:sz w:val="20"/>
          <w:szCs w:val="20"/>
          <w:lang w:val="fr-FR"/>
        </w:rPr>
        <w:t xml:space="preserve">Cas 1 </w:t>
      </w:r>
      <w:r>
        <w:rPr>
          <w:lang w:val="fr-FR"/>
        </w:rPr>
        <w:t xml:space="preserve">La </w:t>
      </w:r>
      <w:proofErr w:type="spellStart"/>
      <w:r>
        <w:rPr>
          <w:lang w:val="fr-FR"/>
        </w:rPr>
        <w:t>phospholipase</w:t>
      </w:r>
      <w:proofErr w:type="spellEnd"/>
      <w:r>
        <w:rPr>
          <w:lang w:val="fr-FR"/>
        </w:rPr>
        <w:t xml:space="preserve"> A</w:t>
      </w:r>
      <w:r>
        <w:rPr>
          <w:sz w:val="16"/>
          <w:szCs w:val="16"/>
          <w:lang w:val="fr-FR"/>
        </w:rPr>
        <w:t xml:space="preserve">2 </w:t>
      </w:r>
      <w:r>
        <w:rPr>
          <w:lang w:val="fr-FR"/>
        </w:rPr>
        <w:t>(PLA</w:t>
      </w:r>
      <w:r>
        <w:rPr>
          <w:sz w:val="16"/>
          <w:szCs w:val="16"/>
          <w:lang w:val="fr-FR"/>
        </w:rPr>
        <w:t>2</w:t>
      </w:r>
      <w:r>
        <w:rPr>
          <w:lang w:val="fr-FR"/>
        </w:rPr>
        <w:t xml:space="preserve">) ou </w:t>
      </w:r>
      <w:proofErr w:type="spellStart"/>
      <w:r>
        <w:rPr>
          <w:lang w:val="fr-FR"/>
        </w:rPr>
        <w:t>lécithinase</w:t>
      </w:r>
      <w:proofErr w:type="spellEnd"/>
      <w:r>
        <w:rPr>
          <w:lang w:val="fr-FR"/>
        </w:rPr>
        <w:t xml:space="preserve"> A est un puissant hémolytique (</w:t>
      </w:r>
      <w:proofErr w:type="spellStart"/>
      <w:r w:rsidRPr="001F375F">
        <w:rPr>
          <w:lang w:val="fr-FR"/>
        </w:rPr>
        <w:t>Beasley</w:t>
      </w:r>
      <w:proofErr w:type="spellEnd"/>
      <w:r w:rsidRPr="001F375F">
        <w:rPr>
          <w:lang w:val="fr-FR"/>
        </w:rPr>
        <w:t>,</w:t>
      </w:r>
      <w:r w:rsidR="005F04FB">
        <w:rPr>
          <w:lang w:val="fr-FR"/>
        </w:rPr>
        <w:t xml:space="preserve"> </w:t>
      </w:r>
      <w:r w:rsidRPr="001F375F">
        <w:rPr>
          <w:lang w:val="fr-FR"/>
        </w:rPr>
        <w:t>1999)</w:t>
      </w:r>
      <w:r>
        <w:rPr>
          <w:lang w:val="fr-FR"/>
        </w:rPr>
        <w:t xml:space="preserve">: elle détache sélectivement les résidus d’acide gras des phospholipides membranaires des cellules sanguines et provoque la </w:t>
      </w:r>
      <w:proofErr w:type="spellStart"/>
      <w:r>
        <w:rPr>
          <w:lang w:val="fr-FR"/>
        </w:rPr>
        <w:t>sphérocytose</w:t>
      </w:r>
      <w:proofErr w:type="spellEnd"/>
      <w:r>
        <w:rPr>
          <w:lang w:val="fr-FR"/>
        </w:rPr>
        <w:t xml:space="preserve">. Elle est également responsable de la dégradation de la lécithine en </w:t>
      </w:r>
      <w:proofErr w:type="spellStart"/>
      <w:r>
        <w:rPr>
          <w:lang w:val="fr-FR"/>
        </w:rPr>
        <w:t>lysolécithine</w:t>
      </w:r>
      <w:proofErr w:type="spellEnd"/>
      <w:r>
        <w:rPr>
          <w:lang w:val="fr-FR"/>
        </w:rPr>
        <w:t>, fortement hémolytique. Le facteur lytique direct a un faible effet hémolytique mais potentialise l’activité de la PLA</w:t>
      </w:r>
      <w:r>
        <w:rPr>
          <w:sz w:val="16"/>
          <w:szCs w:val="16"/>
          <w:lang w:val="fr-FR"/>
        </w:rPr>
        <w:t xml:space="preserve">2 </w:t>
      </w:r>
      <w:r>
        <w:rPr>
          <w:lang w:val="fr-FR"/>
        </w:rPr>
        <w:t>en favorisant son interaction avec les membranes. (</w:t>
      </w:r>
      <w:proofErr w:type="spellStart"/>
      <w:r w:rsidRPr="001F375F">
        <w:rPr>
          <w:lang w:val="fr-FR"/>
        </w:rPr>
        <w:t>Iyaniwura</w:t>
      </w:r>
      <w:proofErr w:type="spellEnd"/>
      <w:r w:rsidRPr="001F375F">
        <w:rPr>
          <w:lang w:val="fr-FR"/>
        </w:rPr>
        <w:t>,</w:t>
      </w:r>
      <w:r w:rsidR="005F04FB">
        <w:rPr>
          <w:lang w:val="fr-FR"/>
        </w:rPr>
        <w:t xml:space="preserve"> </w:t>
      </w:r>
      <w:r w:rsidRPr="001F375F">
        <w:rPr>
          <w:lang w:val="fr-FR"/>
        </w:rPr>
        <w:t>1991)</w:t>
      </w:r>
      <w:r>
        <w:rPr>
          <w:lang w:val="fr-FR"/>
        </w:rPr>
        <w:t xml:space="preserve">Une </w:t>
      </w:r>
      <w:proofErr w:type="spellStart"/>
      <w:r>
        <w:rPr>
          <w:lang w:val="fr-FR"/>
        </w:rPr>
        <w:t>coagulopathie</w:t>
      </w:r>
      <w:proofErr w:type="spellEnd"/>
      <w:r>
        <w:rPr>
          <w:lang w:val="fr-FR"/>
        </w:rPr>
        <w:t xml:space="preserve"> est souvent associée aux envenimations (</w:t>
      </w:r>
      <w:proofErr w:type="spellStart"/>
      <w:r>
        <w:rPr>
          <w:lang w:val="fr-FR"/>
        </w:rPr>
        <w:t>coaguline</w:t>
      </w:r>
      <w:proofErr w:type="spellEnd"/>
      <w:r>
        <w:rPr>
          <w:lang w:val="fr-FR"/>
        </w:rPr>
        <w:t xml:space="preserve">, </w:t>
      </w:r>
      <w:proofErr w:type="spellStart"/>
      <w:r>
        <w:rPr>
          <w:lang w:val="fr-FR"/>
        </w:rPr>
        <w:t>hémorragine</w:t>
      </w:r>
      <w:proofErr w:type="spellEnd"/>
      <w:r>
        <w:rPr>
          <w:lang w:val="fr-FR"/>
        </w:rPr>
        <w:t>) (</w:t>
      </w:r>
      <w:r w:rsidRPr="001F375F">
        <w:rPr>
          <w:lang w:val="fr-FR"/>
        </w:rPr>
        <w:t>Russell,</w:t>
      </w:r>
      <w:r w:rsidR="005F04FB">
        <w:rPr>
          <w:lang w:val="fr-FR"/>
        </w:rPr>
        <w:t xml:space="preserve"> </w:t>
      </w:r>
      <w:r w:rsidRPr="001F375F">
        <w:rPr>
          <w:lang w:val="fr-FR"/>
        </w:rPr>
        <w:t>1991)</w:t>
      </w:r>
      <w:r>
        <w:rPr>
          <w:sz w:val="20"/>
          <w:szCs w:val="20"/>
          <w:lang w:val="fr-FR"/>
        </w:rPr>
        <w:t xml:space="preserve">. </w:t>
      </w:r>
      <w:r>
        <w:rPr>
          <w:lang w:val="fr-FR"/>
        </w:rPr>
        <w:t xml:space="preserve">Les composés du venin ont des propriétés </w:t>
      </w:r>
      <w:proofErr w:type="spellStart"/>
      <w:r>
        <w:rPr>
          <w:lang w:val="fr-FR"/>
        </w:rPr>
        <w:t>procoagulantes</w:t>
      </w:r>
      <w:proofErr w:type="spellEnd"/>
      <w:r>
        <w:rPr>
          <w:lang w:val="fr-FR"/>
        </w:rPr>
        <w:t xml:space="preserve"> (fibrinogène, induction de l’agrégation plaquettaire, activation de la prothrombine, du </w:t>
      </w:r>
      <w:proofErr w:type="spellStart"/>
      <w:r>
        <w:rPr>
          <w:lang w:val="fr-FR"/>
        </w:rPr>
        <w:t>plasminogène</w:t>
      </w:r>
      <w:proofErr w:type="spellEnd"/>
      <w:r>
        <w:rPr>
          <w:lang w:val="fr-FR"/>
        </w:rPr>
        <w:t xml:space="preserve"> et des facteurs X, V, IX) ou </w:t>
      </w:r>
      <w:proofErr w:type="spellStart"/>
      <w:r>
        <w:rPr>
          <w:lang w:val="fr-FR"/>
        </w:rPr>
        <w:t>anti-coagulantes</w:t>
      </w:r>
      <w:proofErr w:type="spellEnd"/>
      <w:r>
        <w:rPr>
          <w:lang w:val="fr-FR"/>
        </w:rPr>
        <w:t xml:space="preserve"> (protéases, fibrinolyse, inhibition de l’agrégation plaquettaire)</w:t>
      </w:r>
      <w:r w:rsidRPr="001F375F">
        <w:rPr>
          <w:sz w:val="20"/>
          <w:szCs w:val="20"/>
          <w:lang w:val="fr-FR"/>
        </w:rPr>
        <w:t xml:space="preserve"> </w:t>
      </w:r>
      <w:r>
        <w:rPr>
          <w:sz w:val="20"/>
          <w:szCs w:val="20"/>
          <w:lang w:val="fr-FR"/>
        </w:rPr>
        <w:t>(</w:t>
      </w:r>
      <w:r w:rsidRPr="001F375F">
        <w:rPr>
          <w:lang w:val="fr-FR"/>
        </w:rPr>
        <w:t>Burns,</w:t>
      </w:r>
      <w:r w:rsidR="005F04FB">
        <w:rPr>
          <w:lang w:val="fr-FR"/>
        </w:rPr>
        <w:t xml:space="preserve"> </w:t>
      </w:r>
      <w:r w:rsidRPr="001F375F">
        <w:rPr>
          <w:lang w:val="fr-FR"/>
        </w:rPr>
        <w:t>2005</w:t>
      </w:r>
      <w:r>
        <w:rPr>
          <w:lang w:val="fr-FR"/>
        </w:rPr>
        <w:t>).Lors d’envenimations sévères, le sang devient incoagulable. Une enzyme thrombine-</w:t>
      </w:r>
      <w:proofErr w:type="spellStart"/>
      <w:r>
        <w:rPr>
          <w:lang w:val="fr-FR"/>
        </w:rPr>
        <w:t>like</w:t>
      </w:r>
      <w:proofErr w:type="spellEnd"/>
      <w:r>
        <w:rPr>
          <w:lang w:val="fr-FR"/>
        </w:rPr>
        <w:t xml:space="preserve"> agit directement sur le fibrinogène entraînant une défibrination du </w:t>
      </w:r>
      <w:proofErr w:type="gramStart"/>
      <w:r>
        <w:rPr>
          <w:lang w:val="fr-FR"/>
        </w:rPr>
        <w:t>plasma(</w:t>
      </w:r>
      <w:proofErr w:type="spellStart"/>
      <w:proofErr w:type="gramEnd"/>
      <w:r w:rsidRPr="001F375F">
        <w:rPr>
          <w:lang w:val="fr-FR"/>
        </w:rPr>
        <w:t>Beasley</w:t>
      </w:r>
      <w:proofErr w:type="spellEnd"/>
      <w:r w:rsidRPr="001F375F">
        <w:rPr>
          <w:lang w:val="fr-FR"/>
        </w:rPr>
        <w:t>,</w:t>
      </w:r>
      <w:r w:rsidR="005F04FB">
        <w:rPr>
          <w:lang w:val="fr-FR"/>
        </w:rPr>
        <w:t xml:space="preserve"> </w:t>
      </w:r>
      <w:r w:rsidRPr="001F375F">
        <w:rPr>
          <w:lang w:val="fr-FR"/>
        </w:rPr>
        <w:t>1999)</w:t>
      </w:r>
      <w:r>
        <w:rPr>
          <w:lang w:val="fr-FR"/>
        </w:rPr>
        <w:t xml:space="preserve">. La stase sanguine due à l’hypotension et les interférences avec les </w:t>
      </w:r>
      <w:r>
        <w:rPr>
          <w:lang w:val="fr-FR"/>
        </w:rPr>
        <w:lastRenderedPageBreak/>
        <w:t xml:space="preserve">fonctions plaquettaires ou les facteurs de coagulation plasmatiques sont à l’origine d’une coagulation </w:t>
      </w:r>
      <w:proofErr w:type="spellStart"/>
      <w:r>
        <w:rPr>
          <w:lang w:val="fr-FR"/>
        </w:rPr>
        <w:t>intravasculaire</w:t>
      </w:r>
      <w:proofErr w:type="spellEnd"/>
      <w:r>
        <w:rPr>
          <w:lang w:val="fr-FR"/>
        </w:rPr>
        <w:t xml:space="preserve"> disséminée et d’un syndrome hémorragique qui se met en place en</w:t>
      </w:r>
    </w:p>
    <w:p w:rsidR="001C0AB7" w:rsidRDefault="001C0AB7" w:rsidP="005F04FB">
      <w:pPr>
        <w:autoSpaceDE w:val="0"/>
        <w:autoSpaceDN w:val="0"/>
        <w:bidi w:val="0"/>
        <w:adjustRightInd w:val="0"/>
        <w:spacing w:line="360" w:lineRule="auto"/>
        <w:jc w:val="both"/>
        <w:rPr>
          <w:sz w:val="20"/>
          <w:szCs w:val="20"/>
          <w:lang w:val="fr-FR"/>
        </w:rPr>
      </w:pPr>
      <w:proofErr w:type="gramStart"/>
      <w:r>
        <w:rPr>
          <w:lang w:val="fr-FR"/>
        </w:rPr>
        <w:t>quelques</w:t>
      </w:r>
      <w:proofErr w:type="gramEnd"/>
      <w:r>
        <w:rPr>
          <w:lang w:val="fr-FR"/>
        </w:rPr>
        <w:t xml:space="preserve"> jours et qui aggrave l’hypotension et l’hypoxie tissulaire</w:t>
      </w:r>
      <w:r>
        <w:rPr>
          <w:sz w:val="20"/>
          <w:szCs w:val="20"/>
          <w:lang w:val="fr-FR"/>
        </w:rPr>
        <w:t xml:space="preserve"> (</w:t>
      </w:r>
      <w:r w:rsidRPr="001F375F">
        <w:rPr>
          <w:lang w:val="fr-FR"/>
        </w:rPr>
        <w:t>Burns,</w:t>
      </w:r>
      <w:r w:rsidR="005F04FB">
        <w:rPr>
          <w:lang w:val="fr-FR"/>
        </w:rPr>
        <w:t xml:space="preserve"> </w:t>
      </w:r>
      <w:r w:rsidRPr="001F375F">
        <w:rPr>
          <w:lang w:val="fr-FR"/>
        </w:rPr>
        <w:t>2005).</w:t>
      </w:r>
    </w:p>
    <w:p w:rsidR="001C0AB7" w:rsidRPr="005F04FB" w:rsidRDefault="005F04FB" w:rsidP="005F04FB">
      <w:pPr>
        <w:bidi w:val="0"/>
        <w:spacing w:line="360" w:lineRule="auto"/>
        <w:jc w:val="both"/>
        <w:rPr>
          <w:b/>
          <w:bCs/>
          <w:lang w:val="fr-FR"/>
        </w:rPr>
      </w:pPr>
      <w:r w:rsidRPr="005F04FB">
        <w:rPr>
          <w:b/>
          <w:bCs/>
          <w:lang w:val="fr-FR"/>
        </w:rPr>
        <w:t>Toxicités</w:t>
      </w:r>
      <w:r w:rsidR="00417287" w:rsidRPr="005F04FB">
        <w:rPr>
          <w:b/>
          <w:bCs/>
          <w:lang w:val="fr-FR"/>
        </w:rPr>
        <w:t xml:space="preserve"> </w:t>
      </w:r>
      <w:r w:rsidRPr="005F04FB">
        <w:rPr>
          <w:b/>
          <w:bCs/>
          <w:lang w:val="fr-FR"/>
        </w:rPr>
        <w:t>hydrocarbures</w:t>
      </w:r>
      <w:r w:rsidR="00417287" w:rsidRPr="005F04FB">
        <w:rPr>
          <w:b/>
          <w:bCs/>
          <w:lang w:val="fr-FR"/>
        </w:rPr>
        <w:t xml:space="preserve"> aromatiques</w:t>
      </w:r>
      <w:r>
        <w:rPr>
          <w:b/>
          <w:bCs/>
          <w:lang w:val="fr-FR"/>
        </w:rPr>
        <w:t> : de</w:t>
      </w:r>
      <w:r w:rsidR="00417287" w:rsidRPr="005F04FB">
        <w:rPr>
          <w:b/>
          <w:bCs/>
          <w:lang w:val="fr-FR"/>
        </w:rPr>
        <w:t xml:space="preserve"> benzène </w:t>
      </w:r>
    </w:p>
    <w:p w:rsidR="001C0AB7" w:rsidRPr="007E3B8B" w:rsidRDefault="001C0AB7" w:rsidP="00417287">
      <w:pPr>
        <w:bidi w:val="0"/>
        <w:spacing w:line="360" w:lineRule="auto"/>
        <w:ind w:firstLine="567"/>
        <w:jc w:val="both"/>
        <w:rPr>
          <w:lang w:val="fr-FR"/>
        </w:rPr>
      </w:pPr>
      <w:r w:rsidRPr="007E3B8B">
        <w:rPr>
          <w:lang w:val="fr-FR"/>
        </w:rPr>
        <w:t>Le benzène est un liquide incolore, volatil, dont les vapeurs sont plus denses que l’air. C’est le premier des hydrocarbures aromatiques, sa formule chimique est C6H6</w:t>
      </w:r>
      <w:r>
        <w:rPr>
          <w:lang w:val="fr-FR"/>
        </w:rPr>
        <w:t xml:space="preserve">. </w:t>
      </w:r>
      <w:r w:rsidRPr="007E3B8B">
        <w:rPr>
          <w:lang w:val="fr-FR"/>
        </w:rPr>
        <w:t>C’est un excellent solvant des graisses, mais son utilisation est très réglementée, il a disparu de la plupart des produits d’utilisation courante.</w:t>
      </w:r>
    </w:p>
    <w:p w:rsidR="001C0AB7" w:rsidRPr="00416BAA" w:rsidRDefault="001C0AB7" w:rsidP="00417287">
      <w:pPr>
        <w:bidi w:val="0"/>
        <w:spacing w:line="360" w:lineRule="auto"/>
        <w:ind w:firstLine="567"/>
        <w:jc w:val="both"/>
        <w:rPr>
          <w:lang w:val="fr-FR"/>
        </w:rPr>
      </w:pPr>
      <w:r w:rsidRPr="007E3B8B">
        <w:rPr>
          <w:lang w:val="fr-FR"/>
        </w:rPr>
        <w:t>La voie d’absorption du benzène est principalement pulmonaire (50% du produit inhalé est absorbé par voie respiratoire) mais la pénétration percutanée peut prédominer si le benzène est sous forme liquide. Environ 30</w:t>
      </w:r>
      <w:r>
        <w:rPr>
          <w:lang w:val="fr-FR"/>
        </w:rPr>
        <w:t xml:space="preserve"> </w:t>
      </w:r>
      <w:r w:rsidRPr="00416BAA">
        <w:rPr>
          <w:lang w:val="fr-FR"/>
        </w:rPr>
        <w:t>à 60 % du benzène inhalé passent dans la circulation systémique tandis que 10 à 50 % sont éliminés dans l’air expiré sous forme inchangée</w:t>
      </w:r>
      <w:proofErr w:type="gramStart"/>
      <w:r w:rsidRPr="00416BAA">
        <w:rPr>
          <w:lang w:val="fr-FR"/>
        </w:rPr>
        <w:t>.</w:t>
      </w:r>
      <w:r>
        <w:rPr>
          <w:lang w:val="fr-FR"/>
        </w:rPr>
        <w:t>(</w:t>
      </w:r>
      <w:proofErr w:type="gramEnd"/>
      <w:r>
        <w:rPr>
          <w:lang w:val="fr-FR"/>
        </w:rPr>
        <w:t xml:space="preserve">Service de pathologie professionnelle, hôpital de Cochin,2002) </w:t>
      </w:r>
    </w:p>
    <w:p w:rsidR="001C0AB7" w:rsidRPr="00416BAA" w:rsidRDefault="001C0AB7" w:rsidP="00417287">
      <w:pPr>
        <w:bidi w:val="0"/>
        <w:spacing w:line="360" w:lineRule="auto"/>
        <w:ind w:firstLine="567"/>
        <w:jc w:val="both"/>
        <w:rPr>
          <w:lang w:val="fr-FR"/>
        </w:rPr>
      </w:pPr>
      <w:r w:rsidRPr="00416BAA">
        <w:rPr>
          <w:lang w:val="fr-FR"/>
        </w:rPr>
        <w:t>Produit lipophile, le benzène se distribue préférentiellement dans le SNC en cas d’intoxication aigué et se distribue dans le foie en cas d’intoxication chronique.</w:t>
      </w:r>
    </w:p>
    <w:p w:rsidR="001C0AB7" w:rsidRPr="00416BAA" w:rsidRDefault="001C0AB7" w:rsidP="00417287">
      <w:pPr>
        <w:bidi w:val="0"/>
        <w:spacing w:line="360" w:lineRule="auto"/>
        <w:ind w:firstLine="567"/>
        <w:jc w:val="both"/>
        <w:rPr>
          <w:lang w:val="fr-FR"/>
        </w:rPr>
      </w:pPr>
      <w:r w:rsidRPr="00416BAA">
        <w:rPr>
          <w:lang w:val="fr-FR"/>
        </w:rPr>
        <w:t>Le benzène est métabolisé dans l’organisme principalement au niveau du foie mais également au niveau de la moelle osseuse.</w:t>
      </w:r>
      <w:r>
        <w:rPr>
          <w:lang w:val="fr-FR"/>
        </w:rPr>
        <w:t xml:space="preserve"> </w:t>
      </w:r>
      <w:r w:rsidRPr="00416BAA">
        <w:rPr>
          <w:lang w:val="fr-FR"/>
        </w:rPr>
        <w:t xml:space="preserve">Il est transformé dans un premier temps (oxydation par le cytochrome P450) en benzène époxyde, qui pourrait être un des agents responsables de </w:t>
      </w:r>
      <w:proofErr w:type="spellStart"/>
      <w:r w:rsidRPr="00416BAA">
        <w:rPr>
          <w:lang w:val="fr-FR"/>
        </w:rPr>
        <w:t>myélotoxicité</w:t>
      </w:r>
      <w:proofErr w:type="spellEnd"/>
      <w:r w:rsidRPr="00416BAA">
        <w:rPr>
          <w:lang w:val="fr-FR"/>
        </w:rPr>
        <w:t xml:space="preserve"> du benzène. Celui-ci est ensuite transformé en différents phénols secondairement métabolisés en acide </w:t>
      </w:r>
      <w:proofErr w:type="spellStart"/>
      <w:r w:rsidRPr="00416BAA">
        <w:rPr>
          <w:lang w:val="fr-FR"/>
        </w:rPr>
        <w:t>trans</w:t>
      </w:r>
      <w:proofErr w:type="spellEnd"/>
      <w:r w:rsidRPr="00416BAA">
        <w:rPr>
          <w:lang w:val="fr-FR"/>
        </w:rPr>
        <w:t>-</w:t>
      </w:r>
      <w:proofErr w:type="spellStart"/>
      <w:r w:rsidRPr="00416BAA">
        <w:rPr>
          <w:lang w:val="fr-FR"/>
        </w:rPr>
        <w:t>transmuconique</w:t>
      </w:r>
      <w:proofErr w:type="spellEnd"/>
      <w:r w:rsidRPr="00416BAA">
        <w:rPr>
          <w:lang w:val="fr-FR"/>
        </w:rPr>
        <w:t xml:space="preserve">, et acide </w:t>
      </w:r>
      <w:proofErr w:type="spellStart"/>
      <w:r w:rsidRPr="00416BAA">
        <w:rPr>
          <w:lang w:val="fr-FR"/>
        </w:rPr>
        <w:t>phénylmercapturique</w:t>
      </w:r>
      <w:proofErr w:type="spellEnd"/>
      <w:r w:rsidRPr="00416BAA">
        <w:rPr>
          <w:lang w:val="fr-FR"/>
        </w:rPr>
        <w:t>.</w:t>
      </w:r>
    </w:p>
    <w:p w:rsidR="001C0AB7" w:rsidRPr="00416BAA" w:rsidRDefault="001C0AB7" w:rsidP="00417287">
      <w:pPr>
        <w:bidi w:val="0"/>
        <w:spacing w:line="360" w:lineRule="auto"/>
        <w:ind w:firstLine="567"/>
        <w:jc w:val="both"/>
        <w:rPr>
          <w:lang w:val="fr-FR"/>
        </w:rPr>
      </w:pPr>
      <w:r w:rsidRPr="00416BAA">
        <w:rPr>
          <w:lang w:val="fr-FR"/>
        </w:rPr>
        <w:t>La demi-vie d’élimination sanguine est de 15 à 20 heures.</w:t>
      </w:r>
      <w:r>
        <w:rPr>
          <w:lang w:val="fr-FR"/>
        </w:rPr>
        <w:t xml:space="preserve"> </w:t>
      </w:r>
      <w:r w:rsidRPr="00416BAA">
        <w:rPr>
          <w:lang w:val="fr-FR"/>
        </w:rPr>
        <w:t xml:space="preserve">L’élimination du benzène est principalement urinaire sous forme de phénol libre ou conjugué (30 à 80 %), d’hydroquinone (10 %), de catéchol (1,6%), d’acide </w:t>
      </w:r>
      <w:proofErr w:type="spellStart"/>
      <w:r w:rsidRPr="00416BAA">
        <w:rPr>
          <w:lang w:val="fr-FR"/>
        </w:rPr>
        <w:t>trans</w:t>
      </w:r>
      <w:proofErr w:type="spellEnd"/>
      <w:r w:rsidRPr="00416BAA">
        <w:rPr>
          <w:lang w:val="fr-FR"/>
        </w:rPr>
        <w:t>-</w:t>
      </w:r>
      <w:proofErr w:type="spellStart"/>
      <w:r w:rsidRPr="00416BAA">
        <w:rPr>
          <w:lang w:val="fr-FR"/>
        </w:rPr>
        <w:t>transmuconique</w:t>
      </w:r>
      <w:proofErr w:type="spellEnd"/>
      <w:r w:rsidRPr="00416BAA">
        <w:rPr>
          <w:lang w:val="fr-FR"/>
        </w:rPr>
        <w:t xml:space="preserve"> (2%) et d’acide </w:t>
      </w:r>
      <w:proofErr w:type="spellStart"/>
      <w:r w:rsidRPr="00416BAA">
        <w:rPr>
          <w:lang w:val="fr-FR"/>
        </w:rPr>
        <w:t>phényl</w:t>
      </w:r>
      <w:proofErr w:type="spellEnd"/>
      <w:r w:rsidRPr="00416BAA">
        <w:rPr>
          <w:lang w:val="fr-FR"/>
        </w:rPr>
        <w:t>-</w:t>
      </w:r>
      <w:proofErr w:type="spellStart"/>
      <w:r w:rsidRPr="00416BAA">
        <w:rPr>
          <w:lang w:val="fr-FR"/>
        </w:rPr>
        <w:t>mercapturique</w:t>
      </w:r>
      <w:proofErr w:type="spellEnd"/>
      <w:r w:rsidRPr="00416BAA">
        <w:rPr>
          <w:lang w:val="fr-FR"/>
        </w:rPr>
        <w:t xml:space="preserve"> (&lt;1%).</w:t>
      </w:r>
      <w:r>
        <w:rPr>
          <w:lang w:val="fr-FR"/>
        </w:rPr>
        <w:t xml:space="preserve"> </w:t>
      </w:r>
      <w:r w:rsidRPr="00416BAA">
        <w:rPr>
          <w:lang w:val="fr-FR"/>
        </w:rPr>
        <w:t>10 à 20% du benzène absorbé sont éliminés dans l’air expiré sous forme inchangée.</w:t>
      </w:r>
    </w:p>
    <w:p w:rsidR="001C0AB7" w:rsidRPr="00416BAA" w:rsidRDefault="001C0AB7" w:rsidP="00417287">
      <w:pPr>
        <w:bidi w:val="0"/>
        <w:spacing w:line="360" w:lineRule="auto"/>
        <w:ind w:firstLine="567"/>
        <w:jc w:val="both"/>
        <w:rPr>
          <w:lang w:val="fr-FR"/>
        </w:rPr>
      </w:pPr>
      <w:r w:rsidRPr="00416BAA">
        <w:rPr>
          <w:lang w:val="fr-FR"/>
        </w:rPr>
        <w:t>L’intoxication aigu</w:t>
      </w:r>
      <w:r>
        <w:rPr>
          <w:lang w:val="fr-FR"/>
        </w:rPr>
        <w:t>e</w:t>
      </w:r>
      <w:r w:rsidRPr="00416BAA">
        <w:rPr>
          <w:lang w:val="fr-FR"/>
        </w:rPr>
        <w:t xml:space="preserve"> se manifeste par une dépression du système nerveux central et une pneumopathie d’inhalation en cas d’ingestion.</w:t>
      </w:r>
      <w:r>
        <w:rPr>
          <w:lang w:val="fr-FR"/>
        </w:rPr>
        <w:t xml:space="preserve"> </w:t>
      </w:r>
      <w:r w:rsidRPr="00416BAA">
        <w:rPr>
          <w:lang w:val="fr-FR"/>
        </w:rPr>
        <w:t xml:space="preserve">Comme tous les autres solvants, le benzène peut être à l’origine d’un syndrome psycho-organique, de troubles digestifs, et par contact prolongé d’une irritation </w:t>
      </w:r>
      <w:proofErr w:type="spellStart"/>
      <w:r w:rsidRPr="00416BAA">
        <w:rPr>
          <w:lang w:val="fr-FR"/>
        </w:rPr>
        <w:t>cutanéo</w:t>
      </w:r>
      <w:proofErr w:type="spellEnd"/>
      <w:r w:rsidRPr="00416BAA">
        <w:rPr>
          <w:lang w:val="fr-FR"/>
        </w:rPr>
        <w:t>-muqueuse.</w:t>
      </w:r>
    </w:p>
    <w:p w:rsidR="001C0AB7" w:rsidRPr="00416BAA" w:rsidRDefault="001C0AB7" w:rsidP="00417287">
      <w:pPr>
        <w:bidi w:val="0"/>
        <w:spacing w:line="360" w:lineRule="auto"/>
        <w:ind w:firstLine="567"/>
        <w:jc w:val="both"/>
        <w:rPr>
          <w:lang w:val="fr-FR"/>
        </w:rPr>
      </w:pPr>
      <w:r w:rsidRPr="00416BAA">
        <w:rPr>
          <w:lang w:val="fr-FR"/>
        </w:rPr>
        <w:t xml:space="preserve">Spécifiquement, le benzène est </w:t>
      </w:r>
      <w:proofErr w:type="spellStart"/>
      <w:r w:rsidRPr="00416BAA">
        <w:rPr>
          <w:lang w:val="fr-FR"/>
        </w:rPr>
        <w:t>hématotoxique</w:t>
      </w:r>
      <w:proofErr w:type="spellEnd"/>
      <w:r w:rsidRPr="00416BAA">
        <w:rPr>
          <w:lang w:val="fr-FR"/>
        </w:rPr>
        <w:t xml:space="preserve"> dont les manifestations peuvent revêtir des aspects très polymorphes et désignés sous le nom de benzolisme ou benzénisme:</w:t>
      </w:r>
    </w:p>
    <w:p w:rsidR="001C0AB7" w:rsidRPr="00416BAA" w:rsidRDefault="001C0AB7" w:rsidP="00417287">
      <w:pPr>
        <w:bidi w:val="0"/>
        <w:spacing w:line="360" w:lineRule="auto"/>
        <w:jc w:val="both"/>
        <w:rPr>
          <w:lang w:val="fr-FR"/>
        </w:rPr>
      </w:pPr>
      <w:r w:rsidRPr="00CB28B5">
        <w:rPr>
          <w:b/>
          <w:bCs/>
          <w:lang w:val="fr-FR"/>
        </w:rPr>
        <w:t>- Dépression médullaire</w:t>
      </w:r>
      <w:r w:rsidRPr="00416BAA">
        <w:rPr>
          <w:lang w:val="fr-FR"/>
        </w:rPr>
        <w:t xml:space="preserve">: le risque est dose-dépendant pour des concentrations supérieures à 20 ppm. Toutes les lignées peuvent être atteintes isolément ou simultanément, l’atteinte étant parfois annoncée par une thrombopénie ou une leucopénie. Ces anomalies sont généralement </w:t>
      </w:r>
      <w:r w:rsidRPr="00416BAA">
        <w:rPr>
          <w:lang w:val="fr-FR"/>
        </w:rPr>
        <w:lastRenderedPageBreak/>
        <w:t>réversibles lorsque l’éviction est précoce.</w:t>
      </w:r>
      <w:r>
        <w:rPr>
          <w:lang w:val="fr-FR"/>
        </w:rPr>
        <w:t xml:space="preserve"> </w:t>
      </w:r>
      <w:r w:rsidRPr="00416BAA">
        <w:rPr>
          <w:lang w:val="fr-FR"/>
        </w:rPr>
        <w:t>Son délai d’apparition varie de quelques mois à plusieurs dizaines d’années après le début de l’exposition.</w:t>
      </w:r>
      <w:r>
        <w:rPr>
          <w:lang w:val="fr-FR"/>
        </w:rPr>
        <w:t xml:space="preserve"> </w:t>
      </w:r>
    </w:p>
    <w:p w:rsidR="001C0AB7" w:rsidRPr="00416BAA" w:rsidRDefault="001C0AB7" w:rsidP="00417287">
      <w:pPr>
        <w:bidi w:val="0"/>
        <w:spacing w:line="360" w:lineRule="auto"/>
        <w:jc w:val="both"/>
        <w:rPr>
          <w:lang w:val="fr-FR"/>
        </w:rPr>
      </w:pPr>
      <w:r w:rsidRPr="00CB28B5">
        <w:rPr>
          <w:b/>
          <w:bCs/>
          <w:lang w:val="fr-FR"/>
        </w:rPr>
        <w:t>- Hémopathies malignes:</w:t>
      </w:r>
      <w:r w:rsidRPr="00416BAA">
        <w:rPr>
          <w:lang w:val="fr-FR"/>
        </w:rPr>
        <w:t xml:space="preserve"> le pouvoir </w:t>
      </w:r>
      <w:proofErr w:type="spellStart"/>
      <w:r w:rsidRPr="00416BAA">
        <w:rPr>
          <w:lang w:val="fr-FR"/>
        </w:rPr>
        <w:t>leucémogène</w:t>
      </w:r>
      <w:proofErr w:type="spellEnd"/>
      <w:r w:rsidRPr="00416BAA">
        <w:rPr>
          <w:lang w:val="fr-FR"/>
        </w:rPr>
        <w:t xml:space="preserve"> du benzène a été démontré pour des expositions supérieures à 10 ppm mais il ne peut être exclu pour des expositions plus faibles. Il a été mis en évidence une relation de cause à effet entre l’exposition en ppm par mois et l’incidence des leucémies (risque majeur au delà de 200 ppm/années). Il apparaît néanmoins établi que les concentrations inférieures à </w:t>
      </w:r>
      <w:r>
        <w:rPr>
          <w:lang w:val="fr-FR"/>
        </w:rPr>
        <w:t>1</w:t>
      </w:r>
      <w:r w:rsidRPr="00416BAA">
        <w:rPr>
          <w:lang w:val="fr-FR"/>
        </w:rPr>
        <w:t xml:space="preserve"> ppm n’augmentent pas significativement le risque de leucémie.</w:t>
      </w:r>
    </w:p>
    <w:p w:rsidR="005F04FB" w:rsidRDefault="001C0AB7" w:rsidP="005F04FB">
      <w:pPr>
        <w:bidi w:val="0"/>
        <w:spacing w:line="360" w:lineRule="auto"/>
        <w:ind w:firstLine="567"/>
        <w:jc w:val="both"/>
        <w:rPr>
          <w:lang w:val="fr-FR"/>
        </w:rPr>
      </w:pPr>
      <w:r w:rsidRPr="00416BAA">
        <w:rPr>
          <w:lang w:val="fr-FR"/>
        </w:rPr>
        <w:t>La leucémie aigué myéloïde (et ses variantes) est</w:t>
      </w:r>
      <w:r>
        <w:rPr>
          <w:lang w:val="fr-FR"/>
        </w:rPr>
        <w:t xml:space="preserve"> la</w:t>
      </w:r>
      <w:r w:rsidRPr="00416BAA">
        <w:rPr>
          <w:lang w:val="fr-FR"/>
        </w:rPr>
        <w:t xml:space="preserve"> seule leucose pour laquelle la relation avec une exposition au benzène n’a pas été remise en cause. Certaines études suggèrent une relation entre exposition au benzène et: leucémie myéloïde chronique, leucémie lymphoïde chronique, maladie de Hodgkin, </w:t>
      </w:r>
      <w:r>
        <w:rPr>
          <w:lang w:val="fr-FR"/>
        </w:rPr>
        <w:t>l</w:t>
      </w:r>
      <w:r w:rsidRPr="00416BAA">
        <w:rPr>
          <w:lang w:val="fr-FR"/>
        </w:rPr>
        <w:t xml:space="preserve">ymphomes non </w:t>
      </w:r>
      <w:r>
        <w:rPr>
          <w:lang w:val="fr-FR"/>
        </w:rPr>
        <w:t>Hodgkiniens et myélome multiple (Service de pathologie professionnelle, hôpital de Cochin</w:t>
      </w:r>
      <w:proofErr w:type="gramStart"/>
      <w:r>
        <w:rPr>
          <w:lang w:val="fr-FR"/>
        </w:rPr>
        <w:t>,2002</w:t>
      </w:r>
      <w:proofErr w:type="gramEnd"/>
      <w:r>
        <w:rPr>
          <w:lang w:val="fr-FR"/>
        </w:rPr>
        <w:t>) .</w:t>
      </w:r>
    </w:p>
    <w:p w:rsidR="005F04FB" w:rsidRDefault="001C0AB7" w:rsidP="005F04FB">
      <w:pPr>
        <w:pStyle w:val="Default"/>
        <w:spacing w:before="360" w:after="240" w:line="360" w:lineRule="auto"/>
        <w:rPr>
          <w:rFonts w:ascii="Times New Roman" w:hAnsi="Times New Roman" w:cs="Times New Roman"/>
        </w:rPr>
      </w:pPr>
      <w:r w:rsidRPr="008D07B1">
        <w:rPr>
          <w:rFonts w:ascii="Times New Roman" w:hAnsi="Times New Roman" w:cs="Times New Roman"/>
          <w:b/>
          <w:bCs/>
        </w:rPr>
        <w:t xml:space="preserve">Auto-immunité pathologique </w:t>
      </w:r>
    </w:p>
    <w:p w:rsidR="005F04FB" w:rsidRDefault="005F04FB" w:rsidP="005F04FB">
      <w:pPr>
        <w:bidi w:val="0"/>
        <w:spacing w:line="360" w:lineRule="auto"/>
        <w:ind w:firstLine="567"/>
        <w:jc w:val="both"/>
        <w:rPr>
          <w:lang w:val="fr-FR"/>
        </w:rPr>
      </w:pPr>
      <w:r>
        <w:t xml:space="preserve">      </w:t>
      </w:r>
      <w:r w:rsidR="001C0AB7">
        <w:t xml:space="preserve">Malgré le fait que </w:t>
      </w:r>
      <w:r w:rsidR="001C0AB7" w:rsidRPr="008D07B1">
        <w:t xml:space="preserve">l’auto-immunité </w:t>
      </w:r>
      <w:r w:rsidR="001C0AB7">
        <w:t>soit un mécanisme</w:t>
      </w:r>
      <w:r w:rsidR="001C0AB7" w:rsidRPr="008D07B1">
        <w:t xml:space="preserve"> physiologique</w:t>
      </w:r>
      <w:r w:rsidR="001C0AB7">
        <w:t xml:space="preserve">, </w:t>
      </w:r>
      <w:r w:rsidR="001C0AB7" w:rsidRPr="008D07B1">
        <w:t xml:space="preserve">le système de régulation de cette auto-immunité peut être défaillant. </w:t>
      </w:r>
      <w:r w:rsidR="001C0AB7">
        <w:t>Ceci induit l’a</w:t>
      </w:r>
      <w:r w:rsidR="001C0AB7" w:rsidRPr="008D07B1">
        <w:t>ppariti</w:t>
      </w:r>
      <w:r w:rsidR="001C0AB7">
        <w:t>on d’</w:t>
      </w:r>
      <w:r w:rsidR="001C0AB7" w:rsidRPr="008D07B1">
        <w:t xml:space="preserve">une auto-immunité pathologique, auto-agressive, qui va aboutir au déclenchement d’une maladie auto-immune, soit par la prolifération de lymphocytes B auto-agressifs, soit par la prolifération de lymphocytes T auto-agressifs de forte affinité. </w:t>
      </w:r>
      <w:r w:rsidR="001C0AB7" w:rsidRPr="005F04FB">
        <w:rPr>
          <w:lang w:val="fr-FR"/>
        </w:rPr>
        <w:t xml:space="preserve">Les maladies auto-immunes dépendent de facteurs </w:t>
      </w:r>
      <w:proofErr w:type="spellStart"/>
      <w:r w:rsidR="001C0AB7" w:rsidRPr="005F04FB">
        <w:rPr>
          <w:lang w:val="fr-FR"/>
        </w:rPr>
        <w:t>immuno-génétiques</w:t>
      </w:r>
      <w:proofErr w:type="spellEnd"/>
      <w:r w:rsidR="001C0AB7" w:rsidRPr="005F04FB">
        <w:rPr>
          <w:lang w:val="fr-FR"/>
        </w:rPr>
        <w:t xml:space="preserve"> et de facteurs d’environnement</w:t>
      </w:r>
      <w:r>
        <w:rPr>
          <w:lang w:val="fr-FR"/>
        </w:rPr>
        <w:t>. (Service de pathologie professionnelle, hôpital de Cochin, 2002).</w:t>
      </w:r>
      <w:r w:rsidR="001C0AB7" w:rsidRPr="005F04FB">
        <w:rPr>
          <w:lang w:val="fr-FR"/>
        </w:rPr>
        <w:t xml:space="preserve"> </w:t>
      </w:r>
    </w:p>
    <w:p w:rsidR="001C0AB7" w:rsidRPr="005F04FB" w:rsidRDefault="001C0AB7" w:rsidP="005F04FB">
      <w:pPr>
        <w:bidi w:val="0"/>
        <w:spacing w:line="360" w:lineRule="auto"/>
        <w:jc w:val="both"/>
        <w:rPr>
          <w:lang w:val="fr-FR"/>
        </w:rPr>
      </w:pPr>
      <w:proofErr w:type="spellStart"/>
      <w:r w:rsidRPr="008D07B1">
        <w:rPr>
          <w:b/>
          <w:bCs/>
          <w:i/>
          <w:iCs/>
        </w:rPr>
        <w:t>Rôle</w:t>
      </w:r>
      <w:proofErr w:type="spellEnd"/>
      <w:r w:rsidRPr="008D07B1">
        <w:rPr>
          <w:b/>
          <w:bCs/>
          <w:i/>
          <w:iCs/>
        </w:rPr>
        <w:t xml:space="preserve"> du terrain </w:t>
      </w:r>
      <w:proofErr w:type="spellStart"/>
      <w:r w:rsidRPr="008D07B1">
        <w:rPr>
          <w:b/>
          <w:bCs/>
          <w:i/>
          <w:iCs/>
        </w:rPr>
        <w:t>immunogénétique</w:t>
      </w:r>
      <w:proofErr w:type="spellEnd"/>
      <w:r w:rsidRPr="008D07B1">
        <w:rPr>
          <w:b/>
          <w:bCs/>
          <w:i/>
          <w:iCs/>
        </w:rPr>
        <w:t xml:space="preserve"> </w:t>
      </w:r>
    </w:p>
    <w:p w:rsidR="00417287" w:rsidRPr="005F04FB" w:rsidRDefault="001C0AB7" w:rsidP="005F04FB">
      <w:pPr>
        <w:pStyle w:val="Default"/>
        <w:spacing w:after="60" w:line="360" w:lineRule="auto"/>
        <w:ind w:firstLine="567"/>
        <w:jc w:val="both"/>
        <w:rPr>
          <w:rFonts w:ascii="Times New Roman" w:hAnsi="Times New Roman" w:cs="Times New Roman"/>
        </w:rPr>
      </w:pPr>
      <w:r w:rsidRPr="008D07B1">
        <w:rPr>
          <w:rFonts w:ascii="Times New Roman" w:hAnsi="Times New Roman" w:cs="Times New Roman"/>
        </w:rPr>
        <w:t xml:space="preserve">Le terrain immunogénétique est fondamental comme le suggère le caractère familial fréquent des maladies auto-immunes. Il ne s’agit pas d’affections </w:t>
      </w:r>
      <w:proofErr w:type="spellStart"/>
      <w:r w:rsidRPr="008D07B1">
        <w:rPr>
          <w:rFonts w:ascii="Times New Roman" w:hAnsi="Times New Roman" w:cs="Times New Roman"/>
        </w:rPr>
        <w:t>monogéniques</w:t>
      </w:r>
      <w:proofErr w:type="spellEnd"/>
      <w:r w:rsidRPr="008D07B1">
        <w:rPr>
          <w:rFonts w:ascii="Times New Roman" w:hAnsi="Times New Roman" w:cs="Times New Roman"/>
        </w:rPr>
        <w:t xml:space="preserve"> et différents gènes sont candidats : gènes du système HLA, gènes de la fraction du complément, gènes de cytokines. </w:t>
      </w:r>
    </w:p>
    <w:p w:rsidR="001C0AB7" w:rsidRPr="008D07B1" w:rsidRDefault="001C0AB7" w:rsidP="00417287">
      <w:pPr>
        <w:pStyle w:val="Default"/>
        <w:spacing w:before="360" w:after="240" w:line="360" w:lineRule="auto"/>
        <w:jc w:val="both"/>
        <w:rPr>
          <w:rFonts w:ascii="Times New Roman" w:hAnsi="Times New Roman" w:cs="Times New Roman"/>
        </w:rPr>
      </w:pPr>
      <w:r w:rsidRPr="008D07B1">
        <w:rPr>
          <w:rFonts w:ascii="Times New Roman" w:hAnsi="Times New Roman" w:cs="Times New Roman"/>
          <w:b/>
          <w:bCs/>
          <w:i/>
          <w:iCs/>
        </w:rPr>
        <w:t xml:space="preserve">Rôle des facteurs d’environnement </w:t>
      </w:r>
    </w:p>
    <w:p w:rsidR="001C0AB7" w:rsidRDefault="001C0AB7" w:rsidP="00417287">
      <w:pPr>
        <w:pStyle w:val="Default"/>
        <w:spacing w:after="60" w:line="360" w:lineRule="auto"/>
        <w:ind w:firstLine="567"/>
        <w:jc w:val="both"/>
        <w:rPr>
          <w:rFonts w:ascii="Times New Roman" w:hAnsi="Times New Roman" w:cs="Times New Roman"/>
        </w:rPr>
      </w:pPr>
      <w:r w:rsidRPr="008D07B1">
        <w:rPr>
          <w:rFonts w:ascii="Times New Roman" w:hAnsi="Times New Roman" w:cs="Times New Roman"/>
        </w:rPr>
        <w:t xml:space="preserve">De nombreux </w:t>
      </w:r>
      <w:r w:rsidRPr="008D07B1">
        <w:rPr>
          <w:rFonts w:ascii="Times New Roman" w:hAnsi="Times New Roman" w:cs="Times New Roman"/>
          <w:b/>
          <w:bCs/>
        </w:rPr>
        <w:t xml:space="preserve">facteurs exogènes </w:t>
      </w:r>
      <w:r w:rsidRPr="008D07B1">
        <w:rPr>
          <w:rFonts w:ascii="Times New Roman" w:hAnsi="Times New Roman" w:cs="Times New Roman"/>
        </w:rPr>
        <w:t>interviennent à coté des facteurs génétiques : agents infectieux (en particulier les virus), agents toxiques</w:t>
      </w:r>
      <w:r>
        <w:rPr>
          <w:rFonts w:ascii="Times New Roman" w:hAnsi="Times New Roman" w:cs="Times New Roman"/>
        </w:rPr>
        <w:t xml:space="preserve"> (</w:t>
      </w:r>
      <w:r w:rsidRPr="008D07B1">
        <w:rPr>
          <w:rFonts w:ascii="Times New Roman" w:hAnsi="Times New Roman" w:cs="Times New Roman"/>
        </w:rPr>
        <w:t>médicaments</w:t>
      </w:r>
      <w:r>
        <w:rPr>
          <w:rFonts w:ascii="Times New Roman" w:hAnsi="Times New Roman" w:cs="Times New Roman"/>
        </w:rPr>
        <w:t>)</w:t>
      </w:r>
      <w:r w:rsidRPr="008D07B1">
        <w:rPr>
          <w:rFonts w:ascii="Times New Roman" w:hAnsi="Times New Roman" w:cs="Times New Roman"/>
        </w:rPr>
        <w:t>. Ces agents peuvent mimer des antigènes du soi (mimétisme moléculaire) ou modifier la réponse immunitaire de l’individu.</w:t>
      </w:r>
    </w:p>
    <w:p w:rsidR="001C0AB7" w:rsidRPr="008B41D3" w:rsidRDefault="001C0AB7" w:rsidP="00417287">
      <w:pPr>
        <w:pStyle w:val="Default"/>
        <w:spacing w:line="360" w:lineRule="auto"/>
        <w:ind w:firstLine="567"/>
        <w:jc w:val="both"/>
        <w:rPr>
          <w:rFonts w:ascii="Times New Roman" w:hAnsi="Times New Roman" w:cs="Times New Roman"/>
        </w:rPr>
      </w:pPr>
      <w:r>
        <w:rPr>
          <w:rFonts w:ascii="Times New Roman" w:hAnsi="Times New Roman" w:cs="Times New Roman"/>
        </w:rPr>
        <w:lastRenderedPageBreak/>
        <w:t xml:space="preserve">En effet, certains types de médicaments peuvent induire des </w:t>
      </w:r>
      <w:proofErr w:type="spellStart"/>
      <w:r>
        <w:rPr>
          <w:rFonts w:ascii="Times New Roman" w:hAnsi="Times New Roman" w:cs="Times New Roman"/>
        </w:rPr>
        <w:t>autoanticorps</w:t>
      </w:r>
      <w:proofErr w:type="spellEnd"/>
      <w:r>
        <w:rPr>
          <w:rFonts w:ascii="Times New Roman" w:hAnsi="Times New Roman" w:cs="Times New Roman"/>
        </w:rPr>
        <w:t xml:space="preserve"> responsables des phénomènes d’auto-immunité tel est le cas par exemple</w:t>
      </w:r>
      <w:r w:rsidRPr="008B41D3">
        <w:rPr>
          <w:rFonts w:ascii="Times New Roman" w:hAnsi="Times New Roman" w:cs="Times New Roman"/>
          <w:sz w:val="23"/>
          <w:szCs w:val="23"/>
        </w:rPr>
        <w:t xml:space="preserve">: des β-bloquants, des </w:t>
      </w:r>
      <w:proofErr w:type="spellStart"/>
      <w:r w:rsidRPr="008B41D3">
        <w:rPr>
          <w:rFonts w:ascii="Times New Roman" w:hAnsi="Times New Roman" w:cs="Times New Roman"/>
          <w:sz w:val="23"/>
          <w:szCs w:val="23"/>
        </w:rPr>
        <w:t>anti-épileptiques</w:t>
      </w:r>
      <w:proofErr w:type="spellEnd"/>
      <w:r w:rsidRPr="008B41D3">
        <w:rPr>
          <w:rFonts w:ascii="Times New Roman" w:hAnsi="Times New Roman" w:cs="Times New Roman"/>
          <w:sz w:val="23"/>
          <w:szCs w:val="23"/>
        </w:rPr>
        <w:t xml:space="preserve"> et des </w:t>
      </w:r>
      <w:proofErr w:type="spellStart"/>
      <w:r w:rsidRPr="008B41D3">
        <w:rPr>
          <w:rFonts w:ascii="Times New Roman" w:hAnsi="Times New Roman" w:cs="Times New Roman"/>
          <w:sz w:val="23"/>
          <w:szCs w:val="23"/>
        </w:rPr>
        <w:t>anti-hypertenseurs</w:t>
      </w:r>
      <w:proofErr w:type="spellEnd"/>
      <w:r>
        <w:rPr>
          <w:rFonts w:ascii="Times New Roman" w:hAnsi="Times New Roman" w:cs="Times New Roman"/>
          <w:sz w:val="23"/>
          <w:szCs w:val="23"/>
        </w:rPr>
        <w:t>. C</w:t>
      </w:r>
      <w:r w:rsidRPr="008B41D3">
        <w:rPr>
          <w:rFonts w:ascii="Times New Roman" w:hAnsi="Times New Roman" w:cs="Times New Roman"/>
          <w:sz w:val="23"/>
          <w:szCs w:val="23"/>
        </w:rPr>
        <w:t xml:space="preserve">es auto-anticorps </w:t>
      </w:r>
      <w:r>
        <w:rPr>
          <w:rFonts w:ascii="Times New Roman" w:hAnsi="Times New Roman" w:cs="Times New Roman"/>
          <w:sz w:val="23"/>
          <w:szCs w:val="23"/>
        </w:rPr>
        <w:t>peuvent cibler plusieurs sites dans l’organisme notamment les GR. C’est les cas de l’</w:t>
      </w:r>
      <w:r>
        <w:rPr>
          <w:rFonts w:ascii="Times New Roman" w:hAnsi="Times New Roman" w:cs="Times New Roman"/>
        </w:rPr>
        <w:t>α-</w:t>
      </w:r>
      <w:proofErr w:type="spellStart"/>
      <w:r>
        <w:rPr>
          <w:rFonts w:ascii="Times New Roman" w:hAnsi="Times New Roman" w:cs="Times New Roman"/>
        </w:rPr>
        <w:t>méthyl</w:t>
      </w:r>
      <w:proofErr w:type="spellEnd"/>
      <w:r>
        <w:rPr>
          <w:rFonts w:ascii="Times New Roman" w:hAnsi="Times New Roman" w:cs="Times New Roman"/>
        </w:rPr>
        <w:t xml:space="preserve"> Dopa, un médicament qui est capable  d’altérer la membrane des GR conduisant à la synthèse d’anticorps anti GR de spécificité </w:t>
      </w:r>
      <w:proofErr w:type="spellStart"/>
      <w:r>
        <w:rPr>
          <w:rFonts w:ascii="Times New Roman" w:hAnsi="Times New Roman" w:cs="Times New Roman"/>
        </w:rPr>
        <w:t>IgG</w:t>
      </w:r>
      <w:proofErr w:type="spellEnd"/>
      <w:r>
        <w:rPr>
          <w:rFonts w:ascii="Times New Roman" w:hAnsi="Times New Roman" w:cs="Times New Roman"/>
        </w:rPr>
        <w:t xml:space="preserve"> entraînant la destruction du GR et produisant ainsi une anémie.</w:t>
      </w:r>
    </w:p>
    <w:sectPr w:rsidR="001C0AB7" w:rsidRPr="008B41D3" w:rsidSect="00450110">
      <w:headerReference w:type="default" r:id="rId15"/>
      <w:pgSz w:w="11906" w:h="16838" w:code="9"/>
      <w:pgMar w:top="1418" w:right="1418" w:bottom="1418" w:left="1418" w:header="709" w:footer="709" w:gutter="0"/>
      <w:pgNumType w:start="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0AB7" w:rsidRDefault="001C0AB7" w:rsidP="00342D8C">
      <w:r>
        <w:separator/>
      </w:r>
    </w:p>
  </w:endnote>
  <w:endnote w:type="continuationSeparator" w:id="1">
    <w:p w:rsidR="001C0AB7" w:rsidRDefault="001C0AB7" w:rsidP="00342D8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omicSansMS">
    <w:altName w:val="Arial"/>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A1"/>
    <w:family w:val="auto"/>
    <w:notTrueType/>
    <w:pitch w:val="default"/>
    <w:sig w:usb0="00000081" w:usb1="00000000" w:usb2="00000000" w:usb3="00000000" w:csb0="00000008"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0AB7" w:rsidRDefault="001C0AB7" w:rsidP="00342D8C">
      <w:r>
        <w:separator/>
      </w:r>
    </w:p>
  </w:footnote>
  <w:footnote w:type="continuationSeparator" w:id="1">
    <w:p w:rsidR="001C0AB7" w:rsidRDefault="001C0AB7" w:rsidP="00342D8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0AB7" w:rsidRDefault="0049531A" w:rsidP="005371A5">
    <w:pPr>
      <w:pStyle w:val="En-tte"/>
      <w:framePr w:wrap="auto" w:vAnchor="text" w:hAnchor="margin" w:xAlign="right" w:y="1"/>
      <w:rPr>
        <w:rStyle w:val="Numrodepage"/>
      </w:rPr>
    </w:pPr>
    <w:r>
      <w:rPr>
        <w:rStyle w:val="Numrodepage"/>
      </w:rPr>
      <w:fldChar w:fldCharType="begin"/>
    </w:r>
    <w:r w:rsidR="001C0AB7">
      <w:rPr>
        <w:rStyle w:val="Numrodepage"/>
      </w:rPr>
      <w:instrText xml:space="preserve">PAGE  </w:instrText>
    </w:r>
    <w:r>
      <w:rPr>
        <w:rStyle w:val="Numrodepage"/>
      </w:rPr>
      <w:fldChar w:fldCharType="separate"/>
    </w:r>
    <w:r w:rsidR="005F04FB">
      <w:rPr>
        <w:rStyle w:val="Numrodepage"/>
        <w:noProof/>
        <w:rtl/>
      </w:rPr>
      <w:t>14</w:t>
    </w:r>
    <w:r>
      <w:rPr>
        <w:rStyle w:val="Numrodepage"/>
      </w:rPr>
      <w:fldChar w:fldCharType="end"/>
    </w:r>
  </w:p>
  <w:p w:rsidR="001C0AB7" w:rsidRPr="00342D8C" w:rsidRDefault="001C0AB7" w:rsidP="00450110">
    <w:pPr>
      <w:pStyle w:val="En-tte"/>
      <w:ind w:firstLine="360"/>
      <w:jc w:val="right"/>
      <w:rPr>
        <w:b/>
        <w:bCs/>
        <w:lang w:val="fr-FR"/>
      </w:rPr>
    </w:pPr>
    <w:r w:rsidRPr="00342D8C">
      <w:rPr>
        <w:b/>
        <w:bCs/>
        <w:i/>
        <w:iCs/>
        <w:lang w:val="fr-FR" w:bidi="ar-DZ"/>
      </w:rPr>
      <w:t>Sang et toxicité hématologique</w:t>
    </w:r>
  </w:p>
  <w:p w:rsidR="001C0AB7" w:rsidRPr="00342D8C" w:rsidRDefault="0049531A" w:rsidP="00CF3CFF">
    <w:pPr>
      <w:pStyle w:val="En-tte"/>
      <w:tabs>
        <w:tab w:val="clear" w:pos="4536"/>
        <w:tab w:val="clear" w:pos="9072"/>
        <w:tab w:val="left" w:pos="6730"/>
      </w:tabs>
      <w:rPr>
        <w:lang w:val="fr-FR"/>
      </w:rPr>
    </w:pPr>
    <w:r w:rsidRPr="0049531A">
      <w:rPr>
        <w:noProof/>
      </w:rPr>
      <w:pict>
        <v:line id="_x0000_s2049" style="position:absolute;left:0;text-align:left;z-index:251660288" from="-.05pt,11.1pt" to="458.95pt,11.1pt" strokeweight="6pt">
          <v:stroke linestyle="thickBetweenThin"/>
        </v:line>
      </w:pict>
    </w:r>
    <w:r w:rsidR="001C0AB7">
      <w:rPr>
        <w:rtl/>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3669D5"/>
    <w:multiLevelType w:val="hybridMultilevel"/>
    <w:tmpl w:val="87100500"/>
    <w:lvl w:ilvl="0" w:tplc="040C000B">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efaultTabStop w:val="708"/>
  <w:hyphenationZone w:val="425"/>
  <w:doNotHyphenateCaps/>
  <w:characterSpacingControl w:val="doNotCompress"/>
  <w:doNotValidateAgainstSchema/>
  <w:doNotDemarcateInvalidXml/>
  <w:hdrShapeDefaults>
    <o:shapedefaults v:ext="edit" spidmax="2050"/>
    <o:shapelayout v:ext="edit">
      <o:idmap v:ext="edit" data="2"/>
    </o:shapelayout>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42D8C"/>
    <w:rsid w:val="00004E1F"/>
    <w:rsid w:val="00032045"/>
    <w:rsid w:val="00060A7E"/>
    <w:rsid w:val="000C2496"/>
    <w:rsid w:val="000D2F2C"/>
    <w:rsid w:val="000D6BB3"/>
    <w:rsid w:val="000E33E0"/>
    <w:rsid w:val="000E7303"/>
    <w:rsid w:val="000F1DF9"/>
    <w:rsid w:val="00101B01"/>
    <w:rsid w:val="00116119"/>
    <w:rsid w:val="00123ED4"/>
    <w:rsid w:val="00150E49"/>
    <w:rsid w:val="00190A86"/>
    <w:rsid w:val="001B038B"/>
    <w:rsid w:val="001B6BEF"/>
    <w:rsid w:val="001C0AB7"/>
    <w:rsid w:val="001D3F76"/>
    <w:rsid w:val="001F375F"/>
    <w:rsid w:val="00207EB0"/>
    <w:rsid w:val="00210E97"/>
    <w:rsid w:val="00217AF8"/>
    <w:rsid w:val="002300A8"/>
    <w:rsid w:val="00235A53"/>
    <w:rsid w:val="00247987"/>
    <w:rsid w:val="002B0E80"/>
    <w:rsid w:val="002B521E"/>
    <w:rsid w:val="002C55F9"/>
    <w:rsid w:val="002C5679"/>
    <w:rsid w:val="002E24F2"/>
    <w:rsid w:val="003268FA"/>
    <w:rsid w:val="00334BC5"/>
    <w:rsid w:val="00342D8C"/>
    <w:rsid w:val="0034402A"/>
    <w:rsid w:val="003777A4"/>
    <w:rsid w:val="0039631C"/>
    <w:rsid w:val="003B450D"/>
    <w:rsid w:val="003D5B17"/>
    <w:rsid w:val="003E54C5"/>
    <w:rsid w:val="00402334"/>
    <w:rsid w:val="004146CB"/>
    <w:rsid w:val="00416BAA"/>
    <w:rsid w:val="00417287"/>
    <w:rsid w:val="0041750C"/>
    <w:rsid w:val="00450110"/>
    <w:rsid w:val="00492488"/>
    <w:rsid w:val="00492EA9"/>
    <w:rsid w:val="0049531A"/>
    <w:rsid w:val="004A48B7"/>
    <w:rsid w:val="004B060E"/>
    <w:rsid w:val="004C1985"/>
    <w:rsid w:val="00513196"/>
    <w:rsid w:val="00533A7E"/>
    <w:rsid w:val="005371A5"/>
    <w:rsid w:val="005464CE"/>
    <w:rsid w:val="00561171"/>
    <w:rsid w:val="00591421"/>
    <w:rsid w:val="005A11F3"/>
    <w:rsid w:val="005B297B"/>
    <w:rsid w:val="005E446E"/>
    <w:rsid w:val="005F04FB"/>
    <w:rsid w:val="00603D4D"/>
    <w:rsid w:val="00604A5F"/>
    <w:rsid w:val="006070F5"/>
    <w:rsid w:val="00630853"/>
    <w:rsid w:val="0063246E"/>
    <w:rsid w:val="006328BA"/>
    <w:rsid w:val="00634FB4"/>
    <w:rsid w:val="00637174"/>
    <w:rsid w:val="00693E26"/>
    <w:rsid w:val="00694886"/>
    <w:rsid w:val="006A20BF"/>
    <w:rsid w:val="006A6007"/>
    <w:rsid w:val="006A70B4"/>
    <w:rsid w:val="006D3C74"/>
    <w:rsid w:val="006F6CCE"/>
    <w:rsid w:val="007119A6"/>
    <w:rsid w:val="00727005"/>
    <w:rsid w:val="00741B37"/>
    <w:rsid w:val="00745014"/>
    <w:rsid w:val="00746EC2"/>
    <w:rsid w:val="00774EC2"/>
    <w:rsid w:val="007C2184"/>
    <w:rsid w:val="007E2378"/>
    <w:rsid w:val="007E3B8B"/>
    <w:rsid w:val="007F6BB6"/>
    <w:rsid w:val="0081612E"/>
    <w:rsid w:val="00836318"/>
    <w:rsid w:val="00853CD7"/>
    <w:rsid w:val="00857505"/>
    <w:rsid w:val="00876390"/>
    <w:rsid w:val="00881ABB"/>
    <w:rsid w:val="008A1CC4"/>
    <w:rsid w:val="008B41D3"/>
    <w:rsid w:val="008D07B1"/>
    <w:rsid w:val="008E62E0"/>
    <w:rsid w:val="009048AF"/>
    <w:rsid w:val="00904BE6"/>
    <w:rsid w:val="00907E32"/>
    <w:rsid w:val="00912AE9"/>
    <w:rsid w:val="00923EEA"/>
    <w:rsid w:val="00952103"/>
    <w:rsid w:val="00956D82"/>
    <w:rsid w:val="009733F6"/>
    <w:rsid w:val="00980739"/>
    <w:rsid w:val="00987E98"/>
    <w:rsid w:val="009B4B2D"/>
    <w:rsid w:val="009C0296"/>
    <w:rsid w:val="009E6834"/>
    <w:rsid w:val="009F1919"/>
    <w:rsid w:val="009F33F9"/>
    <w:rsid w:val="009F4FD1"/>
    <w:rsid w:val="00A021BC"/>
    <w:rsid w:val="00A03786"/>
    <w:rsid w:val="00A2187E"/>
    <w:rsid w:val="00AC3CB9"/>
    <w:rsid w:val="00AE433E"/>
    <w:rsid w:val="00AE4517"/>
    <w:rsid w:val="00AE4B09"/>
    <w:rsid w:val="00AF3747"/>
    <w:rsid w:val="00B20F71"/>
    <w:rsid w:val="00B31E14"/>
    <w:rsid w:val="00B8216E"/>
    <w:rsid w:val="00BC7952"/>
    <w:rsid w:val="00BF30FB"/>
    <w:rsid w:val="00BF6977"/>
    <w:rsid w:val="00C53A84"/>
    <w:rsid w:val="00C80935"/>
    <w:rsid w:val="00C874E3"/>
    <w:rsid w:val="00CB1F01"/>
    <w:rsid w:val="00CB28B5"/>
    <w:rsid w:val="00CE75C9"/>
    <w:rsid w:val="00CF3CFF"/>
    <w:rsid w:val="00D072D1"/>
    <w:rsid w:val="00D111CE"/>
    <w:rsid w:val="00D132AC"/>
    <w:rsid w:val="00D51623"/>
    <w:rsid w:val="00D5798F"/>
    <w:rsid w:val="00D57E15"/>
    <w:rsid w:val="00D62B69"/>
    <w:rsid w:val="00D829FD"/>
    <w:rsid w:val="00D94C46"/>
    <w:rsid w:val="00DC7CCB"/>
    <w:rsid w:val="00DD1C24"/>
    <w:rsid w:val="00DE21D4"/>
    <w:rsid w:val="00DE4163"/>
    <w:rsid w:val="00DF0128"/>
    <w:rsid w:val="00E239C6"/>
    <w:rsid w:val="00EA0591"/>
    <w:rsid w:val="00EA522E"/>
    <w:rsid w:val="00EA7A36"/>
    <w:rsid w:val="00EC2311"/>
    <w:rsid w:val="00EE0CF8"/>
    <w:rsid w:val="00EF0618"/>
    <w:rsid w:val="00F00524"/>
    <w:rsid w:val="00F040E3"/>
    <w:rsid w:val="00F04620"/>
    <w:rsid w:val="00F311F1"/>
    <w:rsid w:val="00F42D10"/>
    <w:rsid w:val="00F64536"/>
    <w:rsid w:val="00F85921"/>
    <w:rsid w:val="00F931CB"/>
    <w:rsid w:val="00F9321B"/>
    <w:rsid w:val="00FA1688"/>
    <w:rsid w:val="00FA42AC"/>
    <w:rsid w:val="00FB1844"/>
    <w:rsid w:val="00FC4202"/>
    <w:rsid w:val="00FE631C"/>
  </w:rsids>
  <m:mathPr>
    <m:mathFont m:val="Cambria Math"/>
    <m:brkBin m:val="before"/>
    <m:brkBinSub m:val="--"/>
    <m:smallFrac m:val="off"/>
    <m:dispDef/>
    <m:lMargin m:val="0"/>
    <m:rMargin m:val="0"/>
    <m:defJc m:val="centerGroup"/>
    <m:wrapIndent m:val="1440"/>
    <m:intLim m:val="subSup"/>
    <m:naryLim m:val="undOvr"/>
  </m:mathPr>
  <w:uiCompat97To2003/>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2D8C"/>
    <w:pPr>
      <w:bidi/>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342D8C"/>
    <w:pPr>
      <w:tabs>
        <w:tab w:val="center" w:pos="4536"/>
        <w:tab w:val="right" w:pos="9072"/>
      </w:tabs>
    </w:pPr>
  </w:style>
  <w:style w:type="character" w:customStyle="1" w:styleId="En-tteCar">
    <w:name w:val="En-tête Car"/>
    <w:basedOn w:val="Policepardfaut"/>
    <w:link w:val="En-tte"/>
    <w:uiPriority w:val="99"/>
    <w:locked/>
    <w:rsid w:val="00342D8C"/>
    <w:rPr>
      <w:rFonts w:ascii="Times New Roman" w:hAnsi="Times New Roman" w:cs="Times New Roman"/>
      <w:sz w:val="24"/>
      <w:szCs w:val="24"/>
      <w:lang w:val="en-US"/>
    </w:rPr>
  </w:style>
  <w:style w:type="paragraph" w:styleId="Pieddepage">
    <w:name w:val="footer"/>
    <w:basedOn w:val="Normal"/>
    <w:link w:val="PieddepageCar"/>
    <w:uiPriority w:val="99"/>
    <w:semiHidden/>
    <w:rsid w:val="00342D8C"/>
    <w:pPr>
      <w:tabs>
        <w:tab w:val="center" w:pos="4536"/>
        <w:tab w:val="right" w:pos="9072"/>
      </w:tabs>
    </w:pPr>
  </w:style>
  <w:style w:type="character" w:customStyle="1" w:styleId="PieddepageCar">
    <w:name w:val="Pied de page Car"/>
    <w:basedOn w:val="Policepardfaut"/>
    <w:link w:val="Pieddepage"/>
    <w:uiPriority w:val="99"/>
    <w:semiHidden/>
    <w:locked/>
    <w:rsid w:val="00342D8C"/>
    <w:rPr>
      <w:rFonts w:ascii="Times New Roman" w:hAnsi="Times New Roman" w:cs="Times New Roman"/>
      <w:sz w:val="24"/>
      <w:szCs w:val="24"/>
      <w:lang w:val="en-US"/>
    </w:rPr>
  </w:style>
  <w:style w:type="paragraph" w:styleId="Paragraphedeliste">
    <w:name w:val="List Paragraph"/>
    <w:basedOn w:val="Normal"/>
    <w:uiPriority w:val="99"/>
    <w:qFormat/>
    <w:rsid w:val="00630853"/>
    <w:pPr>
      <w:ind w:left="720"/>
    </w:pPr>
  </w:style>
  <w:style w:type="paragraph" w:customStyle="1" w:styleId="Default">
    <w:name w:val="Default"/>
    <w:uiPriority w:val="99"/>
    <w:rsid w:val="000D6BB3"/>
    <w:pPr>
      <w:autoSpaceDE w:val="0"/>
      <w:autoSpaceDN w:val="0"/>
      <w:adjustRightInd w:val="0"/>
    </w:pPr>
    <w:rPr>
      <w:rFonts w:ascii="Arial" w:hAnsi="Arial"/>
      <w:color w:val="000000"/>
      <w:sz w:val="24"/>
      <w:szCs w:val="24"/>
      <w:lang w:val="fr-FR"/>
    </w:rPr>
  </w:style>
  <w:style w:type="character" w:styleId="Lienhypertexte">
    <w:name w:val="Hyperlink"/>
    <w:basedOn w:val="Policepardfaut"/>
    <w:uiPriority w:val="99"/>
    <w:semiHidden/>
    <w:rsid w:val="00853CD7"/>
    <w:rPr>
      <w:rFonts w:cs="Times New Roman"/>
      <w:color w:val="0000FF"/>
      <w:u w:val="single"/>
    </w:rPr>
  </w:style>
  <w:style w:type="paragraph" w:styleId="NormalWeb">
    <w:name w:val="Normal (Web)"/>
    <w:basedOn w:val="Normal"/>
    <w:uiPriority w:val="99"/>
    <w:rsid w:val="00853CD7"/>
    <w:pPr>
      <w:bidi w:val="0"/>
      <w:spacing w:before="100" w:beforeAutospacing="1" w:after="100" w:afterAutospacing="1"/>
    </w:pPr>
    <w:rPr>
      <w:lang w:val="fr-FR" w:eastAsia="fr-FR"/>
    </w:rPr>
  </w:style>
  <w:style w:type="character" w:customStyle="1" w:styleId="citecrochet1">
    <w:name w:val="cite_crochet1"/>
    <w:basedOn w:val="Policepardfaut"/>
    <w:uiPriority w:val="99"/>
    <w:rsid w:val="00853CD7"/>
    <w:rPr>
      <w:rFonts w:cs="Times New Roman"/>
      <w:vanish/>
    </w:rPr>
  </w:style>
  <w:style w:type="paragraph" w:styleId="Textedebulles">
    <w:name w:val="Balloon Text"/>
    <w:basedOn w:val="Normal"/>
    <w:link w:val="TextedebullesCar"/>
    <w:uiPriority w:val="99"/>
    <w:semiHidden/>
    <w:rsid w:val="00BF30FB"/>
    <w:rPr>
      <w:rFonts w:ascii="Tahoma" w:hAnsi="Tahoma" w:cs="Tahoma"/>
      <w:sz w:val="16"/>
      <w:szCs w:val="16"/>
    </w:rPr>
  </w:style>
  <w:style w:type="character" w:customStyle="1" w:styleId="TextedebullesCar">
    <w:name w:val="Texte de bulles Car"/>
    <w:basedOn w:val="Policepardfaut"/>
    <w:link w:val="Textedebulles"/>
    <w:uiPriority w:val="99"/>
    <w:semiHidden/>
    <w:locked/>
    <w:rsid w:val="00BF30FB"/>
    <w:rPr>
      <w:rFonts w:ascii="Tahoma" w:hAnsi="Tahoma" w:cs="Tahoma"/>
      <w:sz w:val="16"/>
      <w:szCs w:val="16"/>
      <w:lang w:val="en-US"/>
    </w:rPr>
  </w:style>
  <w:style w:type="character" w:styleId="Numrodepage">
    <w:name w:val="page number"/>
    <w:basedOn w:val="Policepardfaut"/>
    <w:uiPriority w:val="99"/>
    <w:rsid w:val="00450110"/>
    <w:rPr>
      <w:rFonts w:cs="Times New Roman"/>
    </w:rPr>
  </w:style>
</w:styles>
</file>

<file path=word/webSettings.xml><?xml version="1.0" encoding="utf-8"?>
<w:webSettings xmlns:r="http://schemas.openxmlformats.org/officeDocument/2006/relationships" xmlns:w="http://schemas.openxmlformats.org/wordprocessingml/2006/main">
  <w:divs>
    <w:div w:id="1398475472">
      <w:marLeft w:val="0"/>
      <w:marRight w:val="0"/>
      <w:marTop w:val="0"/>
      <w:marBottom w:val="0"/>
      <w:divBdr>
        <w:top w:val="none" w:sz="0" w:space="0" w:color="auto"/>
        <w:left w:val="none" w:sz="0" w:space="0" w:color="auto"/>
        <w:bottom w:val="none" w:sz="0" w:space="0" w:color="auto"/>
        <w:right w:val="none" w:sz="0" w:space="0" w:color="auto"/>
      </w:divBdr>
      <w:divsChild>
        <w:div w:id="1398475477">
          <w:marLeft w:val="0"/>
          <w:marRight w:val="0"/>
          <w:marTop w:val="0"/>
          <w:marBottom w:val="0"/>
          <w:divBdr>
            <w:top w:val="none" w:sz="0" w:space="0" w:color="auto"/>
            <w:left w:val="none" w:sz="0" w:space="0" w:color="auto"/>
            <w:bottom w:val="none" w:sz="0" w:space="0" w:color="auto"/>
            <w:right w:val="none" w:sz="0" w:space="0" w:color="auto"/>
          </w:divBdr>
          <w:divsChild>
            <w:div w:id="139847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475476">
      <w:marLeft w:val="0"/>
      <w:marRight w:val="0"/>
      <w:marTop w:val="0"/>
      <w:marBottom w:val="0"/>
      <w:divBdr>
        <w:top w:val="none" w:sz="0" w:space="0" w:color="auto"/>
        <w:left w:val="none" w:sz="0" w:space="0" w:color="auto"/>
        <w:bottom w:val="none" w:sz="0" w:space="0" w:color="auto"/>
        <w:right w:val="none" w:sz="0" w:space="0" w:color="auto"/>
      </w:divBdr>
      <w:divsChild>
        <w:div w:id="1398475475">
          <w:marLeft w:val="0"/>
          <w:marRight w:val="0"/>
          <w:marTop w:val="0"/>
          <w:marBottom w:val="0"/>
          <w:divBdr>
            <w:top w:val="none" w:sz="0" w:space="0" w:color="auto"/>
            <w:left w:val="none" w:sz="0" w:space="0" w:color="auto"/>
            <w:bottom w:val="none" w:sz="0" w:space="0" w:color="auto"/>
            <w:right w:val="none" w:sz="0" w:space="0" w:color="auto"/>
          </w:divBdr>
          <w:divsChild>
            <w:div w:id="139847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fr.wikipedia.org/wiki/CO" TargetMode="External"/><Relationship Id="rId13" Type="http://schemas.openxmlformats.org/officeDocument/2006/relationships/hyperlink" Target="http://fr.wikipedia.org/wiki/Intoxicatio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fr.wikipedia.org/wiki/Mammif&#195;&#168;re"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fr.wikipedia.org/wiki/Conditions_normales_de_pression_et_de_temp&#195;&#169;rature"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fr.wikipedia.org/wiki/Gaz" TargetMode="External"/><Relationship Id="rId4" Type="http://schemas.openxmlformats.org/officeDocument/2006/relationships/settings" Target="settings.xml"/><Relationship Id="rId9" Type="http://schemas.openxmlformats.org/officeDocument/2006/relationships/hyperlink" Target="http://fr.wikipedia.org/wiki/Oxyde" TargetMode="External"/><Relationship Id="rId14" Type="http://schemas.openxmlformats.org/officeDocument/2006/relationships/hyperlink" Target="http://fr.wikipedia.org/wiki/Homm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61BC9110-CCBB-4D16-9E64-1868258EEE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400</TotalTime>
  <Pages>8</Pages>
  <Words>2574</Words>
  <Characters>15909</Characters>
  <Application>Microsoft Office Word</Application>
  <DocSecurity>0</DocSecurity>
  <Lines>132</Lines>
  <Paragraphs>36</Paragraphs>
  <ScaleCrop>false</ScaleCrop>
  <Company>Université</Company>
  <LinksUpToDate>false</LinksUpToDate>
  <CharactersWithSpaces>18447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Soufane Sihem</dc:creator>
  <cp:keywords/>
  <dc:description/>
  <cp:lastModifiedBy>poste12</cp:lastModifiedBy>
  <cp:revision>155</cp:revision>
  <dcterms:created xsi:type="dcterms:W3CDTF">2010-06-29T07:07:00Z</dcterms:created>
  <dcterms:modified xsi:type="dcterms:W3CDTF">2010-07-06T09:57:00Z</dcterms:modified>
</cp:coreProperties>
</file>