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792" w:rsidRPr="00BE6DB8" w:rsidRDefault="001917E8" w:rsidP="004D7FB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BE6DB8">
        <w:rPr>
          <w:rFonts w:asciiTheme="majorBidi" w:hAnsiTheme="majorBidi" w:cstheme="majorBidi"/>
          <w:b/>
          <w:bCs/>
          <w:sz w:val="28"/>
          <w:szCs w:val="28"/>
        </w:rPr>
        <w:t>ANNEXE </w:t>
      </w:r>
    </w:p>
    <w:p w:rsidR="00846C8C" w:rsidRDefault="00846C8C" w:rsidP="004D7FB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5F1CB9" w:rsidRPr="00846C8C" w:rsidRDefault="005F1CB9" w:rsidP="005F1CB9">
      <w:pPr>
        <w:jc w:val="both"/>
        <w:rPr>
          <w:rFonts w:asciiTheme="majorBidi" w:hAnsiTheme="majorBidi" w:cstheme="majorBidi"/>
          <w:b/>
          <w:bCs/>
          <w:i/>
          <w:iCs/>
        </w:rPr>
      </w:pPr>
      <w:r w:rsidRPr="00846C8C">
        <w:rPr>
          <w:rFonts w:asciiTheme="majorBidi" w:hAnsiTheme="majorBidi" w:cstheme="majorBidi"/>
          <w:b/>
          <w:bCs/>
          <w:i/>
          <w:iCs/>
        </w:rPr>
        <w:t>In vitro</w:t>
      </w:r>
    </w:p>
    <w:p w:rsidR="009740A2" w:rsidRDefault="009740A2" w:rsidP="00363537">
      <w:pPr>
        <w:jc w:val="both"/>
        <w:rPr>
          <w:rFonts w:asciiTheme="majorBidi" w:hAnsiTheme="majorBidi" w:cstheme="majorBidi"/>
          <w:b/>
          <w:bCs/>
        </w:rPr>
      </w:pPr>
    </w:p>
    <w:p w:rsidR="009740A2" w:rsidRDefault="00846C8C" w:rsidP="002E6512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363537">
        <w:rPr>
          <w:rFonts w:asciiTheme="majorBidi" w:hAnsiTheme="majorBidi" w:cstheme="majorBidi"/>
          <w:b/>
          <w:bCs/>
        </w:rPr>
        <w:t xml:space="preserve"> </w:t>
      </w:r>
      <w:r w:rsidR="007A3F7A">
        <w:rPr>
          <w:rFonts w:asciiTheme="majorBidi" w:hAnsiTheme="majorBidi" w:cstheme="majorBidi"/>
          <w:b/>
          <w:bCs/>
        </w:rPr>
        <w:t>0</w:t>
      </w:r>
      <w:r w:rsidR="00363537">
        <w:rPr>
          <w:rFonts w:asciiTheme="majorBidi" w:hAnsiTheme="majorBidi" w:cstheme="majorBidi"/>
          <w:b/>
          <w:bCs/>
        </w:rPr>
        <w:t xml:space="preserve">1 : </w:t>
      </w:r>
      <w:r w:rsidR="00363537" w:rsidRPr="00363537">
        <w:rPr>
          <w:rFonts w:asciiTheme="majorBidi" w:hAnsiTheme="majorBidi" w:cstheme="majorBidi"/>
        </w:rPr>
        <w:t>l’</w:t>
      </w:r>
      <w:r w:rsidR="00363537">
        <w:rPr>
          <w:rFonts w:asciiTheme="majorBidi" w:hAnsiTheme="majorBidi" w:cstheme="majorBidi"/>
        </w:rPr>
        <w:t>analyse de variance de temps de latence (jours)</w:t>
      </w:r>
    </w:p>
    <w:p w:rsidR="002E6512" w:rsidRDefault="002E6512" w:rsidP="002E6512">
      <w:pPr>
        <w:jc w:val="both"/>
        <w:rPr>
          <w:rFonts w:asciiTheme="majorBidi" w:hAnsiTheme="majorBidi" w:cstheme="majorBidi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C30378" w:rsidRPr="00C3037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rPr>
                <w:sz w:val="12"/>
                <w:szCs w:val="12"/>
              </w:rPr>
            </w:pPr>
            <w:r w:rsidRPr="00C3037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C.V.</w:t>
            </w:r>
          </w:p>
        </w:tc>
      </w:tr>
      <w:tr w:rsidR="00C30378" w:rsidRPr="00C3037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rPr>
                <w:sz w:val="12"/>
                <w:szCs w:val="12"/>
              </w:rPr>
            </w:pPr>
            <w:r w:rsidRPr="00C3037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141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12,818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C30378" w:rsidRPr="00C3037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rPr>
                <w:sz w:val="12"/>
                <w:szCs w:val="12"/>
              </w:rPr>
            </w:pPr>
            <w:r w:rsidRPr="00C3037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135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45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60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0,00002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C30378" w:rsidRPr="00C30378" w:rsidTr="00434FC8">
        <w:trPr>
          <w:trHeight w:val="383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rPr>
                <w:sz w:val="12"/>
                <w:szCs w:val="12"/>
              </w:rPr>
            </w:pPr>
            <w:r w:rsidRPr="00C3037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0,75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0,866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19,25%</w:t>
            </w:r>
          </w:p>
        </w:tc>
      </w:tr>
    </w:tbl>
    <w:p w:rsidR="00766810" w:rsidRDefault="00766810" w:rsidP="00363537">
      <w:pPr>
        <w:jc w:val="both"/>
        <w:rPr>
          <w:rFonts w:asciiTheme="majorBidi" w:hAnsiTheme="majorBidi" w:cstheme="majorBidi"/>
          <w:b/>
          <w:bCs/>
        </w:rPr>
      </w:pPr>
    </w:p>
    <w:p w:rsidR="00363537" w:rsidRDefault="00846C8C" w:rsidP="00363537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363537" w:rsidRPr="00363537">
        <w:rPr>
          <w:rFonts w:asciiTheme="majorBidi" w:hAnsiTheme="majorBidi" w:cstheme="majorBidi"/>
          <w:b/>
          <w:bCs/>
        </w:rPr>
        <w:t xml:space="preserve"> </w:t>
      </w:r>
      <w:r w:rsidR="007A3F7A">
        <w:rPr>
          <w:rFonts w:asciiTheme="majorBidi" w:hAnsiTheme="majorBidi" w:cstheme="majorBidi"/>
          <w:b/>
          <w:bCs/>
        </w:rPr>
        <w:t>0</w:t>
      </w:r>
      <w:r w:rsidR="00363537">
        <w:rPr>
          <w:rFonts w:asciiTheme="majorBidi" w:hAnsiTheme="majorBidi" w:cstheme="majorBidi"/>
          <w:b/>
          <w:bCs/>
        </w:rPr>
        <w:t>2</w:t>
      </w:r>
      <w:r w:rsidR="00363537" w:rsidRPr="00363537">
        <w:rPr>
          <w:rFonts w:asciiTheme="majorBidi" w:hAnsiTheme="majorBidi" w:cstheme="majorBidi"/>
          <w:b/>
          <w:bCs/>
        </w:rPr>
        <w:t> :</w:t>
      </w:r>
      <w:r w:rsidR="00363537">
        <w:rPr>
          <w:rFonts w:asciiTheme="majorBidi" w:hAnsiTheme="majorBidi" w:cstheme="majorBidi"/>
          <w:b/>
          <w:bCs/>
        </w:rPr>
        <w:t xml:space="preserve"> </w:t>
      </w:r>
      <w:r w:rsidR="00363537">
        <w:rPr>
          <w:rFonts w:asciiTheme="majorBidi" w:hAnsiTheme="majorBidi" w:cstheme="majorBidi"/>
        </w:rPr>
        <w:t>l’analyse de variance de taux de germination (%)</w:t>
      </w:r>
    </w:p>
    <w:p w:rsidR="00F14616" w:rsidRDefault="00F14616" w:rsidP="00363537">
      <w:pPr>
        <w:jc w:val="both"/>
        <w:rPr>
          <w:rFonts w:asciiTheme="majorBidi" w:hAnsiTheme="majorBidi" w:cstheme="majorBidi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C30378" w:rsidRPr="00C3037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rPr>
                <w:sz w:val="12"/>
                <w:szCs w:val="12"/>
              </w:rPr>
            </w:pPr>
            <w:r w:rsidRPr="00C3037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C.V.</w:t>
            </w:r>
          </w:p>
        </w:tc>
      </w:tr>
      <w:tr w:rsidR="00C30378" w:rsidRPr="00C3037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rPr>
                <w:sz w:val="12"/>
                <w:szCs w:val="12"/>
              </w:rPr>
            </w:pPr>
            <w:r w:rsidRPr="00C3037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2990,199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271,836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C30378" w:rsidRPr="00C3037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rPr>
                <w:sz w:val="12"/>
                <w:szCs w:val="12"/>
              </w:rPr>
            </w:pPr>
            <w:r w:rsidRPr="00C3037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2619,977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873,326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18,871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0,0007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C30378" w:rsidRPr="00C3037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rPr>
                <w:sz w:val="12"/>
                <w:szCs w:val="12"/>
              </w:rPr>
            </w:pPr>
            <w:r w:rsidRPr="00C3037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370,222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46,278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6,803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0378" w:rsidRPr="00C30378" w:rsidRDefault="00C30378" w:rsidP="00C30378">
            <w:pPr>
              <w:jc w:val="center"/>
              <w:rPr>
                <w:rFonts w:ascii="Calibri" w:hAnsi="Calibri" w:cs="Calibri"/>
                <w:color w:val="000000"/>
              </w:rPr>
            </w:pPr>
            <w:r w:rsidRPr="00C30378">
              <w:rPr>
                <w:rFonts w:ascii="Calibri" w:hAnsi="Calibri" w:cs="Calibri"/>
                <w:color w:val="000000"/>
              </w:rPr>
              <w:t>41,99%</w:t>
            </w:r>
          </w:p>
        </w:tc>
      </w:tr>
    </w:tbl>
    <w:p w:rsidR="00766810" w:rsidRDefault="00766810" w:rsidP="00363537">
      <w:pPr>
        <w:jc w:val="both"/>
        <w:rPr>
          <w:rFonts w:asciiTheme="majorBidi" w:hAnsiTheme="majorBidi" w:cstheme="majorBidi"/>
          <w:b/>
          <w:bCs/>
        </w:rPr>
      </w:pPr>
    </w:p>
    <w:p w:rsidR="00363537" w:rsidRDefault="00846C8C" w:rsidP="00363537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384A2B">
        <w:rPr>
          <w:rFonts w:asciiTheme="majorBidi" w:hAnsiTheme="majorBidi" w:cstheme="majorBidi"/>
          <w:b/>
          <w:bCs/>
        </w:rPr>
        <w:t xml:space="preserve"> 03</w:t>
      </w:r>
      <w:r w:rsidR="00363537" w:rsidRPr="00363537">
        <w:rPr>
          <w:rFonts w:asciiTheme="majorBidi" w:hAnsiTheme="majorBidi" w:cstheme="majorBidi"/>
          <w:b/>
          <w:bCs/>
        </w:rPr>
        <w:t> :</w:t>
      </w:r>
      <w:r w:rsidR="00363537">
        <w:rPr>
          <w:rFonts w:asciiTheme="majorBidi" w:hAnsiTheme="majorBidi" w:cstheme="majorBidi"/>
        </w:rPr>
        <w:t xml:space="preserve"> l’analyse de variance de longueur de tige (cm)</w:t>
      </w:r>
    </w:p>
    <w:p w:rsidR="00F14616" w:rsidRDefault="00F14616" w:rsidP="00363537">
      <w:pPr>
        <w:jc w:val="both"/>
        <w:rPr>
          <w:rFonts w:asciiTheme="majorBidi" w:hAnsiTheme="majorBidi" w:cstheme="majorBidi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6B47F8" w:rsidRPr="006B47F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C.V.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10,037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0,912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7,657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2,552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8,579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0,00737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2,38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0,298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0,545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50,35%</w:t>
            </w:r>
          </w:p>
        </w:tc>
      </w:tr>
    </w:tbl>
    <w:p w:rsidR="00766810" w:rsidRDefault="00766810" w:rsidP="00363537">
      <w:pPr>
        <w:jc w:val="both"/>
        <w:rPr>
          <w:rFonts w:asciiTheme="majorBidi" w:hAnsiTheme="majorBidi" w:cstheme="majorBidi"/>
          <w:b/>
          <w:bCs/>
        </w:rPr>
      </w:pPr>
    </w:p>
    <w:p w:rsidR="00363537" w:rsidRDefault="00846C8C" w:rsidP="00363537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384A2B">
        <w:rPr>
          <w:rFonts w:asciiTheme="majorBidi" w:hAnsiTheme="majorBidi" w:cstheme="majorBidi"/>
          <w:b/>
          <w:bCs/>
        </w:rPr>
        <w:t xml:space="preserve"> 04</w:t>
      </w:r>
      <w:r w:rsidR="00363537" w:rsidRPr="00363537">
        <w:rPr>
          <w:rFonts w:asciiTheme="majorBidi" w:hAnsiTheme="majorBidi" w:cstheme="majorBidi"/>
          <w:b/>
          <w:bCs/>
        </w:rPr>
        <w:t> :</w:t>
      </w:r>
      <w:r w:rsidR="00363537">
        <w:rPr>
          <w:rFonts w:asciiTheme="majorBidi" w:hAnsiTheme="majorBidi" w:cstheme="majorBidi"/>
        </w:rPr>
        <w:t xml:space="preserve"> l’analyse de variance de longueur de racine (cm)</w:t>
      </w:r>
    </w:p>
    <w:p w:rsidR="00F14616" w:rsidRDefault="00F14616" w:rsidP="00363537">
      <w:pPr>
        <w:jc w:val="both"/>
        <w:rPr>
          <w:rFonts w:asciiTheme="majorBidi" w:hAnsiTheme="majorBidi" w:cstheme="majorBidi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6B47F8" w:rsidRPr="006B47F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C.V.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22,35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2,032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17,777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5,926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10,365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0,00427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4,573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0,572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0,756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60,49%</w:t>
            </w:r>
          </w:p>
        </w:tc>
      </w:tr>
    </w:tbl>
    <w:p w:rsidR="00766810" w:rsidRDefault="00766810" w:rsidP="007A3F7A">
      <w:pPr>
        <w:jc w:val="both"/>
        <w:rPr>
          <w:rFonts w:asciiTheme="majorBidi" w:hAnsiTheme="majorBidi" w:cstheme="majorBidi"/>
          <w:b/>
          <w:bCs/>
        </w:rPr>
      </w:pPr>
    </w:p>
    <w:p w:rsidR="007A3F7A" w:rsidRDefault="00846C8C" w:rsidP="007A3F7A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7A3F7A" w:rsidRPr="007A3F7A">
        <w:rPr>
          <w:rFonts w:asciiTheme="majorBidi" w:hAnsiTheme="majorBidi" w:cstheme="majorBidi"/>
          <w:b/>
          <w:bCs/>
        </w:rPr>
        <w:t xml:space="preserve"> </w:t>
      </w:r>
      <w:r w:rsidR="00384A2B">
        <w:rPr>
          <w:rFonts w:asciiTheme="majorBidi" w:hAnsiTheme="majorBidi" w:cstheme="majorBidi"/>
          <w:b/>
          <w:bCs/>
        </w:rPr>
        <w:t>05</w:t>
      </w:r>
      <w:r w:rsidR="007A3F7A" w:rsidRPr="007A3F7A">
        <w:rPr>
          <w:rFonts w:asciiTheme="majorBidi" w:hAnsiTheme="majorBidi" w:cstheme="majorBidi"/>
          <w:b/>
          <w:bCs/>
        </w:rPr>
        <w:t xml:space="preserve"> : </w:t>
      </w:r>
      <w:r w:rsidR="007A3F7A" w:rsidRPr="007A3F7A">
        <w:rPr>
          <w:rFonts w:asciiTheme="majorBidi" w:hAnsiTheme="majorBidi" w:cstheme="majorBidi"/>
        </w:rPr>
        <w:t xml:space="preserve">l’analyse de variance de nombre de </w:t>
      </w:r>
      <w:r w:rsidR="007A3F7A">
        <w:rPr>
          <w:rFonts w:asciiTheme="majorBidi" w:hAnsiTheme="majorBidi" w:cstheme="majorBidi"/>
        </w:rPr>
        <w:t>feuilles</w:t>
      </w:r>
    </w:p>
    <w:p w:rsidR="00F14616" w:rsidRDefault="00F14616" w:rsidP="007A3F7A">
      <w:pPr>
        <w:jc w:val="both"/>
        <w:rPr>
          <w:rFonts w:asciiTheme="majorBidi" w:hAnsiTheme="majorBidi" w:cstheme="majorBidi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6B47F8" w:rsidRPr="006B47F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C.V.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21,667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1,97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6,333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0,00069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0,333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0,577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49,49%</w:t>
            </w:r>
          </w:p>
        </w:tc>
      </w:tr>
    </w:tbl>
    <w:p w:rsidR="00766810" w:rsidRDefault="00766810" w:rsidP="007A3F7A">
      <w:pPr>
        <w:jc w:val="both"/>
        <w:rPr>
          <w:rFonts w:asciiTheme="majorBidi" w:hAnsiTheme="majorBidi" w:cstheme="majorBidi"/>
          <w:b/>
          <w:bCs/>
        </w:rPr>
      </w:pPr>
    </w:p>
    <w:p w:rsidR="006B47F8" w:rsidRDefault="00846C8C" w:rsidP="007A3F7A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384A2B">
        <w:rPr>
          <w:rFonts w:asciiTheme="majorBidi" w:hAnsiTheme="majorBidi" w:cstheme="majorBidi"/>
          <w:b/>
          <w:bCs/>
        </w:rPr>
        <w:t xml:space="preserve"> 06</w:t>
      </w:r>
      <w:r w:rsidR="007A3F7A" w:rsidRPr="007A3F7A">
        <w:rPr>
          <w:rFonts w:asciiTheme="majorBidi" w:hAnsiTheme="majorBidi" w:cstheme="majorBidi"/>
          <w:b/>
          <w:bCs/>
        </w:rPr>
        <w:t> :</w:t>
      </w:r>
      <w:r w:rsidR="007A3F7A">
        <w:rPr>
          <w:rFonts w:asciiTheme="majorBidi" w:hAnsiTheme="majorBidi" w:cstheme="majorBidi"/>
        </w:rPr>
        <w:t xml:space="preserve"> l’analyse de variance de poids frais partie aérienne</w:t>
      </w:r>
    </w:p>
    <w:p w:rsidR="00F14616" w:rsidRDefault="00F14616" w:rsidP="007A3F7A">
      <w:pPr>
        <w:jc w:val="both"/>
        <w:rPr>
          <w:rFonts w:asciiTheme="majorBidi" w:hAnsiTheme="majorBidi" w:cstheme="majorBidi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6B47F8" w:rsidRPr="006B47F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C.V.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11250,89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1406,361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10627,56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5313,778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51,149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0,00033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623,333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103,889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10,193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13,43%</w:t>
            </w:r>
          </w:p>
        </w:tc>
      </w:tr>
    </w:tbl>
    <w:p w:rsidR="00766810" w:rsidRDefault="00766810" w:rsidP="00F14616">
      <w:pPr>
        <w:jc w:val="both"/>
        <w:rPr>
          <w:rFonts w:asciiTheme="majorBidi" w:hAnsiTheme="majorBidi" w:cstheme="majorBidi"/>
          <w:b/>
          <w:bCs/>
        </w:rPr>
      </w:pPr>
    </w:p>
    <w:p w:rsidR="007A3F7A" w:rsidRDefault="00846C8C" w:rsidP="00F14616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lastRenderedPageBreak/>
        <w:t>Tableau</w:t>
      </w:r>
      <w:r w:rsidR="007A3F7A" w:rsidRPr="007A3F7A">
        <w:rPr>
          <w:rFonts w:asciiTheme="majorBidi" w:hAnsiTheme="majorBidi" w:cstheme="majorBidi"/>
          <w:b/>
          <w:bCs/>
        </w:rPr>
        <w:t xml:space="preserve"> 0</w:t>
      </w:r>
      <w:r w:rsidR="00384A2B">
        <w:rPr>
          <w:rFonts w:asciiTheme="majorBidi" w:hAnsiTheme="majorBidi" w:cstheme="majorBidi"/>
          <w:b/>
          <w:bCs/>
        </w:rPr>
        <w:t>7</w:t>
      </w:r>
      <w:r w:rsidR="007A3F7A" w:rsidRPr="007A3F7A">
        <w:rPr>
          <w:rFonts w:asciiTheme="majorBidi" w:hAnsiTheme="majorBidi" w:cstheme="majorBidi"/>
          <w:b/>
          <w:bCs/>
        </w:rPr>
        <w:t> :</w:t>
      </w:r>
      <w:r w:rsidR="007A3F7A" w:rsidRPr="007A3F7A">
        <w:rPr>
          <w:rFonts w:asciiTheme="majorBidi" w:hAnsiTheme="majorBidi" w:cstheme="majorBidi"/>
        </w:rPr>
        <w:t xml:space="preserve"> l’analyse de variance de poids frais partie </w:t>
      </w:r>
      <w:r w:rsidR="007A3F7A">
        <w:rPr>
          <w:rFonts w:asciiTheme="majorBidi" w:hAnsiTheme="majorBidi" w:cstheme="majorBidi"/>
        </w:rPr>
        <w:t>racinaire</w:t>
      </w:r>
    </w:p>
    <w:p w:rsidR="00F14616" w:rsidRDefault="00F14616" w:rsidP="00F14616">
      <w:pPr>
        <w:jc w:val="both"/>
        <w:rPr>
          <w:rFonts w:asciiTheme="majorBidi" w:hAnsiTheme="majorBidi" w:cstheme="majorBidi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6B47F8" w:rsidRPr="006B47F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C.V.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239,556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29,944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198,222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99,111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14,387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0,00572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41,333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6,889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2,625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26,84%</w:t>
            </w:r>
          </w:p>
        </w:tc>
      </w:tr>
    </w:tbl>
    <w:p w:rsidR="00766810" w:rsidRDefault="00766810" w:rsidP="005534EB">
      <w:pPr>
        <w:jc w:val="both"/>
        <w:rPr>
          <w:rFonts w:asciiTheme="majorBidi" w:hAnsiTheme="majorBidi" w:cstheme="majorBidi"/>
          <w:b/>
          <w:bCs/>
        </w:rPr>
      </w:pPr>
    </w:p>
    <w:p w:rsidR="007A3F7A" w:rsidRDefault="00846C8C" w:rsidP="005534EB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7A3F7A">
        <w:rPr>
          <w:rFonts w:asciiTheme="majorBidi" w:hAnsiTheme="majorBidi" w:cstheme="majorBidi"/>
          <w:b/>
          <w:bCs/>
        </w:rPr>
        <w:t xml:space="preserve"> </w:t>
      </w:r>
      <w:r w:rsidR="00384A2B">
        <w:rPr>
          <w:rFonts w:asciiTheme="majorBidi" w:hAnsiTheme="majorBidi" w:cstheme="majorBidi"/>
          <w:b/>
          <w:bCs/>
        </w:rPr>
        <w:t>08</w:t>
      </w:r>
      <w:r w:rsidR="007A3F7A">
        <w:rPr>
          <w:rFonts w:asciiTheme="majorBidi" w:hAnsiTheme="majorBidi" w:cstheme="majorBidi"/>
          <w:b/>
          <w:bCs/>
        </w:rPr>
        <w:t xml:space="preserve"> : </w:t>
      </w:r>
      <w:r w:rsidR="007A3F7A">
        <w:rPr>
          <w:rFonts w:asciiTheme="majorBidi" w:hAnsiTheme="majorBidi" w:cstheme="majorBidi"/>
        </w:rPr>
        <w:t>l’analyse de variance de teneurs en chlorophylle</w:t>
      </w:r>
    </w:p>
    <w:p w:rsidR="00F14616" w:rsidRDefault="00F14616" w:rsidP="005534EB">
      <w:pPr>
        <w:jc w:val="both"/>
        <w:rPr>
          <w:rFonts w:asciiTheme="majorBidi" w:hAnsiTheme="majorBidi" w:cstheme="majorBidi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6B47F8" w:rsidRPr="006B47F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C.V.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0,024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1,143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0,34674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0,093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0,023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0,153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11,75%</w:t>
            </w:r>
          </w:p>
        </w:tc>
      </w:tr>
    </w:tbl>
    <w:p w:rsidR="00766810" w:rsidRDefault="00766810" w:rsidP="007A3F7A">
      <w:pPr>
        <w:jc w:val="both"/>
        <w:rPr>
          <w:rFonts w:asciiTheme="majorBidi" w:hAnsiTheme="majorBidi" w:cstheme="majorBidi"/>
          <w:b/>
          <w:bCs/>
        </w:rPr>
      </w:pPr>
    </w:p>
    <w:p w:rsidR="006B47F8" w:rsidRDefault="00846C8C" w:rsidP="007A3F7A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7A3F7A" w:rsidRPr="007A3F7A">
        <w:rPr>
          <w:rFonts w:asciiTheme="majorBidi" w:hAnsiTheme="majorBidi" w:cstheme="majorBidi"/>
          <w:b/>
          <w:bCs/>
        </w:rPr>
        <w:t xml:space="preserve"> </w:t>
      </w:r>
      <w:r w:rsidR="00384A2B">
        <w:rPr>
          <w:rFonts w:asciiTheme="majorBidi" w:hAnsiTheme="majorBidi" w:cstheme="majorBidi"/>
          <w:b/>
          <w:bCs/>
        </w:rPr>
        <w:t>09</w:t>
      </w:r>
      <w:r w:rsidR="007A3F7A" w:rsidRPr="007A3F7A">
        <w:rPr>
          <w:rFonts w:asciiTheme="majorBidi" w:hAnsiTheme="majorBidi" w:cstheme="majorBidi"/>
          <w:b/>
          <w:bCs/>
        </w:rPr>
        <w:t xml:space="preserve"> : </w:t>
      </w:r>
      <w:r w:rsidR="007A3F7A" w:rsidRPr="007A3F7A">
        <w:rPr>
          <w:rFonts w:asciiTheme="majorBidi" w:hAnsiTheme="majorBidi" w:cstheme="majorBidi"/>
        </w:rPr>
        <w:t>l’analyse de variance de</w:t>
      </w:r>
      <w:r w:rsidR="007A3F7A">
        <w:rPr>
          <w:rFonts w:asciiTheme="majorBidi" w:hAnsiTheme="majorBidi" w:cstheme="majorBidi"/>
        </w:rPr>
        <w:t xml:space="preserve"> teneur  relative en eau TRE (%)</w:t>
      </w:r>
    </w:p>
    <w:p w:rsidR="00F14616" w:rsidRDefault="00F14616" w:rsidP="007A3F7A">
      <w:pPr>
        <w:jc w:val="both"/>
        <w:rPr>
          <w:rFonts w:asciiTheme="majorBidi" w:hAnsiTheme="majorBidi" w:cstheme="majorBidi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6B47F8" w:rsidRPr="006B47F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C.V.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3263,642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652,728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184,482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184,482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0,24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0,65096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6B47F8" w:rsidRPr="006B47F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rPr>
                <w:sz w:val="12"/>
                <w:szCs w:val="12"/>
              </w:rPr>
            </w:pPr>
            <w:r w:rsidRPr="006B47F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3079,16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769,79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27,745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47F8" w:rsidRPr="006B47F8" w:rsidRDefault="006B47F8" w:rsidP="006B47F8">
            <w:pPr>
              <w:jc w:val="center"/>
              <w:rPr>
                <w:rFonts w:ascii="Calibri" w:hAnsi="Calibri" w:cs="Calibri"/>
                <w:color w:val="000000"/>
              </w:rPr>
            </w:pPr>
            <w:r w:rsidRPr="006B47F8">
              <w:rPr>
                <w:rFonts w:ascii="Calibri" w:hAnsi="Calibri" w:cs="Calibri"/>
                <w:color w:val="000000"/>
              </w:rPr>
              <w:t>55,71%</w:t>
            </w:r>
          </w:p>
        </w:tc>
      </w:tr>
    </w:tbl>
    <w:p w:rsidR="00766810" w:rsidRDefault="007A3F7A" w:rsidP="003F3C23">
      <w:pPr>
        <w:jc w:val="both"/>
        <w:rPr>
          <w:rFonts w:asciiTheme="majorBidi" w:hAnsiTheme="majorBidi" w:cstheme="majorBidi"/>
        </w:rPr>
      </w:pPr>
      <w:r w:rsidRPr="007A3F7A">
        <w:rPr>
          <w:rFonts w:asciiTheme="majorBidi" w:hAnsiTheme="majorBidi" w:cstheme="majorBidi"/>
        </w:rPr>
        <w:t xml:space="preserve"> </w:t>
      </w:r>
    </w:p>
    <w:p w:rsidR="003A742A" w:rsidRDefault="00846C8C" w:rsidP="003F3C23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7A3F7A" w:rsidRPr="007A3F7A">
        <w:rPr>
          <w:rFonts w:asciiTheme="majorBidi" w:hAnsiTheme="majorBidi" w:cstheme="majorBidi"/>
          <w:b/>
          <w:bCs/>
        </w:rPr>
        <w:t xml:space="preserve"> 1</w:t>
      </w:r>
      <w:r w:rsidR="007F6F6C">
        <w:rPr>
          <w:rFonts w:asciiTheme="majorBidi" w:hAnsiTheme="majorBidi" w:cstheme="majorBidi"/>
          <w:b/>
          <w:bCs/>
        </w:rPr>
        <w:t>0</w:t>
      </w:r>
      <w:r w:rsidR="007A3F7A" w:rsidRPr="007A3F7A">
        <w:rPr>
          <w:rFonts w:asciiTheme="majorBidi" w:hAnsiTheme="majorBidi" w:cstheme="majorBidi"/>
          <w:b/>
          <w:bCs/>
        </w:rPr>
        <w:t xml:space="preserve"> : </w:t>
      </w:r>
      <w:r w:rsidR="007A3F7A" w:rsidRPr="007A3F7A">
        <w:rPr>
          <w:rFonts w:asciiTheme="majorBidi" w:hAnsiTheme="majorBidi" w:cstheme="majorBidi"/>
        </w:rPr>
        <w:t xml:space="preserve">l’analyse de variance de </w:t>
      </w:r>
      <w:r w:rsidR="007A3F7A">
        <w:rPr>
          <w:rFonts w:asciiTheme="majorBidi" w:hAnsiTheme="majorBidi" w:cstheme="majorBidi"/>
        </w:rPr>
        <w:t xml:space="preserve"> dosage des ions minéraux</w:t>
      </w:r>
      <w:r w:rsidR="005534EB">
        <w:rPr>
          <w:rFonts w:asciiTheme="majorBidi" w:hAnsiTheme="majorBidi" w:cstheme="majorBidi"/>
        </w:rPr>
        <w:t xml:space="preserve"> (</w:t>
      </w:r>
      <w:r w:rsidR="005534EB" w:rsidRPr="005534EB">
        <w:rPr>
          <w:rFonts w:asciiTheme="majorBidi" w:hAnsiTheme="majorBidi" w:cstheme="majorBidi"/>
        </w:rPr>
        <w:t>la partie aérienne</w:t>
      </w:r>
      <w:r w:rsidR="005534EB">
        <w:rPr>
          <w:rFonts w:asciiTheme="majorBidi" w:hAnsiTheme="majorBidi" w:cstheme="majorBidi"/>
        </w:rPr>
        <w:t>)</w:t>
      </w:r>
    </w:p>
    <w:p w:rsidR="00455425" w:rsidRPr="00455425" w:rsidRDefault="00455425" w:rsidP="007A3F7A">
      <w:pPr>
        <w:jc w:val="both"/>
        <w:rPr>
          <w:rFonts w:asciiTheme="majorBidi" w:hAnsiTheme="majorBidi" w:cstheme="majorBidi"/>
          <w:b/>
          <w:bCs/>
          <w:vertAlign w:val="superscript"/>
        </w:rPr>
      </w:pPr>
      <w:r w:rsidRPr="00455425">
        <w:rPr>
          <w:rFonts w:asciiTheme="majorBidi" w:hAnsiTheme="majorBidi" w:cstheme="majorBidi"/>
          <w:b/>
          <w:bCs/>
        </w:rPr>
        <w:t>Na</w:t>
      </w:r>
      <w:r w:rsidRPr="00455425">
        <w:rPr>
          <w:rFonts w:asciiTheme="majorBidi" w:hAnsiTheme="majorBidi" w:cstheme="majorBidi"/>
          <w:b/>
          <w:bCs/>
          <w:vertAlign w:val="superscript"/>
        </w:rPr>
        <w:t>+ :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455425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455425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26,274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3,753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55425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25,812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25,812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335,072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0,00002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55425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0,462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5,72%</w:t>
            </w:r>
          </w:p>
        </w:tc>
      </w:tr>
    </w:tbl>
    <w:p w:rsidR="00766810" w:rsidRDefault="00766810" w:rsidP="007F6F6C">
      <w:pPr>
        <w:jc w:val="both"/>
        <w:rPr>
          <w:rFonts w:asciiTheme="majorBidi" w:hAnsiTheme="majorBidi" w:cstheme="majorBidi"/>
          <w:b/>
          <w:bCs/>
        </w:rPr>
      </w:pPr>
    </w:p>
    <w:p w:rsidR="007F6F6C" w:rsidRPr="007F6F6C" w:rsidRDefault="007F6F6C" w:rsidP="007F6F6C">
      <w:pPr>
        <w:jc w:val="both"/>
        <w:rPr>
          <w:rFonts w:asciiTheme="majorBidi" w:hAnsiTheme="majorBidi" w:cstheme="majorBidi"/>
        </w:rPr>
      </w:pPr>
      <w:r w:rsidRPr="007F6F6C">
        <w:rPr>
          <w:rFonts w:asciiTheme="majorBidi" w:hAnsiTheme="majorBidi" w:cstheme="majorBidi"/>
          <w:b/>
          <w:bCs/>
        </w:rPr>
        <w:t>Tableau 1</w:t>
      </w:r>
      <w:r>
        <w:rPr>
          <w:rFonts w:asciiTheme="majorBidi" w:hAnsiTheme="majorBidi" w:cstheme="majorBidi"/>
          <w:b/>
          <w:bCs/>
        </w:rPr>
        <w:t>1</w:t>
      </w:r>
      <w:r w:rsidRPr="007F6F6C">
        <w:rPr>
          <w:rFonts w:asciiTheme="majorBidi" w:hAnsiTheme="majorBidi" w:cstheme="majorBidi"/>
          <w:b/>
          <w:bCs/>
        </w:rPr>
        <w:t xml:space="preserve"> : </w:t>
      </w:r>
      <w:r w:rsidRPr="007F6F6C">
        <w:rPr>
          <w:rFonts w:asciiTheme="majorBidi" w:hAnsiTheme="majorBidi" w:cstheme="majorBidi"/>
        </w:rPr>
        <w:t>l’analyse de variance de  dosage des ions minéraux (la partie aérienne)</w:t>
      </w:r>
    </w:p>
    <w:p w:rsidR="00031F5E" w:rsidRDefault="00031F5E" w:rsidP="007A3F7A">
      <w:pPr>
        <w:jc w:val="both"/>
        <w:rPr>
          <w:rFonts w:asciiTheme="majorBidi" w:hAnsiTheme="majorBidi" w:cstheme="majorBidi"/>
        </w:rPr>
      </w:pPr>
    </w:p>
    <w:p w:rsidR="00455425" w:rsidRPr="00455425" w:rsidRDefault="00455425" w:rsidP="007A3F7A">
      <w:pPr>
        <w:jc w:val="both"/>
        <w:rPr>
          <w:rFonts w:asciiTheme="majorBidi" w:hAnsiTheme="majorBidi" w:cstheme="majorBidi"/>
          <w:b/>
          <w:bCs/>
        </w:rPr>
      </w:pPr>
      <w:r w:rsidRPr="00455425">
        <w:rPr>
          <w:rFonts w:asciiTheme="majorBidi" w:hAnsiTheme="majorBidi" w:cstheme="majorBidi"/>
          <w:b/>
          <w:bCs/>
        </w:rPr>
        <w:t>K</w:t>
      </w:r>
      <w:r w:rsidRPr="00455425">
        <w:rPr>
          <w:rFonts w:asciiTheme="majorBidi" w:hAnsiTheme="majorBidi" w:cstheme="majorBidi"/>
          <w:b/>
          <w:bCs/>
          <w:vertAlign w:val="superscript"/>
        </w:rPr>
        <w:t>+</w:t>
      </w:r>
      <w:r>
        <w:rPr>
          <w:rFonts w:asciiTheme="majorBidi" w:hAnsiTheme="majorBidi" w:cstheme="majorBidi"/>
          <w:b/>
          <w:bCs/>
          <w:vertAlign w:val="superscript"/>
        </w:rPr>
        <w:t> </w:t>
      </w:r>
      <w:r>
        <w:rPr>
          <w:rFonts w:asciiTheme="majorBidi" w:hAnsiTheme="majorBidi" w:cstheme="majorBidi"/>
          <w:b/>
          <w:bCs/>
        </w:rPr>
        <w:t>: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455425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455425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8,448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1,207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55425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8,282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8,282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299,908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0,00002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55425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0,166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0,166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425" w:rsidRDefault="0045542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6,15%</w:t>
            </w:r>
          </w:p>
        </w:tc>
      </w:tr>
    </w:tbl>
    <w:p w:rsidR="00434FC8" w:rsidRDefault="00434FC8" w:rsidP="007F6F6C">
      <w:pPr>
        <w:jc w:val="both"/>
        <w:rPr>
          <w:rFonts w:asciiTheme="majorBidi" w:hAnsiTheme="majorBidi" w:cstheme="majorBidi"/>
          <w:b/>
          <w:bCs/>
        </w:rPr>
      </w:pPr>
    </w:p>
    <w:p w:rsidR="007F6F6C" w:rsidRPr="007F6F6C" w:rsidRDefault="007F6F6C" w:rsidP="007F6F6C">
      <w:pPr>
        <w:jc w:val="both"/>
        <w:rPr>
          <w:rFonts w:asciiTheme="majorBidi" w:hAnsiTheme="majorBidi" w:cstheme="majorBidi"/>
        </w:rPr>
      </w:pPr>
      <w:r w:rsidRPr="007F6F6C">
        <w:rPr>
          <w:rFonts w:asciiTheme="majorBidi" w:hAnsiTheme="majorBidi" w:cstheme="majorBidi"/>
          <w:b/>
          <w:bCs/>
        </w:rPr>
        <w:t>Tableau 1</w:t>
      </w:r>
      <w:r>
        <w:rPr>
          <w:rFonts w:asciiTheme="majorBidi" w:hAnsiTheme="majorBidi" w:cstheme="majorBidi"/>
          <w:b/>
          <w:bCs/>
        </w:rPr>
        <w:t>2</w:t>
      </w:r>
      <w:r w:rsidRPr="007F6F6C">
        <w:rPr>
          <w:rFonts w:asciiTheme="majorBidi" w:hAnsiTheme="majorBidi" w:cstheme="majorBidi"/>
          <w:b/>
          <w:bCs/>
        </w:rPr>
        <w:t xml:space="preserve"> : </w:t>
      </w:r>
      <w:r w:rsidRPr="007F6F6C">
        <w:rPr>
          <w:rFonts w:asciiTheme="majorBidi" w:hAnsiTheme="majorBidi" w:cstheme="majorBidi"/>
        </w:rPr>
        <w:t>l’analyse de variance de  dosage des ions minéraux (la partie aérienne)</w:t>
      </w:r>
    </w:p>
    <w:p w:rsidR="007F6F6C" w:rsidRDefault="007F6F6C" w:rsidP="007A3F7A">
      <w:pPr>
        <w:jc w:val="both"/>
        <w:rPr>
          <w:rFonts w:asciiTheme="majorBidi" w:hAnsiTheme="majorBidi" w:cstheme="majorBidi"/>
          <w:b/>
          <w:bCs/>
        </w:rPr>
      </w:pPr>
    </w:p>
    <w:p w:rsidR="00455425" w:rsidRDefault="00031F5E" w:rsidP="007A3F7A">
      <w:pPr>
        <w:jc w:val="both"/>
        <w:rPr>
          <w:rFonts w:asciiTheme="majorBidi" w:hAnsiTheme="majorBidi" w:cstheme="majorBidi"/>
          <w:b/>
          <w:bCs/>
          <w:vertAlign w:val="superscript"/>
        </w:rPr>
      </w:pPr>
      <w:r>
        <w:rPr>
          <w:rFonts w:asciiTheme="majorBidi" w:hAnsiTheme="majorBidi" w:cstheme="majorBidi"/>
          <w:b/>
          <w:bCs/>
        </w:rPr>
        <w:t>Ca</w:t>
      </w:r>
      <w:r>
        <w:rPr>
          <w:rFonts w:asciiTheme="majorBidi" w:hAnsiTheme="majorBidi" w:cstheme="majorBidi"/>
          <w:b/>
          <w:bCs/>
          <w:vertAlign w:val="superscript"/>
        </w:rPr>
        <w:t>+ :</w:t>
      </w:r>
    </w:p>
    <w:p w:rsidR="00C96A26" w:rsidRDefault="00C96A26" w:rsidP="007A3F7A">
      <w:pPr>
        <w:jc w:val="both"/>
        <w:rPr>
          <w:rFonts w:asciiTheme="majorBidi" w:hAnsiTheme="majorBidi" w:cstheme="majorBidi"/>
          <w:b/>
          <w:bCs/>
          <w:vertAlign w:val="superscript"/>
        </w:rPr>
      </w:pP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031F5E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031F5E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1F5E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0,35785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1F5E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0,173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28,34%</w:t>
            </w:r>
          </w:p>
        </w:tc>
      </w:tr>
    </w:tbl>
    <w:p w:rsidR="00031F5E" w:rsidRPr="00031F5E" w:rsidRDefault="00031F5E" w:rsidP="007A3F7A">
      <w:pPr>
        <w:jc w:val="both"/>
        <w:rPr>
          <w:rFonts w:asciiTheme="majorBidi" w:hAnsiTheme="majorBidi" w:cstheme="majorBidi"/>
        </w:rPr>
      </w:pPr>
    </w:p>
    <w:p w:rsidR="00766810" w:rsidRDefault="00766810" w:rsidP="0052428C">
      <w:pPr>
        <w:spacing w:line="360" w:lineRule="auto"/>
        <w:jc w:val="both"/>
        <w:rPr>
          <w:rFonts w:asciiTheme="majorBidi" w:hAnsiTheme="majorBidi" w:cstheme="majorBidi"/>
        </w:rPr>
      </w:pPr>
    </w:p>
    <w:p w:rsidR="00766810" w:rsidRDefault="00766810" w:rsidP="0052428C">
      <w:pPr>
        <w:spacing w:line="360" w:lineRule="auto"/>
        <w:jc w:val="both"/>
        <w:rPr>
          <w:rFonts w:asciiTheme="majorBidi" w:hAnsiTheme="majorBidi" w:cstheme="majorBidi"/>
        </w:rPr>
      </w:pPr>
    </w:p>
    <w:p w:rsidR="00031F5E" w:rsidRDefault="00031F5E" w:rsidP="0052428C">
      <w:pPr>
        <w:spacing w:line="360" w:lineRule="auto"/>
        <w:jc w:val="both"/>
        <w:rPr>
          <w:rFonts w:asciiTheme="majorBidi" w:hAnsiTheme="majorBidi" w:cstheme="majorBidi"/>
        </w:rPr>
      </w:pPr>
      <w:r w:rsidRPr="00031F5E">
        <w:rPr>
          <w:rFonts w:asciiTheme="majorBidi" w:hAnsiTheme="majorBidi" w:cstheme="majorBidi"/>
        </w:rPr>
        <w:lastRenderedPageBreak/>
        <w:t xml:space="preserve">L’analyse de variance de  dosage des ions minéraux de la partie </w:t>
      </w:r>
      <w:r w:rsidR="0052428C">
        <w:rPr>
          <w:rFonts w:asciiTheme="majorBidi" w:hAnsiTheme="majorBidi" w:cstheme="majorBidi"/>
        </w:rPr>
        <w:t>racinaire</w:t>
      </w:r>
    </w:p>
    <w:p w:rsidR="00031F5E" w:rsidRPr="00455425" w:rsidRDefault="00031F5E" w:rsidP="00031F5E">
      <w:pPr>
        <w:jc w:val="both"/>
        <w:rPr>
          <w:rFonts w:asciiTheme="majorBidi" w:hAnsiTheme="majorBidi" w:cstheme="majorBidi"/>
          <w:b/>
          <w:bCs/>
          <w:vertAlign w:val="superscript"/>
        </w:rPr>
      </w:pPr>
      <w:r w:rsidRPr="00455425">
        <w:rPr>
          <w:rFonts w:asciiTheme="majorBidi" w:hAnsiTheme="majorBidi" w:cstheme="majorBidi"/>
          <w:b/>
          <w:bCs/>
        </w:rPr>
        <w:t>Na</w:t>
      </w:r>
      <w:r w:rsidRPr="00455425">
        <w:rPr>
          <w:rFonts w:asciiTheme="majorBidi" w:hAnsiTheme="majorBidi" w:cstheme="majorBidi"/>
          <w:b/>
          <w:bCs/>
          <w:vertAlign w:val="superscript"/>
        </w:rPr>
        <w:t>+ :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031F5E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031F5E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0,987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1F5E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0,484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4,334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0,04765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1F5E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0,503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31F5E" w:rsidRDefault="00031F5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5,08%</w:t>
            </w:r>
          </w:p>
        </w:tc>
      </w:tr>
    </w:tbl>
    <w:p w:rsidR="00766810" w:rsidRDefault="00766810" w:rsidP="00515D91">
      <w:pPr>
        <w:jc w:val="both"/>
        <w:rPr>
          <w:rFonts w:asciiTheme="majorBidi" w:hAnsiTheme="majorBidi" w:cstheme="majorBidi"/>
          <w:b/>
          <w:bCs/>
        </w:rPr>
      </w:pPr>
    </w:p>
    <w:p w:rsidR="00515D91" w:rsidRPr="00455425" w:rsidRDefault="00515D91" w:rsidP="00515D91">
      <w:pPr>
        <w:jc w:val="both"/>
        <w:rPr>
          <w:rFonts w:asciiTheme="majorBidi" w:hAnsiTheme="majorBidi" w:cstheme="majorBidi"/>
          <w:b/>
          <w:bCs/>
        </w:rPr>
      </w:pPr>
      <w:r w:rsidRPr="00455425">
        <w:rPr>
          <w:rFonts w:asciiTheme="majorBidi" w:hAnsiTheme="majorBidi" w:cstheme="majorBidi"/>
          <w:b/>
          <w:bCs/>
        </w:rPr>
        <w:t>K</w:t>
      </w:r>
      <w:r w:rsidRPr="00455425">
        <w:rPr>
          <w:rFonts w:asciiTheme="majorBidi" w:hAnsiTheme="majorBidi" w:cstheme="majorBidi"/>
          <w:b/>
          <w:bCs/>
          <w:vertAlign w:val="superscript"/>
        </w:rPr>
        <w:t>+</w:t>
      </w:r>
      <w:r>
        <w:rPr>
          <w:rFonts w:asciiTheme="majorBidi" w:hAnsiTheme="majorBidi" w:cstheme="majorBidi"/>
          <w:b/>
          <w:bCs/>
          <w:vertAlign w:val="superscript"/>
        </w:rPr>
        <w:t> </w:t>
      </w:r>
      <w:r>
        <w:rPr>
          <w:rFonts w:asciiTheme="majorBidi" w:hAnsiTheme="majorBidi" w:cstheme="majorBidi"/>
          <w:b/>
          <w:bCs/>
        </w:rPr>
        <w:t>: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515D91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515D91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16,874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1,534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15D91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16,055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8,028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88,221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15D91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0,819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0,091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0,302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12,53%</w:t>
            </w:r>
          </w:p>
        </w:tc>
      </w:tr>
    </w:tbl>
    <w:p w:rsidR="003F3C23" w:rsidRDefault="003F3C23" w:rsidP="00515D91">
      <w:pPr>
        <w:jc w:val="both"/>
        <w:rPr>
          <w:rFonts w:asciiTheme="majorBidi" w:hAnsiTheme="majorBidi" w:cstheme="majorBidi"/>
          <w:b/>
          <w:bCs/>
        </w:rPr>
      </w:pPr>
    </w:p>
    <w:p w:rsidR="00515D91" w:rsidRDefault="00515D91" w:rsidP="00515D91">
      <w:pPr>
        <w:jc w:val="both"/>
        <w:rPr>
          <w:rFonts w:asciiTheme="majorBidi" w:hAnsiTheme="majorBidi" w:cstheme="majorBidi"/>
          <w:b/>
          <w:bCs/>
          <w:vertAlign w:val="superscript"/>
        </w:rPr>
      </w:pPr>
      <w:r>
        <w:rPr>
          <w:rFonts w:asciiTheme="majorBidi" w:hAnsiTheme="majorBidi" w:cstheme="majorBidi"/>
          <w:b/>
          <w:bCs/>
        </w:rPr>
        <w:t>Ca</w:t>
      </w:r>
      <w:r>
        <w:rPr>
          <w:rFonts w:asciiTheme="majorBidi" w:hAnsiTheme="majorBidi" w:cstheme="majorBidi"/>
          <w:b/>
          <w:bCs/>
          <w:vertAlign w:val="superscript"/>
        </w:rPr>
        <w:t>+ :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515D91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515D91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40,086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3,644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15D91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39,413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19,707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263,691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515D91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0,673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0,075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0,273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15D91" w:rsidRDefault="00515D9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13,19%</w:t>
            </w:r>
          </w:p>
        </w:tc>
      </w:tr>
    </w:tbl>
    <w:p w:rsidR="00515D91" w:rsidRDefault="00515D91" w:rsidP="00031F5E">
      <w:p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7A3F7A" w:rsidRPr="00954DA4" w:rsidRDefault="003A742A" w:rsidP="00031F5E">
      <w:pPr>
        <w:spacing w:line="360" w:lineRule="auto"/>
        <w:jc w:val="both"/>
        <w:rPr>
          <w:rFonts w:asciiTheme="majorBidi" w:hAnsiTheme="majorBidi" w:cstheme="majorBidi"/>
          <w:b/>
          <w:bCs/>
          <w:i/>
          <w:iCs/>
        </w:rPr>
      </w:pPr>
      <w:r w:rsidRPr="00954DA4">
        <w:rPr>
          <w:rFonts w:asciiTheme="majorBidi" w:hAnsiTheme="majorBidi" w:cstheme="majorBidi"/>
          <w:b/>
          <w:bCs/>
          <w:i/>
          <w:iCs/>
        </w:rPr>
        <w:t xml:space="preserve">In vivo </w:t>
      </w:r>
      <w:r w:rsidR="007A3F7A" w:rsidRPr="00954DA4">
        <w:rPr>
          <w:rFonts w:asciiTheme="majorBidi" w:hAnsiTheme="majorBidi" w:cstheme="majorBidi"/>
          <w:b/>
          <w:bCs/>
          <w:i/>
          <w:iCs/>
        </w:rPr>
        <w:t xml:space="preserve"> </w:t>
      </w:r>
    </w:p>
    <w:p w:rsidR="00F14616" w:rsidRDefault="00846C8C" w:rsidP="00F14616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3D492C" w:rsidRPr="003D492C">
        <w:rPr>
          <w:rFonts w:asciiTheme="majorBidi" w:hAnsiTheme="majorBidi" w:cstheme="majorBidi"/>
          <w:b/>
          <w:bCs/>
        </w:rPr>
        <w:t xml:space="preserve"> </w:t>
      </w:r>
      <w:r w:rsidR="00FC0FCF">
        <w:rPr>
          <w:rFonts w:asciiTheme="majorBidi" w:hAnsiTheme="majorBidi" w:cstheme="majorBidi"/>
          <w:b/>
          <w:bCs/>
        </w:rPr>
        <w:t>13</w:t>
      </w:r>
      <w:r w:rsidR="003D492C" w:rsidRPr="003D492C">
        <w:rPr>
          <w:rFonts w:asciiTheme="majorBidi" w:hAnsiTheme="majorBidi" w:cstheme="majorBidi"/>
          <w:b/>
          <w:bCs/>
        </w:rPr>
        <w:t xml:space="preserve"> : </w:t>
      </w:r>
      <w:r w:rsidR="003D492C" w:rsidRPr="003D492C">
        <w:rPr>
          <w:rFonts w:asciiTheme="majorBidi" w:hAnsiTheme="majorBidi" w:cstheme="majorBidi"/>
        </w:rPr>
        <w:t>l’analyse de variance de temps de latence (jours)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F444B8" w:rsidRPr="00F444B8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rPr>
                <w:sz w:val="12"/>
                <w:szCs w:val="12"/>
              </w:rPr>
            </w:pPr>
            <w:r w:rsidRPr="00F444B8"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F444B8" w:rsidRPr="00F444B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rPr>
                <w:sz w:val="12"/>
                <w:szCs w:val="12"/>
              </w:rPr>
            </w:pPr>
            <w:r w:rsidRPr="00F444B8"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22,222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2,778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444B8" w:rsidRPr="00F444B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rPr>
                <w:sz w:val="12"/>
                <w:szCs w:val="12"/>
              </w:rPr>
            </w:pPr>
            <w:r w:rsidRPr="00F444B8"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13,556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6,778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4,692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0,05937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444B8" w:rsidRPr="00F444B8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rPr>
                <w:sz w:val="12"/>
                <w:szCs w:val="12"/>
              </w:rPr>
            </w:pPr>
            <w:r w:rsidRPr="00F444B8"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8,667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1,444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1,202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4B8" w:rsidRPr="00F444B8" w:rsidRDefault="00F444B8" w:rsidP="00F444B8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444B8">
              <w:rPr>
                <w:rFonts w:ascii="Calibri" w:hAnsi="Calibri" w:cs="Calibri"/>
                <w:color w:val="000000"/>
                <w:sz w:val="22"/>
                <w:szCs w:val="22"/>
              </w:rPr>
              <w:t>33,80%</w:t>
            </w:r>
          </w:p>
        </w:tc>
      </w:tr>
    </w:tbl>
    <w:p w:rsidR="00766810" w:rsidRDefault="00766810" w:rsidP="00F14616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F14616" w:rsidRDefault="00846C8C" w:rsidP="00F14616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FC0FCF">
        <w:rPr>
          <w:rFonts w:asciiTheme="majorBidi" w:hAnsiTheme="majorBidi" w:cstheme="majorBidi"/>
          <w:b/>
          <w:bCs/>
        </w:rPr>
        <w:t>14</w:t>
      </w:r>
      <w:r w:rsidR="003D492C" w:rsidRPr="003D492C">
        <w:rPr>
          <w:rFonts w:asciiTheme="majorBidi" w:hAnsiTheme="majorBidi" w:cstheme="majorBidi"/>
          <w:b/>
          <w:bCs/>
        </w:rPr>
        <w:t xml:space="preserve"> : </w:t>
      </w:r>
      <w:r w:rsidR="003D492C" w:rsidRPr="003D492C">
        <w:rPr>
          <w:rFonts w:asciiTheme="majorBidi" w:hAnsiTheme="majorBidi" w:cstheme="majorBidi"/>
        </w:rPr>
        <w:t>l’analyse de variance de taux de germination (%)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0274F5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0274F5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6866,667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624,242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274F5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5666,667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1888,889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12,593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0,0024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274F5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12,247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74F5" w:rsidRDefault="000274F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45,93%</w:t>
            </w:r>
          </w:p>
        </w:tc>
      </w:tr>
    </w:tbl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3D492C" w:rsidRDefault="00FC0FCF" w:rsidP="00031F5E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3D492C" w:rsidRPr="003D492C">
        <w:rPr>
          <w:rFonts w:asciiTheme="majorBidi" w:hAnsiTheme="majorBidi" w:cstheme="majorBidi"/>
          <w:b/>
          <w:bCs/>
        </w:rPr>
        <w:t xml:space="preserve"> </w:t>
      </w:r>
      <w:r>
        <w:rPr>
          <w:rFonts w:asciiTheme="majorBidi" w:hAnsiTheme="majorBidi" w:cstheme="majorBidi"/>
          <w:b/>
          <w:bCs/>
        </w:rPr>
        <w:t>15</w:t>
      </w:r>
      <w:r w:rsidR="003D492C" w:rsidRPr="003D492C">
        <w:rPr>
          <w:rFonts w:asciiTheme="majorBidi" w:hAnsiTheme="majorBidi" w:cstheme="majorBidi"/>
          <w:b/>
          <w:bCs/>
        </w:rPr>
        <w:t> :</w:t>
      </w:r>
      <w:r w:rsidR="003D492C" w:rsidRPr="003D492C">
        <w:rPr>
          <w:rFonts w:asciiTheme="majorBidi" w:hAnsiTheme="majorBidi" w:cstheme="majorBidi"/>
        </w:rPr>
        <w:t xml:space="preserve"> l’analyse de variance de longueur de tige (cm)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4749CC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4749C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4,833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0,967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749C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0,25061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749C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3,333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0,833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0,913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49CC" w:rsidRDefault="004749C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23,81%</w:t>
            </w:r>
          </w:p>
        </w:tc>
      </w:tr>
    </w:tbl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3D492C" w:rsidRDefault="00FC0FCF" w:rsidP="00031F5E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lastRenderedPageBreak/>
        <w:t>Tableau</w:t>
      </w:r>
      <w:r w:rsidR="003D492C" w:rsidRPr="003D492C">
        <w:rPr>
          <w:rFonts w:asciiTheme="majorBidi" w:hAnsiTheme="majorBidi" w:cstheme="majorBidi"/>
          <w:b/>
          <w:bCs/>
        </w:rPr>
        <w:t xml:space="preserve"> </w:t>
      </w:r>
      <w:r>
        <w:rPr>
          <w:rFonts w:asciiTheme="majorBidi" w:hAnsiTheme="majorBidi" w:cstheme="majorBidi"/>
          <w:b/>
          <w:bCs/>
        </w:rPr>
        <w:t>16</w:t>
      </w:r>
      <w:r w:rsidR="003D492C" w:rsidRPr="003D492C">
        <w:rPr>
          <w:rFonts w:asciiTheme="majorBidi" w:hAnsiTheme="majorBidi" w:cstheme="majorBidi"/>
          <w:b/>
          <w:bCs/>
        </w:rPr>
        <w:t> :</w:t>
      </w:r>
      <w:r w:rsidR="003D492C" w:rsidRPr="003D492C">
        <w:rPr>
          <w:rFonts w:asciiTheme="majorBidi" w:hAnsiTheme="majorBidi" w:cstheme="majorBidi"/>
        </w:rPr>
        <w:t xml:space="preserve"> l’analyse de variance de longueur de racine (cm)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0F306D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8,5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4,167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4,167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3,846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0,12055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4,333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1,083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1,041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34,69%</w:t>
            </w:r>
          </w:p>
        </w:tc>
      </w:tr>
    </w:tbl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3D492C" w:rsidRDefault="00FC0FCF" w:rsidP="00031F5E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3D492C" w:rsidRPr="003D492C">
        <w:rPr>
          <w:rFonts w:asciiTheme="majorBidi" w:hAnsiTheme="majorBidi" w:cstheme="majorBidi"/>
          <w:b/>
          <w:bCs/>
        </w:rPr>
        <w:t xml:space="preserve"> </w:t>
      </w:r>
      <w:r>
        <w:rPr>
          <w:rFonts w:asciiTheme="majorBidi" w:hAnsiTheme="majorBidi" w:cstheme="majorBidi"/>
          <w:b/>
          <w:bCs/>
        </w:rPr>
        <w:t>17</w:t>
      </w:r>
      <w:r w:rsidR="003D492C" w:rsidRPr="003D492C">
        <w:rPr>
          <w:rFonts w:asciiTheme="majorBidi" w:hAnsiTheme="majorBidi" w:cstheme="majorBidi"/>
          <w:b/>
          <w:bCs/>
        </w:rPr>
        <w:t xml:space="preserve"> : </w:t>
      </w:r>
      <w:r w:rsidR="003D492C" w:rsidRPr="003D492C">
        <w:rPr>
          <w:rFonts w:asciiTheme="majorBidi" w:hAnsiTheme="majorBidi" w:cstheme="majorBidi"/>
        </w:rPr>
        <w:t>l’analyse de variance de nombre de feuilles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0F306D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63,667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5,788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22,8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0,00039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0,833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0,913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42,13%</w:t>
            </w:r>
          </w:p>
        </w:tc>
      </w:tr>
    </w:tbl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0F306D" w:rsidRDefault="0058657F" w:rsidP="00031F5E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</w:t>
      </w:r>
      <w:r w:rsidR="00FC0FCF">
        <w:rPr>
          <w:rFonts w:asciiTheme="majorBidi" w:hAnsiTheme="majorBidi" w:cstheme="majorBidi"/>
          <w:b/>
          <w:bCs/>
        </w:rPr>
        <w:t>ableau</w:t>
      </w:r>
      <w:r>
        <w:rPr>
          <w:rFonts w:asciiTheme="majorBidi" w:hAnsiTheme="majorBidi" w:cstheme="majorBidi"/>
          <w:b/>
          <w:bCs/>
        </w:rPr>
        <w:t xml:space="preserve"> </w:t>
      </w:r>
      <w:r w:rsidR="003D492C" w:rsidRPr="003D492C">
        <w:rPr>
          <w:rFonts w:asciiTheme="majorBidi" w:hAnsiTheme="majorBidi" w:cstheme="majorBidi"/>
          <w:b/>
          <w:bCs/>
        </w:rPr>
        <w:t xml:space="preserve"> </w:t>
      </w:r>
      <w:r w:rsidR="00FC0FCF">
        <w:rPr>
          <w:rFonts w:asciiTheme="majorBidi" w:hAnsiTheme="majorBidi" w:cstheme="majorBidi"/>
          <w:b/>
          <w:bCs/>
        </w:rPr>
        <w:t>18</w:t>
      </w:r>
      <w:r w:rsidR="003D492C" w:rsidRPr="003D492C">
        <w:rPr>
          <w:rFonts w:asciiTheme="majorBidi" w:hAnsiTheme="majorBidi" w:cstheme="majorBidi"/>
          <w:b/>
          <w:bCs/>
        </w:rPr>
        <w:t> :</w:t>
      </w:r>
      <w:r w:rsidR="003D492C" w:rsidRPr="003D492C">
        <w:rPr>
          <w:rFonts w:asciiTheme="majorBidi" w:hAnsiTheme="majorBidi" w:cstheme="majorBidi"/>
        </w:rPr>
        <w:t xml:space="preserve"> l’analyse de variance de poids frais partie aérienne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0F306D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1615,333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323,067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2,364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0,19822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1015,333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253,833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15,932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22,03%</w:t>
            </w:r>
          </w:p>
        </w:tc>
      </w:tr>
    </w:tbl>
    <w:p w:rsidR="00766810" w:rsidRDefault="003D492C" w:rsidP="00766810">
      <w:pPr>
        <w:spacing w:line="360" w:lineRule="auto"/>
        <w:jc w:val="both"/>
        <w:rPr>
          <w:rFonts w:asciiTheme="majorBidi" w:hAnsiTheme="majorBidi" w:cstheme="majorBidi"/>
        </w:rPr>
      </w:pPr>
      <w:r w:rsidRPr="003D492C">
        <w:rPr>
          <w:rFonts w:asciiTheme="majorBidi" w:hAnsiTheme="majorBidi" w:cstheme="majorBidi"/>
        </w:rPr>
        <w:t xml:space="preserve"> </w:t>
      </w:r>
    </w:p>
    <w:p w:rsidR="003D492C" w:rsidRDefault="0058657F" w:rsidP="00766810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</w:t>
      </w:r>
      <w:r w:rsidR="003D492C" w:rsidRPr="003D492C">
        <w:rPr>
          <w:rFonts w:asciiTheme="majorBidi" w:hAnsiTheme="majorBidi" w:cstheme="majorBidi"/>
          <w:b/>
          <w:bCs/>
        </w:rPr>
        <w:t xml:space="preserve"> </w:t>
      </w:r>
      <w:r>
        <w:rPr>
          <w:rFonts w:asciiTheme="majorBidi" w:hAnsiTheme="majorBidi" w:cstheme="majorBidi"/>
          <w:b/>
          <w:bCs/>
        </w:rPr>
        <w:t>19</w:t>
      </w:r>
      <w:r w:rsidR="003D492C" w:rsidRPr="003D492C">
        <w:rPr>
          <w:rFonts w:asciiTheme="majorBidi" w:hAnsiTheme="majorBidi" w:cstheme="majorBidi"/>
          <w:b/>
          <w:bCs/>
        </w:rPr>
        <w:t> :</w:t>
      </w:r>
      <w:r w:rsidR="003D492C" w:rsidRPr="003D492C">
        <w:rPr>
          <w:rFonts w:asciiTheme="majorBidi" w:hAnsiTheme="majorBidi" w:cstheme="majorBidi"/>
        </w:rPr>
        <w:t xml:space="preserve"> l’analyse de variance de poids frais partie racinaire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0F306D" w:rsidTr="00766810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0F306D" w:rsidTr="00766810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28,833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5,767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766810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4,167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4,167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0,676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0,46056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766810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6,167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2,483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36,34%</w:t>
            </w:r>
          </w:p>
        </w:tc>
      </w:tr>
    </w:tbl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3D492C" w:rsidRDefault="00F241AF" w:rsidP="00031F5E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 20</w:t>
      </w:r>
      <w:r w:rsidR="003D492C" w:rsidRPr="003D492C">
        <w:rPr>
          <w:rFonts w:asciiTheme="majorBidi" w:hAnsiTheme="majorBidi" w:cstheme="majorBidi"/>
          <w:b/>
          <w:bCs/>
        </w:rPr>
        <w:t xml:space="preserve"> : </w:t>
      </w:r>
      <w:r w:rsidR="003D492C" w:rsidRPr="003D492C">
        <w:rPr>
          <w:rFonts w:asciiTheme="majorBidi" w:hAnsiTheme="majorBidi" w:cstheme="majorBidi"/>
        </w:rPr>
        <w:t>l’analyse de variance de teneurs en chlorophylle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0F306D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0,973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0,195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0,667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8,696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0,04253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0,307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0,277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14,32%</w:t>
            </w:r>
          </w:p>
        </w:tc>
      </w:tr>
    </w:tbl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3D492C" w:rsidRDefault="00594475" w:rsidP="00031F5E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 21</w:t>
      </w:r>
      <w:r w:rsidR="003D492C" w:rsidRPr="003D492C">
        <w:rPr>
          <w:rFonts w:asciiTheme="majorBidi" w:hAnsiTheme="majorBidi" w:cstheme="majorBidi"/>
          <w:b/>
          <w:bCs/>
        </w:rPr>
        <w:t xml:space="preserve"> : </w:t>
      </w:r>
      <w:r w:rsidR="003D492C" w:rsidRPr="003D492C">
        <w:rPr>
          <w:rFonts w:asciiTheme="majorBidi" w:hAnsiTheme="majorBidi" w:cstheme="majorBidi"/>
        </w:rPr>
        <w:t xml:space="preserve">l’analyse de variance de teneur  relative en eau TRE (%) 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0F306D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4554,042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910,808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2360,167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2360,167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4,303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0,10599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F306D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2193,875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548,469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23,419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306D" w:rsidRDefault="000F306D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36,88%</w:t>
            </w:r>
          </w:p>
        </w:tc>
      </w:tr>
    </w:tbl>
    <w:p w:rsidR="00766810" w:rsidRDefault="00766810" w:rsidP="00F14616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766810" w:rsidRDefault="00766810" w:rsidP="00F14616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766810" w:rsidRDefault="00766810" w:rsidP="00F14616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766810" w:rsidRDefault="00766810" w:rsidP="00F14616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766810" w:rsidRDefault="00766810" w:rsidP="00F14616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F14616" w:rsidRDefault="00594475" w:rsidP="00F14616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lastRenderedPageBreak/>
        <w:t>Tableau 22</w:t>
      </w:r>
      <w:r w:rsidR="003D492C" w:rsidRPr="003D492C">
        <w:rPr>
          <w:rFonts w:asciiTheme="majorBidi" w:hAnsiTheme="majorBidi" w:cstheme="majorBidi"/>
          <w:b/>
          <w:bCs/>
        </w:rPr>
        <w:t xml:space="preserve"> : </w:t>
      </w:r>
      <w:r w:rsidR="003D492C" w:rsidRPr="003D492C">
        <w:rPr>
          <w:rFonts w:asciiTheme="majorBidi" w:hAnsiTheme="majorBidi" w:cstheme="majorBidi"/>
        </w:rPr>
        <w:t>l’analyse de variance de  dosage des ions minéraux</w:t>
      </w:r>
      <w:r w:rsidR="005534EB">
        <w:rPr>
          <w:rFonts w:asciiTheme="majorBidi" w:hAnsiTheme="majorBidi" w:cstheme="majorBidi"/>
        </w:rPr>
        <w:t xml:space="preserve"> (</w:t>
      </w:r>
      <w:r w:rsidR="005534EB" w:rsidRPr="005534EB">
        <w:rPr>
          <w:rFonts w:asciiTheme="majorBidi" w:hAnsiTheme="majorBidi" w:cstheme="majorBidi"/>
        </w:rPr>
        <w:t>la partie aérienne</w:t>
      </w:r>
      <w:r w:rsidR="005534EB">
        <w:rPr>
          <w:rFonts w:asciiTheme="majorBidi" w:hAnsiTheme="majorBidi" w:cstheme="majorBidi"/>
        </w:rPr>
        <w:t>)</w:t>
      </w:r>
    </w:p>
    <w:p w:rsidR="000127F9" w:rsidRPr="00F14616" w:rsidRDefault="000127F9" w:rsidP="00F14616">
      <w:pPr>
        <w:spacing w:line="360" w:lineRule="auto"/>
        <w:jc w:val="both"/>
        <w:rPr>
          <w:rFonts w:asciiTheme="majorBidi" w:hAnsiTheme="majorBidi" w:cstheme="majorBidi"/>
        </w:rPr>
      </w:pPr>
      <w:r w:rsidRPr="000127F9">
        <w:rPr>
          <w:rFonts w:asciiTheme="majorBidi" w:hAnsiTheme="majorBidi" w:cstheme="majorBidi"/>
          <w:b/>
          <w:bCs/>
        </w:rPr>
        <w:t>Na</w:t>
      </w:r>
      <w:r w:rsidRPr="000127F9">
        <w:rPr>
          <w:rFonts w:asciiTheme="majorBidi" w:hAnsiTheme="majorBidi" w:cstheme="majorBidi"/>
          <w:b/>
          <w:bCs/>
          <w:vertAlign w:val="superscript"/>
        </w:rPr>
        <w:t>+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890DBC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0,605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0,086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0,48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0,48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23,05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0,021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0,144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3,64%</w:t>
            </w:r>
          </w:p>
        </w:tc>
      </w:tr>
    </w:tbl>
    <w:p w:rsidR="00766810" w:rsidRDefault="00766810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763A27" w:rsidRPr="006C29BF" w:rsidRDefault="00763A27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Tableau 23</w:t>
      </w:r>
      <w:r w:rsidRPr="00763A27">
        <w:rPr>
          <w:rFonts w:asciiTheme="majorBidi" w:hAnsiTheme="majorBidi" w:cstheme="majorBidi"/>
          <w:b/>
          <w:bCs/>
        </w:rPr>
        <w:t xml:space="preserve"> </w:t>
      </w:r>
      <w:r w:rsidRPr="00763A27">
        <w:rPr>
          <w:rFonts w:asciiTheme="majorBidi" w:hAnsiTheme="majorBidi" w:cstheme="majorBidi"/>
        </w:rPr>
        <w:t>: l’analyse de variance de  dosage des ions minéraux (la partie aérienne)</w:t>
      </w:r>
    </w:p>
    <w:p w:rsidR="000127F9" w:rsidRDefault="000127F9" w:rsidP="00031F5E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K</w:t>
      </w:r>
      <w:r>
        <w:rPr>
          <w:rFonts w:asciiTheme="majorBidi" w:hAnsiTheme="majorBidi" w:cstheme="majorBidi"/>
          <w:b/>
          <w:bCs/>
          <w:vertAlign w:val="superscript"/>
        </w:rPr>
        <w:t>+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890DBC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0,031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0,031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0,20568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0,094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5,88%</w:t>
            </w:r>
          </w:p>
        </w:tc>
      </w:tr>
    </w:tbl>
    <w:p w:rsidR="00766810" w:rsidRDefault="00766810" w:rsidP="003F3C23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</w:p>
    <w:p w:rsidR="003F3C23" w:rsidRDefault="00763A27" w:rsidP="003F3C23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Tableau 24</w:t>
      </w:r>
      <w:r w:rsidRPr="00763A27">
        <w:rPr>
          <w:rFonts w:asciiTheme="majorBidi" w:hAnsiTheme="majorBidi" w:cstheme="majorBidi"/>
          <w:b/>
          <w:bCs/>
        </w:rPr>
        <w:t xml:space="preserve"> </w:t>
      </w:r>
      <w:r w:rsidRPr="00763A27">
        <w:rPr>
          <w:rFonts w:asciiTheme="majorBidi" w:hAnsiTheme="majorBidi" w:cstheme="majorBidi"/>
        </w:rPr>
        <w:t>: l’analyse de variance de  dosage des ions minéraux (la partie aérienne)</w:t>
      </w:r>
    </w:p>
    <w:p w:rsidR="000127F9" w:rsidRPr="003F3C23" w:rsidRDefault="000127F9" w:rsidP="003F3C23">
      <w:pPr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Ca</w:t>
      </w:r>
      <w:r>
        <w:rPr>
          <w:rFonts w:asciiTheme="majorBidi" w:hAnsiTheme="majorBidi" w:cstheme="majorBidi"/>
          <w:b/>
          <w:bCs/>
          <w:vertAlign w:val="superscript"/>
        </w:rPr>
        <w:t>+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890DBC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0,45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0,064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0,02378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0,173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12,77%</w:t>
            </w:r>
          </w:p>
        </w:tc>
      </w:tr>
    </w:tbl>
    <w:p w:rsidR="00BB60AE" w:rsidRPr="00BB60AE" w:rsidRDefault="00BB60AE" w:rsidP="007A3F7A">
      <w:pPr>
        <w:jc w:val="both"/>
        <w:rPr>
          <w:rFonts w:asciiTheme="majorBidi" w:hAnsiTheme="majorBidi" w:cstheme="majorBidi"/>
        </w:rPr>
      </w:pPr>
    </w:p>
    <w:p w:rsidR="006C29BF" w:rsidRPr="006C29BF" w:rsidRDefault="006C29BF" w:rsidP="006C29BF">
      <w:pPr>
        <w:spacing w:line="360" w:lineRule="auto"/>
        <w:jc w:val="both"/>
        <w:rPr>
          <w:rFonts w:asciiTheme="majorBidi" w:hAnsiTheme="majorBidi" w:cstheme="majorBidi"/>
        </w:rPr>
      </w:pPr>
      <w:r w:rsidRPr="006C29BF">
        <w:rPr>
          <w:rFonts w:asciiTheme="majorBidi" w:hAnsiTheme="majorBidi" w:cstheme="majorBidi"/>
        </w:rPr>
        <w:t xml:space="preserve">L’analyse de variance de  dosage des ions minéraux de la partie </w:t>
      </w:r>
      <w:r>
        <w:rPr>
          <w:rFonts w:asciiTheme="majorBidi" w:hAnsiTheme="majorBidi" w:cstheme="majorBidi"/>
        </w:rPr>
        <w:t>racinaire</w:t>
      </w:r>
      <w:r w:rsidRPr="006C29BF">
        <w:rPr>
          <w:rFonts w:asciiTheme="majorBidi" w:hAnsiTheme="majorBidi" w:cstheme="majorBidi"/>
        </w:rPr>
        <w:t xml:space="preserve"> </w:t>
      </w:r>
    </w:p>
    <w:p w:rsidR="006C29BF" w:rsidRDefault="006C29BF" w:rsidP="006C29BF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  <w:r w:rsidRPr="006C29BF">
        <w:rPr>
          <w:rFonts w:asciiTheme="majorBidi" w:hAnsiTheme="majorBidi" w:cstheme="majorBidi"/>
          <w:b/>
          <w:bCs/>
        </w:rPr>
        <w:t>Na</w:t>
      </w:r>
      <w:r w:rsidRPr="006C29BF">
        <w:rPr>
          <w:rFonts w:asciiTheme="majorBidi" w:hAnsiTheme="majorBidi" w:cstheme="majorBidi"/>
          <w:b/>
          <w:bCs/>
          <w:vertAlign w:val="superscript"/>
        </w:rPr>
        <w:t>+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890DBC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5,711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0,816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5,429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5,429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115,47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0,0001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0,047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0,217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6,28%</w:t>
            </w:r>
          </w:p>
        </w:tc>
      </w:tr>
    </w:tbl>
    <w:p w:rsidR="006C29BF" w:rsidRDefault="006C29BF" w:rsidP="006C29BF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  <w:r w:rsidRPr="006C29BF">
        <w:rPr>
          <w:rFonts w:asciiTheme="majorBidi" w:hAnsiTheme="majorBidi" w:cstheme="majorBidi"/>
          <w:b/>
          <w:bCs/>
        </w:rPr>
        <w:t>K</w:t>
      </w:r>
      <w:r w:rsidRPr="006C29BF">
        <w:rPr>
          <w:rFonts w:asciiTheme="majorBidi" w:hAnsiTheme="majorBidi" w:cstheme="majorBidi"/>
          <w:b/>
          <w:bCs/>
          <w:vertAlign w:val="superscript"/>
        </w:rPr>
        <w:t>+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890DBC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0,934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0,133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0,266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0,266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2,394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0,17096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0,668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0,111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0,334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14,46%</w:t>
            </w:r>
          </w:p>
        </w:tc>
      </w:tr>
    </w:tbl>
    <w:p w:rsidR="007A3F7A" w:rsidRPr="00F14616" w:rsidRDefault="006C29BF" w:rsidP="00F14616">
      <w:pPr>
        <w:spacing w:line="360" w:lineRule="auto"/>
        <w:jc w:val="both"/>
        <w:rPr>
          <w:rFonts w:asciiTheme="majorBidi" w:hAnsiTheme="majorBidi" w:cstheme="majorBidi"/>
          <w:b/>
          <w:bCs/>
        </w:rPr>
      </w:pPr>
      <w:r w:rsidRPr="006C29BF">
        <w:rPr>
          <w:rFonts w:asciiTheme="majorBidi" w:hAnsiTheme="majorBidi" w:cstheme="majorBidi"/>
          <w:b/>
          <w:bCs/>
        </w:rPr>
        <w:t>Ca</w:t>
      </w:r>
      <w:r w:rsidRPr="006C29BF">
        <w:rPr>
          <w:rFonts w:asciiTheme="majorBidi" w:hAnsiTheme="majorBidi" w:cstheme="majorBidi"/>
          <w:b/>
          <w:bCs/>
          <w:vertAlign w:val="superscript"/>
        </w:rPr>
        <w:t>+</w:t>
      </w:r>
    </w:p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890DBC" w:rsidTr="00434FC8">
        <w:trPr>
          <w:trHeight w:val="300"/>
        </w:trPr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S.C.E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DDL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C.M.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TEST F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PROBA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E.T.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C.V.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VAR.TOTALE   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0,36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0,051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VAR.FACTEUR 1       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0,132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90DBC" w:rsidTr="00434FC8">
        <w:trPr>
          <w:trHeight w:val="300"/>
        </w:trPr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VAR.RESIDUELLE 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DBC" w:rsidRDefault="00890DB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12,03%</w:t>
            </w:r>
          </w:p>
        </w:tc>
      </w:tr>
    </w:tbl>
    <w:p w:rsidR="007A3F7A" w:rsidRPr="007A3F7A" w:rsidRDefault="007A3F7A" w:rsidP="007A3F7A">
      <w:pPr>
        <w:jc w:val="both"/>
        <w:rPr>
          <w:rFonts w:asciiTheme="majorBidi" w:hAnsiTheme="majorBidi" w:cstheme="majorBidi"/>
        </w:rPr>
      </w:pPr>
      <w:r w:rsidRPr="007A3F7A">
        <w:rPr>
          <w:rFonts w:asciiTheme="majorBidi" w:hAnsiTheme="majorBidi" w:cstheme="majorBidi"/>
        </w:rPr>
        <w:t xml:space="preserve"> </w:t>
      </w:r>
    </w:p>
    <w:p w:rsidR="007A3F7A" w:rsidRDefault="007A3F7A" w:rsidP="007A3F7A">
      <w:pPr>
        <w:jc w:val="both"/>
        <w:rPr>
          <w:rFonts w:asciiTheme="majorBidi" w:hAnsiTheme="majorBidi" w:cstheme="majorBidi"/>
        </w:rPr>
      </w:pPr>
    </w:p>
    <w:p w:rsidR="007A3F7A" w:rsidRPr="007A3F7A" w:rsidRDefault="007A3F7A" w:rsidP="007A3F7A">
      <w:pPr>
        <w:jc w:val="both"/>
        <w:rPr>
          <w:rFonts w:asciiTheme="majorBidi" w:hAnsiTheme="majorBidi" w:cstheme="majorBidi"/>
        </w:rPr>
      </w:pPr>
    </w:p>
    <w:p w:rsidR="007A3F7A" w:rsidRPr="007A3F7A" w:rsidRDefault="007A3F7A" w:rsidP="007A3F7A">
      <w:pPr>
        <w:jc w:val="both"/>
        <w:rPr>
          <w:rFonts w:asciiTheme="majorBidi" w:hAnsiTheme="majorBidi" w:cstheme="majorBidi"/>
        </w:rPr>
      </w:pPr>
    </w:p>
    <w:p w:rsidR="00924B8F" w:rsidRDefault="00924B8F" w:rsidP="004D7FB7">
      <w:pPr>
        <w:jc w:val="both"/>
        <w:rPr>
          <w:rFonts w:asciiTheme="majorBidi" w:hAnsiTheme="majorBidi" w:cstheme="majorBidi"/>
        </w:rPr>
      </w:pPr>
    </w:p>
    <w:p w:rsidR="00924B8F" w:rsidRDefault="00924B8F" w:rsidP="004D7FB7">
      <w:pPr>
        <w:jc w:val="both"/>
        <w:rPr>
          <w:rFonts w:asciiTheme="majorBidi" w:hAnsiTheme="majorBidi" w:cstheme="majorBidi"/>
        </w:rPr>
      </w:pPr>
    </w:p>
    <w:p w:rsidR="00924B8F" w:rsidRDefault="00924B8F" w:rsidP="004D7FB7">
      <w:pPr>
        <w:jc w:val="both"/>
        <w:rPr>
          <w:rFonts w:asciiTheme="majorBidi" w:hAnsiTheme="majorBidi" w:cstheme="majorBidi"/>
        </w:rPr>
      </w:pPr>
    </w:p>
    <w:p w:rsidR="00924B8F" w:rsidRDefault="00924B8F" w:rsidP="004D7FB7">
      <w:pPr>
        <w:jc w:val="both"/>
        <w:rPr>
          <w:rFonts w:asciiTheme="majorBidi" w:hAnsiTheme="majorBidi" w:cstheme="majorBidi"/>
        </w:rPr>
      </w:pPr>
    </w:p>
    <w:p w:rsidR="00924B8F" w:rsidRDefault="00924B8F" w:rsidP="004D7FB7">
      <w:pPr>
        <w:jc w:val="both"/>
        <w:rPr>
          <w:rFonts w:asciiTheme="majorBidi" w:hAnsiTheme="majorBidi" w:cstheme="majorBidi"/>
        </w:rPr>
      </w:pPr>
      <w:bookmarkStart w:id="0" w:name="_GoBack"/>
      <w:bookmarkEnd w:id="0"/>
    </w:p>
    <w:p w:rsidR="004D7FB7" w:rsidRPr="004D7FB7" w:rsidRDefault="004D7FB7" w:rsidP="004D7FB7">
      <w:pPr>
        <w:jc w:val="both"/>
        <w:rPr>
          <w:rFonts w:asciiTheme="majorBidi" w:hAnsiTheme="majorBidi" w:cstheme="majorBidi"/>
        </w:rPr>
      </w:pPr>
    </w:p>
    <w:p w:rsidR="004D7FB7" w:rsidRDefault="004D7FB7" w:rsidP="00766810">
      <w:pPr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</w:t>
      </w:r>
    </w:p>
    <w:p w:rsidR="00766810" w:rsidRPr="004D7FB7" w:rsidRDefault="00766810" w:rsidP="00766810">
      <w:pPr>
        <w:jc w:val="both"/>
        <w:rPr>
          <w:rFonts w:asciiTheme="majorBidi" w:hAnsiTheme="majorBidi" w:cstheme="majorBidi"/>
        </w:rPr>
      </w:pPr>
    </w:p>
    <w:sectPr w:rsidR="00766810" w:rsidRPr="004D7FB7" w:rsidSect="004D7FB7">
      <w:pgSz w:w="11906" w:h="16838"/>
      <w:pgMar w:top="1418" w:right="1134" w:bottom="1418" w:left="1985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4D71" w:rsidRDefault="00924D71" w:rsidP="00BE6DB8">
      <w:r>
        <w:separator/>
      </w:r>
    </w:p>
  </w:endnote>
  <w:endnote w:type="continuationSeparator" w:id="0">
    <w:p w:rsidR="00924D71" w:rsidRDefault="00924D71" w:rsidP="00BE6D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4D71" w:rsidRDefault="00924D71" w:rsidP="00BE6DB8">
      <w:r>
        <w:separator/>
      </w:r>
    </w:p>
  </w:footnote>
  <w:footnote w:type="continuationSeparator" w:id="0">
    <w:p w:rsidR="00924D71" w:rsidRDefault="00924D71" w:rsidP="00BE6D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09F"/>
    <w:rsid w:val="000127F9"/>
    <w:rsid w:val="000274F5"/>
    <w:rsid w:val="00031F5E"/>
    <w:rsid w:val="000E5466"/>
    <w:rsid w:val="000F0405"/>
    <w:rsid w:val="000F306D"/>
    <w:rsid w:val="00154BD0"/>
    <w:rsid w:val="00156397"/>
    <w:rsid w:val="001917E8"/>
    <w:rsid w:val="001E5455"/>
    <w:rsid w:val="002E6512"/>
    <w:rsid w:val="00363537"/>
    <w:rsid w:val="00384A2B"/>
    <w:rsid w:val="003A742A"/>
    <w:rsid w:val="003D492C"/>
    <w:rsid w:val="003F3C23"/>
    <w:rsid w:val="00430DFC"/>
    <w:rsid w:val="00434FC8"/>
    <w:rsid w:val="00455425"/>
    <w:rsid w:val="004749CC"/>
    <w:rsid w:val="004D7FB7"/>
    <w:rsid w:val="00515D91"/>
    <w:rsid w:val="0052428C"/>
    <w:rsid w:val="005534EB"/>
    <w:rsid w:val="0058657F"/>
    <w:rsid w:val="00594475"/>
    <w:rsid w:val="005F1CB9"/>
    <w:rsid w:val="006B47F8"/>
    <w:rsid w:val="006C29BF"/>
    <w:rsid w:val="00715DB3"/>
    <w:rsid w:val="007221B6"/>
    <w:rsid w:val="00763A27"/>
    <w:rsid w:val="00766810"/>
    <w:rsid w:val="007A3F7A"/>
    <w:rsid w:val="007F6F6C"/>
    <w:rsid w:val="00846C8C"/>
    <w:rsid w:val="00890DBC"/>
    <w:rsid w:val="008F302F"/>
    <w:rsid w:val="00924B4B"/>
    <w:rsid w:val="00924B8F"/>
    <w:rsid w:val="00924D71"/>
    <w:rsid w:val="00954DA4"/>
    <w:rsid w:val="009740A2"/>
    <w:rsid w:val="009943AD"/>
    <w:rsid w:val="009D5D48"/>
    <w:rsid w:val="00BB60AE"/>
    <w:rsid w:val="00BE6DB8"/>
    <w:rsid w:val="00C30378"/>
    <w:rsid w:val="00C44869"/>
    <w:rsid w:val="00C96A26"/>
    <w:rsid w:val="00CB3EF7"/>
    <w:rsid w:val="00CF109F"/>
    <w:rsid w:val="00ED4792"/>
    <w:rsid w:val="00F14616"/>
    <w:rsid w:val="00F241AF"/>
    <w:rsid w:val="00F444B8"/>
    <w:rsid w:val="00FC0FCF"/>
    <w:rsid w:val="00FC4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21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D7FB7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7FB7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E6DB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BE6DB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BE6DB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BE6DB8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21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D7FB7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7FB7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E6DB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BE6DB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BE6DB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BE6DB8"/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1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1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77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7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6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6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7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8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9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6</Pages>
  <Words>1179</Words>
  <Characters>6488</Characters>
  <Application>Microsoft Office Word</Application>
  <DocSecurity>0</DocSecurity>
  <Lines>54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NTC</dc:creator>
  <cp:keywords/>
  <dc:description/>
  <cp:lastModifiedBy>NTC</cp:lastModifiedBy>
  <cp:revision>72</cp:revision>
  <dcterms:created xsi:type="dcterms:W3CDTF">2017-06-28T21:11:00Z</dcterms:created>
  <dcterms:modified xsi:type="dcterms:W3CDTF">2017-09-16T17:49:00Z</dcterms:modified>
</cp:coreProperties>
</file>