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6F3" w:rsidRPr="00EC192C" w:rsidRDefault="00EC192C" w:rsidP="00FE76F3">
      <w:pPr>
        <w:jc w:val="center"/>
        <w:rPr>
          <w:rFonts w:asciiTheme="majorBidi" w:eastAsia="Times New Roman" w:hAnsiTheme="majorBidi" w:cstheme="majorBidi"/>
          <w:b/>
          <w:bCs/>
          <w:sz w:val="28"/>
          <w:szCs w:val="28"/>
        </w:rPr>
      </w:pPr>
      <w:r w:rsidRPr="00EC192C">
        <w:rPr>
          <w:rFonts w:asciiTheme="majorBidi" w:eastAsia="Times New Roman" w:hAnsiTheme="majorBidi" w:cstheme="majorBidi"/>
          <w:b/>
          <w:bCs/>
          <w:sz w:val="28"/>
          <w:szCs w:val="28"/>
        </w:rPr>
        <w:t>INTRODUCTION</w:t>
      </w:r>
    </w:p>
    <w:p w:rsidR="00FE76F3" w:rsidRDefault="00FE76F3" w:rsidP="00F9596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</w:p>
    <w:p w:rsidR="00EC192C" w:rsidRDefault="00EC192C" w:rsidP="00F9596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</w:p>
    <w:p w:rsidR="00FE76F3" w:rsidRPr="00821E75" w:rsidRDefault="00FE76F3" w:rsidP="004E57BA">
      <w:pPr>
        <w:spacing w:line="360" w:lineRule="auto"/>
        <w:jc w:val="both"/>
        <w:rPr>
          <w:rFonts w:asciiTheme="majorBidi" w:eastAsia="Times New Roman" w:hAnsiTheme="majorBidi" w:cstheme="majorBidi"/>
          <w:color w:val="FF0000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</w:rPr>
        <w:t xml:space="preserve">      </w:t>
      </w:r>
      <w:r w:rsidR="00665000">
        <w:rPr>
          <w:rFonts w:asciiTheme="majorBidi" w:eastAsia="Times New Roman" w:hAnsiTheme="majorBidi" w:cstheme="majorBidi"/>
          <w:sz w:val="24"/>
          <w:szCs w:val="24"/>
        </w:rPr>
        <w:t xml:space="preserve">  </w:t>
      </w:r>
      <w:r w:rsidRPr="007B7AF8">
        <w:rPr>
          <w:rFonts w:asciiTheme="majorBidi" w:eastAsia="Times New Roman" w:hAnsiTheme="majorBidi" w:cstheme="majorBidi"/>
          <w:sz w:val="24"/>
          <w:szCs w:val="24"/>
        </w:rPr>
        <w:t xml:space="preserve"> L’arboriculture fruitière est très diversifiée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en Algérie. Elle est constituée </w:t>
      </w:r>
      <w:r w:rsidRPr="007B7AF8">
        <w:rPr>
          <w:rFonts w:asciiTheme="majorBidi" w:eastAsia="Times New Roman" w:hAnsiTheme="majorBidi" w:cstheme="majorBidi"/>
          <w:sz w:val="24"/>
          <w:szCs w:val="24"/>
        </w:rPr>
        <w:t xml:space="preserve">essentiellement,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Pr="007B7AF8">
        <w:rPr>
          <w:rFonts w:asciiTheme="majorBidi" w:eastAsia="Times New Roman" w:hAnsiTheme="majorBidi" w:cstheme="majorBidi"/>
          <w:sz w:val="24"/>
          <w:szCs w:val="24"/>
        </w:rPr>
        <w:t>de l’o</w:t>
      </w:r>
      <w:r w:rsidR="003B78EA">
        <w:rPr>
          <w:rFonts w:asciiTheme="majorBidi" w:eastAsia="Times New Roman" w:hAnsiTheme="majorBidi" w:cstheme="majorBidi"/>
          <w:sz w:val="24"/>
          <w:szCs w:val="24"/>
        </w:rPr>
        <w:t>livier, du figuier, de la vigne et des agrumes</w:t>
      </w:r>
      <w:r w:rsidRPr="007B7AF8">
        <w:rPr>
          <w:rFonts w:asciiTheme="majorBidi" w:eastAsia="Times New Roman" w:hAnsiTheme="majorBidi" w:cstheme="majorBidi"/>
          <w:sz w:val="24"/>
          <w:szCs w:val="24"/>
        </w:rPr>
        <w:t xml:space="preserve"> qui sont les espèces les plus importantes s</w:t>
      </w:r>
      <w:r>
        <w:rPr>
          <w:rFonts w:asciiTheme="majorBidi" w:eastAsia="Times New Roman" w:hAnsiTheme="majorBidi" w:cstheme="majorBidi"/>
          <w:sz w:val="24"/>
          <w:szCs w:val="24"/>
        </w:rPr>
        <w:t>ur</w:t>
      </w:r>
      <w:r w:rsidR="00821E75">
        <w:rPr>
          <w:rFonts w:asciiTheme="majorBidi" w:eastAsia="Times New Roman" w:hAnsiTheme="majorBidi" w:cstheme="majorBidi"/>
          <w:sz w:val="24"/>
          <w:szCs w:val="24"/>
        </w:rPr>
        <w:t xml:space="preserve"> le plan économique et social </w:t>
      </w:r>
      <w:r w:rsidR="00821E75" w:rsidRPr="004E57BA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(</w:t>
      </w:r>
      <w:r w:rsidR="004E57BA" w:rsidRPr="004E57BA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Chouaki</w:t>
      </w:r>
      <w:r w:rsidRPr="004E57BA">
        <w:rPr>
          <w:rFonts w:asciiTheme="majorBidi" w:eastAsia="Times New Roman" w:hAnsiTheme="majorBidi" w:cstheme="majorBidi"/>
          <w:color w:val="000000" w:themeColor="text1"/>
          <w:sz w:val="24"/>
          <w:szCs w:val="24"/>
        </w:rPr>
        <w:t>, 2006).</w:t>
      </w:r>
      <w:r w:rsidR="004E57BA">
        <w:rPr>
          <w:rFonts w:asciiTheme="majorBidi" w:eastAsia="Times New Roman" w:hAnsiTheme="majorBidi" w:cstheme="majorBidi"/>
          <w:color w:val="FF0000"/>
          <w:sz w:val="24"/>
          <w:szCs w:val="24"/>
        </w:rPr>
        <w:t xml:space="preserve"> </w:t>
      </w:r>
      <w:r w:rsidR="00821E75">
        <w:rPr>
          <w:rFonts w:asciiTheme="majorBidi" w:eastAsia="Times New Roman" w:hAnsiTheme="majorBidi" w:cstheme="majorBidi"/>
          <w:color w:val="FF0000"/>
          <w:sz w:val="24"/>
          <w:szCs w:val="24"/>
        </w:rPr>
        <w:t xml:space="preserve"> </w:t>
      </w:r>
    </w:p>
    <w:p w:rsidR="00665000" w:rsidRDefault="00665000" w:rsidP="00F9596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</w:rPr>
        <w:t xml:space="preserve">         La figue est un fruit très anciennement connu dans le monde. Cité dans la « Sourat Attine » du Coron, il est probablement originaire du Moyen Orient et naturalisé dans plusieurs régions et surtout celles du pourtour du bassin méditerranéen. Ce dernier fournit l’essentiel de la production mondiale, estimée à un million de tonnes dont 27</w:t>
      </w:r>
      <w:r w:rsidR="00821E75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>
        <w:rPr>
          <w:rFonts w:asciiTheme="majorBidi" w:eastAsia="Times New Roman" w:hAnsiTheme="majorBidi" w:cstheme="majorBidi"/>
          <w:sz w:val="24"/>
          <w:szCs w:val="24"/>
        </w:rPr>
        <w:t>% est produit par la Turquie (Oukabli, 2003).</w:t>
      </w:r>
    </w:p>
    <w:p w:rsidR="00665000" w:rsidRDefault="00C8223D" w:rsidP="00F9596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</w:rPr>
        <w:t xml:space="preserve">       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Le figuier (</w:t>
      </w:r>
      <w:r w:rsidRPr="00C8223D">
        <w:rPr>
          <w:rFonts w:asciiTheme="majorBidi" w:eastAsia="Times New Roman" w:hAnsiTheme="majorBidi" w:cstheme="majorBidi"/>
          <w:i/>
          <w:iCs/>
          <w:sz w:val="24"/>
          <w:szCs w:val="24"/>
        </w:rPr>
        <w:t>Ficus carica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L.) est une espèce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diploïde (</w:t>
      </w:r>
      <w:r w:rsidR="003B78EA">
        <w:rPr>
          <w:rFonts w:asciiTheme="majorBidi" w:eastAsia="Times New Roman" w:hAnsiTheme="majorBidi" w:cstheme="majorBidi"/>
          <w:sz w:val="24"/>
          <w:szCs w:val="24"/>
        </w:rPr>
        <w:t>2n = 26) de la famille des M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oracées,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 xml:space="preserve">bien </w:t>
      </w:r>
      <w:r>
        <w:rPr>
          <w:rFonts w:asciiTheme="majorBidi" w:eastAsia="Times New Roman" w:hAnsiTheme="majorBidi" w:cstheme="majorBidi"/>
          <w:sz w:val="24"/>
          <w:szCs w:val="24"/>
        </w:rPr>
        <w:t>adaptée aux conditions bioclima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tiques des pays du Bassin méditerranéen.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C’est la seule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espèce de cette famille cultivée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Pr="00C8223D">
        <w:rPr>
          <w:rFonts w:asciiTheme="majorBidi" w:eastAsia="Times New Roman" w:hAnsiTheme="majorBidi" w:cstheme="majorBidi"/>
          <w:sz w:val="24"/>
          <w:szCs w:val="24"/>
        </w:rPr>
        <w:t>po</w:t>
      </w:r>
      <w:r w:rsidR="00821E75">
        <w:rPr>
          <w:rFonts w:asciiTheme="majorBidi" w:eastAsia="Times New Roman" w:hAnsiTheme="majorBidi" w:cstheme="majorBidi"/>
          <w:sz w:val="24"/>
          <w:szCs w:val="24"/>
        </w:rPr>
        <w:t>ur ses fruits comestibles (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Chatti et </w:t>
      </w:r>
      <w:r w:rsidRPr="00821E75">
        <w:rPr>
          <w:rFonts w:asciiTheme="majorBidi" w:eastAsia="Times New Roman" w:hAnsiTheme="majorBidi" w:cstheme="majorBidi"/>
          <w:i/>
          <w:iCs/>
          <w:sz w:val="24"/>
          <w:szCs w:val="24"/>
        </w:rPr>
        <w:t>al</w:t>
      </w:r>
      <w:r>
        <w:rPr>
          <w:rFonts w:asciiTheme="majorBidi" w:eastAsia="Times New Roman" w:hAnsiTheme="majorBidi" w:cstheme="majorBidi"/>
          <w:sz w:val="24"/>
          <w:szCs w:val="24"/>
        </w:rPr>
        <w:t>.,</w:t>
      </w:r>
      <w:r w:rsidR="00821E75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>
        <w:rPr>
          <w:rFonts w:asciiTheme="majorBidi" w:eastAsia="Times New Roman" w:hAnsiTheme="majorBidi" w:cstheme="majorBidi"/>
          <w:sz w:val="24"/>
          <w:szCs w:val="24"/>
        </w:rPr>
        <w:t>2003).</w:t>
      </w:r>
    </w:p>
    <w:p w:rsidR="000F7316" w:rsidRDefault="00C8223D" w:rsidP="00F95966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</w:rPr>
        <w:t xml:space="preserve">        La culture du figuier </w:t>
      </w:r>
      <w:r>
        <w:rPr>
          <w:rFonts w:asciiTheme="majorBidi" w:eastAsia="Times New Roman" w:hAnsiTheme="majorBidi" w:cstheme="majorBidi"/>
          <w:i/>
          <w:iCs/>
          <w:sz w:val="24"/>
          <w:szCs w:val="24"/>
        </w:rPr>
        <w:t xml:space="preserve">Ficus carica </w:t>
      </w:r>
      <w:r>
        <w:rPr>
          <w:rFonts w:asciiTheme="majorBidi" w:eastAsia="Times New Roman" w:hAnsiTheme="majorBidi" w:cstheme="majorBidi"/>
          <w:sz w:val="24"/>
          <w:szCs w:val="24"/>
        </w:rPr>
        <w:t>L. occupe, en Algérie, une superficie d’environ 39830 ha soit au totale prés de cinq million d’arbres et fournit une production de 110058 tonne</w:t>
      </w:r>
      <w:r w:rsidR="003B78EA">
        <w:rPr>
          <w:rFonts w:asciiTheme="majorBidi" w:eastAsia="Times New Roman" w:hAnsiTheme="majorBidi" w:cstheme="majorBidi"/>
          <w:sz w:val="24"/>
          <w:szCs w:val="24"/>
        </w:rPr>
        <w:t>s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de figues/an (FAO STAT, 2012). Cette espèce à une grande importante économique dans plusieurs régions et sa culture est concentrée dans les wilayas de Bejaia, Tizi-Ouzou et Sétif. La wilaya de Bejaia occupe la première place nationale en enregistrant une superficie figuicol</w:t>
      </w:r>
      <w:r w:rsidR="00821E75">
        <w:rPr>
          <w:rFonts w:asciiTheme="majorBidi" w:eastAsia="Times New Roman" w:hAnsiTheme="majorBidi" w:cstheme="majorBidi"/>
          <w:sz w:val="24"/>
          <w:szCs w:val="24"/>
        </w:rPr>
        <w:t>e de 13352 ha avec un nombre d’</w:t>
      </w:r>
      <w:r>
        <w:rPr>
          <w:rFonts w:asciiTheme="majorBidi" w:eastAsia="Times New Roman" w:hAnsiTheme="majorBidi" w:cstheme="majorBidi"/>
          <w:sz w:val="24"/>
          <w:szCs w:val="24"/>
        </w:rPr>
        <w:t>arbres de 1 236 730 figuiers et une production total de 138 650 quintaux/an (D.S.A, 2007).</w:t>
      </w:r>
    </w:p>
    <w:p w:rsidR="00821E75" w:rsidRDefault="000F7316" w:rsidP="004E57BA">
      <w:pPr>
        <w:spacing w:line="360" w:lineRule="auto"/>
        <w:jc w:val="both"/>
        <w:rPr>
          <w:rFonts w:asciiTheme="majorBidi" w:eastAsia="Times New Roman" w:hAnsiTheme="majorBidi" w:cstheme="majorBidi"/>
          <w:color w:val="FF0000"/>
          <w:sz w:val="24"/>
          <w:szCs w:val="24"/>
        </w:rPr>
      </w:pPr>
      <w:r>
        <w:rPr>
          <w:rFonts w:asciiTheme="majorBidi" w:eastAsia="Times New Roman" w:hAnsiTheme="majorBidi" w:cstheme="majorBidi"/>
          <w:sz w:val="24"/>
          <w:szCs w:val="24"/>
        </w:rPr>
        <w:t xml:space="preserve">        </w:t>
      </w:r>
      <w:r w:rsidRPr="000F7316">
        <w:rPr>
          <w:rFonts w:asciiTheme="majorBidi" w:eastAsia="Times New Roman" w:hAnsiTheme="majorBidi" w:cstheme="majorBidi"/>
          <w:sz w:val="24"/>
          <w:szCs w:val="24"/>
        </w:rPr>
        <w:t xml:space="preserve"> La figue est un fruit très apprécié grâce à son goût sucré et agréable. Elle peut être consommée en frais, comme aliment très nourrissant ou séchée. Elle est très énergétique, riche en vitamines et éléments minéraux</w:t>
      </w:r>
      <w:r w:rsidR="00821E75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(Oukabli, 2003). </w:t>
      </w:r>
      <w:r w:rsidRPr="000F7316">
        <w:rPr>
          <w:rFonts w:asciiTheme="majorBidi" w:eastAsia="Times New Roman" w:hAnsiTheme="majorBidi" w:cstheme="majorBidi"/>
          <w:sz w:val="24"/>
          <w:szCs w:val="24"/>
        </w:rPr>
        <w:t>En médecine chinoise, la figue est utilisée pour élimine</w:t>
      </w:r>
      <w:r w:rsidR="00821E75">
        <w:rPr>
          <w:rFonts w:asciiTheme="majorBidi" w:eastAsia="Times New Roman" w:hAnsiTheme="majorBidi" w:cstheme="majorBidi"/>
          <w:sz w:val="24"/>
          <w:szCs w:val="24"/>
        </w:rPr>
        <w:t>r les toxines et traiter les fu</w:t>
      </w:r>
      <w:r w:rsidRPr="000F7316">
        <w:rPr>
          <w:rFonts w:asciiTheme="majorBidi" w:eastAsia="Times New Roman" w:hAnsiTheme="majorBidi" w:cstheme="majorBidi"/>
          <w:sz w:val="24"/>
          <w:szCs w:val="24"/>
        </w:rPr>
        <w:t xml:space="preserve">roncles. En herboristerie, elle est utilisée en préparation pour soigner les rhumes et dégager 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les voies </w:t>
      </w:r>
      <w:r w:rsidRPr="004E57BA">
        <w:rPr>
          <w:rFonts w:asciiTheme="majorBidi" w:eastAsia="Times New Roman" w:hAnsiTheme="majorBidi" w:cstheme="majorBidi"/>
          <w:sz w:val="24"/>
          <w:szCs w:val="24"/>
        </w:rPr>
        <w:t>respiratoires</w:t>
      </w:r>
      <w:r w:rsidR="00821E75" w:rsidRPr="004E57BA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E65555" w:rsidRPr="004E57BA">
        <w:rPr>
          <w:rFonts w:asciiTheme="majorBidi" w:eastAsia="Times New Roman" w:hAnsiTheme="majorBidi" w:cstheme="majorBidi"/>
          <w:sz w:val="24"/>
          <w:szCs w:val="24"/>
        </w:rPr>
        <w:t>(Mahmodi et Saidani, 20</w:t>
      </w:r>
      <w:r w:rsidR="004E57BA" w:rsidRPr="004E57BA">
        <w:rPr>
          <w:rFonts w:asciiTheme="majorBidi" w:eastAsia="Times New Roman" w:hAnsiTheme="majorBidi" w:cstheme="majorBidi"/>
          <w:sz w:val="24"/>
          <w:szCs w:val="24"/>
        </w:rPr>
        <w:t>1</w:t>
      </w:r>
      <w:r w:rsidR="00E65555" w:rsidRPr="004E57BA">
        <w:rPr>
          <w:rFonts w:asciiTheme="majorBidi" w:eastAsia="Times New Roman" w:hAnsiTheme="majorBidi" w:cstheme="majorBidi"/>
          <w:sz w:val="24"/>
          <w:szCs w:val="24"/>
        </w:rPr>
        <w:t>4)</w:t>
      </w:r>
      <w:r w:rsidR="004E57BA" w:rsidRPr="004E57BA">
        <w:rPr>
          <w:rFonts w:asciiTheme="majorBidi" w:eastAsia="Times New Roman" w:hAnsiTheme="majorBidi" w:cstheme="majorBidi"/>
          <w:sz w:val="24"/>
          <w:szCs w:val="24"/>
        </w:rPr>
        <w:t>.</w:t>
      </w:r>
    </w:p>
    <w:p w:rsidR="00BE33AE" w:rsidRPr="00821E75" w:rsidRDefault="00821E75" w:rsidP="003B78EA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</w:rPr>
      </w:pPr>
      <w:r>
        <w:rPr>
          <w:rFonts w:asciiTheme="majorBidi" w:eastAsia="Times New Roman" w:hAnsiTheme="majorBidi" w:cstheme="majorBidi"/>
          <w:color w:val="FF0000"/>
          <w:sz w:val="24"/>
          <w:szCs w:val="24"/>
        </w:rPr>
        <w:tab/>
      </w:r>
      <w:r w:rsidR="004F4FD4" w:rsidRPr="00BE33AE">
        <w:rPr>
          <w:rFonts w:asciiTheme="majorBidi" w:eastAsia="Times New Roman" w:hAnsiTheme="majorBidi" w:cstheme="majorBidi"/>
          <w:sz w:val="24"/>
          <w:szCs w:val="24"/>
        </w:rPr>
        <w:t xml:space="preserve">Ce travail a pour objectif dans </w:t>
      </w:r>
      <w:r w:rsidR="00BE33AE" w:rsidRPr="00BE33AE">
        <w:rPr>
          <w:rFonts w:asciiTheme="majorBidi" w:eastAsia="Times New Roman" w:hAnsiTheme="majorBidi" w:cstheme="majorBidi"/>
          <w:sz w:val="24"/>
          <w:szCs w:val="24"/>
        </w:rPr>
        <w:t xml:space="preserve">un </w:t>
      </w:r>
      <w:r w:rsidR="004F4FD4" w:rsidRPr="00BE33AE">
        <w:rPr>
          <w:rFonts w:asciiTheme="majorBidi" w:eastAsia="Times New Roman" w:hAnsiTheme="majorBidi" w:cstheme="majorBidi"/>
          <w:sz w:val="24"/>
          <w:szCs w:val="24"/>
        </w:rPr>
        <w:t>premier</w:t>
      </w:r>
      <w:r w:rsidR="00BE33AE" w:rsidRPr="00BE33AE">
        <w:rPr>
          <w:rFonts w:asciiTheme="majorBidi" w:eastAsia="Times New Roman" w:hAnsiTheme="majorBidi" w:cstheme="majorBidi"/>
          <w:sz w:val="24"/>
          <w:szCs w:val="24"/>
        </w:rPr>
        <w:t xml:space="preserve"> volet la caractérisation morphologiques de </w:t>
      </w:r>
      <w:r w:rsidR="003B78EA">
        <w:rPr>
          <w:rFonts w:asciiTheme="majorBidi" w:eastAsia="Times New Roman" w:hAnsiTheme="majorBidi" w:cstheme="majorBidi"/>
          <w:sz w:val="24"/>
          <w:szCs w:val="24"/>
        </w:rPr>
        <w:t>cinq</w:t>
      </w:r>
      <w:r w:rsidR="00BE33AE" w:rsidRPr="00BE33AE">
        <w:rPr>
          <w:rFonts w:asciiTheme="majorBidi" w:eastAsia="Times New Roman" w:hAnsiTheme="majorBidi" w:cstheme="majorBidi"/>
          <w:sz w:val="24"/>
          <w:szCs w:val="24"/>
        </w:rPr>
        <w:t xml:space="preserve"> variétés de figues produites dans la wilaya de Bouira. Dans un deuxième volet </w:t>
      </w:r>
      <w:r w:rsidR="00FC3F24" w:rsidRPr="00BE33AE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BE33AE" w:rsidRPr="00BE33AE">
        <w:rPr>
          <w:rFonts w:asciiTheme="majorBidi" w:eastAsia="Times New Roman" w:hAnsiTheme="majorBidi" w:cstheme="majorBidi"/>
          <w:sz w:val="24"/>
          <w:szCs w:val="24"/>
        </w:rPr>
        <w:t>la détermination des propriétés physico-chimiques de</w:t>
      </w:r>
      <w:r>
        <w:rPr>
          <w:rFonts w:asciiTheme="majorBidi" w:eastAsia="Times New Roman" w:hAnsiTheme="majorBidi" w:cstheme="majorBidi"/>
          <w:sz w:val="24"/>
          <w:szCs w:val="24"/>
        </w:rPr>
        <w:t xml:space="preserve"> leurs pulpes et </w:t>
      </w:r>
      <w:r w:rsidR="003B78EA">
        <w:rPr>
          <w:rFonts w:asciiTheme="majorBidi" w:eastAsia="Times New Roman" w:hAnsiTheme="majorBidi" w:cstheme="majorBidi"/>
          <w:sz w:val="24"/>
          <w:szCs w:val="24"/>
        </w:rPr>
        <w:t xml:space="preserve">de leurs </w:t>
      </w:r>
      <w:r>
        <w:rPr>
          <w:rFonts w:asciiTheme="majorBidi" w:eastAsia="Times New Roman" w:hAnsiTheme="majorBidi" w:cstheme="majorBidi"/>
          <w:sz w:val="24"/>
          <w:szCs w:val="24"/>
        </w:rPr>
        <w:t>pelures pour connaî</w:t>
      </w:r>
      <w:r w:rsidR="00BE33AE">
        <w:rPr>
          <w:rFonts w:asciiTheme="majorBidi" w:eastAsia="Times New Roman" w:hAnsiTheme="majorBidi" w:cstheme="majorBidi"/>
          <w:sz w:val="24"/>
          <w:szCs w:val="24"/>
        </w:rPr>
        <w:t>tre leur valeur alime</w:t>
      </w:r>
      <w:r>
        <w:rPr>
          <w:rFonts w:asciiTheme="majorBidi" w:eastAsia="Times New Roman" w:hAnsiTheme="majorBidi" w:cstheme="majorBidi"/>
          <w:sz w:val="24"/>
          <w:szCs w:val="24"/>
        </w:rPr>
        <w:t>ntaire</w:t>
      </w:r>
      <w:r w:rsidR="00BE33AE">
        <w:rPr>
          <w:rFonts w:asciiTheme="majorBidi" w:eastAsia="Times New Roman" w:hAnsiTheme="majorBidi" w:cstheme="majorBidi"/>
          <w:sz w:val="24"/>
          <w:szCs w:val="24"/>
        </w:rPr>
        <w:t xml:space="preserve">. </w:t>
      </w:r>
      <w:r w:rsidR="00BE33AE" w:rsidRPr="00BE33AE">
        <w:rPr>
          <w:rFonts w:asciiTheme="majorBidi" w:eastAsia="Times New Roman" w:hAnsiTheme="majorBidi" w:cstheme="majorBidi"/>
          <w:sz w:val="24"/>
          <w:szCs w:val="24"/>
        </w:rPr>
        <w:t xml:space="preserve"> </w:t>
      </w:r>
      <w:r w:rsidR="00BE33AE">
        <w:rPr>
          <w:rFonts w:asciiTheme="majorBidi" w:eastAsia="Times New Roman" w:hAnsiTheme="majorBidi" w:cstheme="majorBidi"/>
          <w:sz w:val="24"/>
          <w:szCs w:val="24"/>
        </w:rPr>
        <w:t xml:space="preserve"> </w:t>
      </w:r>
    </w:p>
    <w:p w:rsidR="008C5C1B" w:rsidRPr="00D83C9D" w:rsidRDefault="008C5C1B" w:rsidP="00821E75">
      <w:pPr>
        <w:spacing w:line="360" w:lineRule="auto"/>
        <w:rPr>
          <w:rFonts w:asciiTheme="majorBidi" w:eastAsia="Times New Roman" w:hAnsiTheme="majorBidi" w:cstheme="majorBidi"/>
          <w:sz w:val="24"/>
          <w:szCs w:val="24"/>
        </w:rPr>
      </w:pPr>
    </w:p>
    <w:sectPr w:rsidR="008C5C1B" w:rsidRPr="00D83C9D" w:rsidSect="00FE76F3">
      <w:footerReference w:type="default" r:id="rId6"/>
      <w:pgSz w:w="11906" w:h="16838"/>
      <w:pgMar w:top="1134" w:right="1134" w:bottom="1134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ED3" w:rsidRDefault="00787ED3" w:rsidP="00FE76F3">
      <w:pPr>
        <w:spacing w:after="0" w:line="240" w:lineRule="auto"/>
      </w:pPr>
      <w:r>
        <w:separator/>
      </w:r>
    </w:p>
  </w:endnote>
  <w:endnote w:type="continuationSeparator" w:id="1">
    <w:p w:rsidR="00787ED3" w:rsidRDefault="00787ED3" w:rsidP="00FE7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2422032"/>
      <w:docPartObj>
        <w:docPartGallery w:val="Page Numbers (Bottom of Page)"/>
        <w:docPartUnique/>
      </w:docPartObj>
    </w:sdtPr>
    <w:sdtContent>
      <w:p w:rsidR="008A2C67" w:rsidRDefault="00BE06AE">
        <w:pPr>
          <w:pStyle w:val="a4"/>
          <w:jc w:val="center"/>
        </w:pPr>
        <w:fldSimple w:instr=" PAGE   \* MERGEFORMAT ">
          <w:r w:rsidR="004E57BA">
            <w:rPr>
              <w:noProof/>
            </w:rPr>
            <w:t>1</w:t>
          </w:r>
        </w:fldSimple>
      </w:p>
    </w:sdtContent>
  </w:sdt>
  <w:p w:rsidR="008A2C67" w:rsidRDefault="008A2C67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ED3" w:rsidRDefault="00787ED3" w:rsidP="00FE76F3">
      <w:pPr>
        <w:spacing w:after="0" w:line="240" w:lineRule="auto"/>
      </w:pPr>
      <w:r>
        <w:separator/>
      </w:r>
    </w:p>
  </w:footnote>
  <w:footnote w:type="continuationSeparator" w:id="1">
    <w:p w:rsidR="00787ED3" w:rsidRDefault="00787ED3" w:rsidP="00FE76F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E76F3"/>
    <w:rsid w:val="000F7316"/>
    <w:rsid w:val="00123B8B"/>
    <w:rsid w:val="0020597F"/>
    <w:rsid w:val="002E154A"/>
    <w:rsid w:val="00386A25"/>
    <w:rsid w:val="003B78EA"/>
    <w:rsid w:val="004B2714"/>
    <w:rsid w:val="004E57BA"/>
    <w:rsid w:val="004F4FD4"/>
    <w:rsid w:val="006424B3"/>
    <w:rsid w:val="00665000"/>
    <w:rsid w:val="00787ED3"/>
    <w:rsid w:val="00821E75"/>
    <w:rsid w:val="00870EAF"/>
    <w:rsid w:val="008A2C67"/>
    <w:rsid w:val="008C5C1B"/>
    <w:rsid w:val="008E5E42"/>
    <w:rsid w:val="00B30682"/>
    <w:rsid w:val="00B74DF8"/>
    <w:rsid w:val="00B84AF6"/>
    <w:rsid w:val="00BE06AE"/>
    <w:rsid w:val="00BE33AE"/>
    <w:rsid w:val="00C4384F"/>
    <w:rsid w:val="00C8223D"/>
    <w:rsid w:val="00D83C9D"/>
    <w:rsid w:val="00DA6548"/>
    <w:rsid w:val="00DD09D2"/>
    <w:rsid w:val="00E65555"/>
    <w:rsid w:val="00E75390"/>
    <w:rsid w:val="00EC192C"/>
    <w:rsid w:val="00EF17C6"/>
    <w:rsid w:val="00F95966"/>
    <w:rsid w:val="00FC3F24"/>
    <w:rsid w:val="00FE76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3B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E7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">
    <w:name w:val="رأس صفحة Char"/>
    <w:basedOn w:val="a0"/>
    <w:link w:val="a3"/>
    <w:uiPriority w:val="99"/>
    <w:semiHidden/>
    <w:rsid w:val="00FE76F3"/>
  </w:style>
  <w:style w:type="paragraph" w:styleId="a4">
    <w:name w:val="footer"/>
    <w:basedOn w:val="a"/>
    <w:link w:val="Char0"/>
    <w:uiPriority w:val="99"/>
    <w:unhideWhenUsed/>
    <w:rsid w:val="00FE7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Char0">
    <w:name w:val="تذييل صفحة Char"/>
    <w:basedOn w:val="a0"/>
    <w:link w:val="a4"/>
    <w:uiPriority w:val="99"/>
    <w:rsid w:val="00FE76F3"/>
  </w:style>
  <w:style w:type="paragraph" w:styleId="a5">
    <w:name w:val="Normal (Web)"/>
    <w:basedOn w:val="a"/>
    <w:uiPriority w:val="99"/>
    <w:semiHidden/>
    <w:unhideWhenUsed/>
    <w:rsid w:val="00BE33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31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1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353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BARAA NET</dc:creator>
  <cp:lastModifiedBy>BARAA NET</cp:lastModifiedBy>
  <cp:revision>6</cp:revision>
  <dcterms:created xsi:type="dcterms:W3CDTF">2016-09-08T11:41:00Z</dcterms:created>
  <dcterms:modified xsi:type="dcterms:W3CDTF">2016-09-09T12:00:00Z</dcterms:modified>
</cp:coreProperties>
</file>