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9A" w:rsidRPr="006806EC" w:rsidRDefault="00AC7958" w:rsidP="003A459A">
      <w:pPr>
        <w:pStyle w:val="a4"/>
        <w:spacing w:before="0" w:beforeAutospacing="0" w:after="0" w:afterAutospacing="0" w:line="360" w:lineRule="auto"/>
        <w:jc w:val="both"/>
        <w:rPr>
          <w:sz w:val="28"/>
          <w:szCs w:val="28"/>
        </w:rPr>
      </w:pPr>
      <w:r>
        <w:rPr>
          <w:rFonts w:asciiTheme="majorBidi" w:hAnsiTheme="majorBidi" w:cstheme="majorBidi"/>
          <w:b/>
          <w:bCs/>
          <w:sz w:val="28"/>
          <w:szCs w:val="28"/>
        </w:rPr>
        <w:t>1</w:t>
      </w:r>
      <w:r w:rsidR="003A459A" w:rsidRPr="006806EC">
        <w:rPr>
          <w:rFonts w:asciiTheme="majorBidi" w:hAnsiTheme="majorBidi" w:cstheme="majorBidi"/>
          <w:b/>
          <w:bCs/>
          <w:sz w:val="28"/>
          <w:szCs w:val="28"/>
        </w:rPr>
        <w:t>.</w:t>
      </w:r>
      <w:r w:rsidR="003A459A">
        <w:rPr>
          <w:rFonts w:asciiTheme="majorBidi" w:hAnsiTheme="majorBidi" w:cstheme="majorBidi" w:hint="cs"/>
          <w:b/>
          <w:bCs/>
          <w:sz w:val="28"/>
          <w:szCs w:val="28"/>
          <w:rtl/>
        </w:rPr>
        <w:t xml:space="preserve"> </w:t>
      </w:r>
      <w:r w:rsidR="003A459A" w:rsidRPr="006806EC">
        <w:rPr>
          <w:rFonts w:asciiTheme="majorBidi" w:hAnsiTheme="majorBidi" w:cstheme="majorBidi"/>
          <w:b/>
          <w:bCs/>
          <w:sz w:val="28"/>
          <w:szCs w:val="28"/>
        </w:rPr>
        <w:t>Principe de culture </w:t>
      </w:r>
      <w:r w:rsidR="003A459A">
        <w:rPr>
          <w:rFonts w:asciiTheme="majorBidi" w:hAnsiTheme="majorBidi" w:cstheme="majorBidi"/>
          <w:b/>
          <w:bCs/>
          <w:sz w:val="28"/>
          <w:szCs w:val="28"/>
        </w:rPr>
        <w:t>de cellules souches</w:t>
      </w:r>
    </w:p>
    <w:p w:rsidR="003A459A" w:rsidRPr="006806EC" w:rsidRDefault="003A459A" w:rsidP="003A459A">
      <w:pPr>
        <w:spacing w:after="0" w:line="360" w:lineRule="auto"/>
        <w:ind w:left="426"/>
        <w:jc w:val="both"/>
        <w:rPr>
          <w:rFonts w:ascii="Times New Roman" w:hAnsi="Times New Roman" w:cs="Times New Roman"/>
          <w:b/>
          <w:bCs/>
          <w:color w:val="000000"/>
          <w:sz w:val="24"/>
          <w:szCs w:val="24"/>
        </w:rPr>
      </w:pPr>
    </w:p>
    <w:p w:rsidR="003A459A" w:rsidRPr="00CB5E91" w:rsidRDefault="003A459A" w:rsidP="003A459A">
      <w:pPr>
        <w:spacing w:after="0" w:line="360" w:lineRule="auto"/>
        <w:jc w:val="both"/>
        <w:rPr>
          <w:rFonts w:ascii="Times New Roman" w:eastAsia="Times New Roman" w:hAnsi="Times New Roman" w:cs="Times New Roman"/>
          <w:sz w:val="24"/>
          <w:szCs w:val="24"/>
        </w:rPr>
      </w:pPr>
      <w:r w:rsidRPr="00CB5E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CB5E91">
        <w:rPr>
          <w:rFonts w:ascii="Times New Roman" w:eastAsia="Times New Roman" w:hAnsi="Times New Roman" w:cs="Times New Roman"/>
          <w:sz w:val="24"/>
          <w:szCs w:val="24"/>
        </w:rPr>
        <w:t>La culture cellulaire n'apparait proprement dite qu'à partir de 1952 lors de l'introduction de la trypsinisation des tissus</w:t>
      </w:r>
      <w:r>
        <w:rPr>
          <w:rFonts w:ascii="Times New Roman" w:eastAsia="Times New Roman" w:hAnsi="Times New Roman" w:cs="Times New Roman"/>
          <w:sz w:val="24"/>
          <w:szCs w:val="24"/>
        </w:rPr>
        <w:t xml:space="preserve"> par Moscona en 1952. Il procéda</w:t>
      </w:r>
      <w:r w:rsidRPr="00CB5E91">
        <w:rPr>
          <w:rFonts w:ascii="Times New Roman" w:eastAsia="Times New Roman" w:hAnsi="Times New Roman" w:cs="Times New Roman"/>
          <w:sz w:val="24"/>
          <w:szCs w:val="24"/>
        </w:rPr>
        <w:t xml:space="preserve"> à la digestion de tissu d'œuf de poulet avec de la trypsine afin d'obtenir des cellules isolées  ou des amas de cellules capables de se diviser in-vitro.</w:t>
      </w:r>
    </w:p>
    <w:p w:rsidR="003A459A"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Pr>
      </w:pPr>
      <w:r w:rsidRPr="00CB5E9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CB5E91">
        <w:rPr>
          <w:rFonts w:ascii="Times New Roman" w:eastAsia="Times New Roman" w:hAnsi="Times New Roman" w:cs="Times New Roman"/>
          <w:sz w:val="24"/>
          <w:szCs w:val="24"/>
        </w:rPr>
        <w:t>Les cel</w:t>
      </w:r>
      <w:r>
        <w:rPr>
          <w:rFonts w:ascii="Times New Roman" w:eastAsia="Times New Roman" w:hAnsi="Times New Roman" w:cs="Times New Roman"/>
          <w:sz w:val="24"/>
          <w:szCs w:val="24"/>
        </w:rPr>
        <w:t>lules sont cultivées en flacon</w:t>
      </w:r>
      <w:r w:rsidRPr="00CB5E91">
        <w:rPr>
          <w:rFonts w:ascii="Times New Roman" w:eastAsia="Times New Roman" w:hAnsi="Times New Roman" w:cs="Times New Roman"/>
          <w:sz w:val="24"/>
          <w:szCs w:val="24"/>
        </w:rPr>
        <w:t xml:space="preserve"> T 75 cm2 TPL_ a 37°C sous 5% de CO2 en atmosphère humide dans du milieu Dexter complet. A</w:t>
      </w:r>
      <w:r>
        <w:rPr>
          <w:rFonts w:ascii="Times New Roman" w:eastAsia="Times New Roman" w:hAnsi="Times New Roman" w:cs="Times New Roman"/>
          <w:sz w:val="24"/>
          <w:szCs w:val="24"/>
        </w:rPr>
        <w:t>u 3</w:t>
      </w:r>
      <w:r w:rsidRPr="00535D14">
        <w:rPr>
          <w:rFonts w:ascii="Times New Roman" w:eastAsia="Times New Roman" w:hAnsi="Times New Roman" w:cs="Times New Roman"/>
          <w:b/>
          <w:bCs/>
          <w:sz w:val="24"/>
          <w:szCs w:val="24"/>
          <w:vertAlign w:val="superscript"/>
        </w:rPr>
        <w:t>éme</w:t>
      </w:r>
      <w:r>
        <w:rPr>
          <w:rFonts w:ascii="Times New Roman" w:eastAsia="Times New Roman" w:hAnsi="Times New Roman" w:cs="Times New Roman"/>
          <w:b/>
          <w:bCs/>
          <w:sz w:val="24"/>
          <w:szCs w:val="24"/>
          <w:vertAlign w:val="superscript"/>
        </w:rPr>
        <w:t xml:space="preserve"> </w:t>
      </w:r>
      <w:r w:rsidRPr="00535D14">
        <w:rPr>
          <w:rFonts w:ascii="Times New Roman" w:eastAsia="Times New Roman" w:hAnsi="Times New Roman" w:cs="Times New Roman"/>
          <w:sz w:val="24"/>
          <w:szCs w:val="24"/>
        </w:rPr>
        <w:t>jour</w:t>
      </w:r>
      <w:r>
        <w:rPr>
          <w:rFonts w:ascii="Times New Roman" w:eastAsia="Times New Roman" w:hAnsi="Times New Roman" w:cs="Times New Roman"/>
          <w:b/>
          <w:bCs/>
          <w:sz w:val="24"/>
          <w:szCs w:val="24"/>
        </w:rPr>
        <w:t xml:space="preserve"> </w:t>
      </w:r>
      <w:r w:rsidRPr="00CB5E91">
        <w:rPr>
          <w:rFonts w:ascii="Times New Roman" w:eastAsia="Times New Roman" w:hAnsi="Times New Roman" w:cs="Times New Roman"/>
          <w:sz w:val="24"/>
          <w:szCs w:val="24"/>
        </w:rPr>
        <w:t>il faut vérifier la présence de cellules adhérentes et changer le milieu (les CSM sont au passage zéro (P0)), A</w:t>
      </w:r>
      <w:r>
        <w:rPr>
          <w:rFonts w:ascii="Times New Roman" w:eastAsia="Times New Roman" w:hAnsi="Times New Roman" w:cs="Times New Roman"/>
          <w:sz w:val="24"/>
          <w:szCs w:val="24"/>
        </w:rPr>
        <w:t>u 6</w:t>
      </w:r>
      <w:r w:rsidRPr="00535D14">
        <w:rPr>
          <w:rFonts w:ascii="Times New Roman" w:eastAsia="Times New Roman" w:hAnsi="Times New Roman" w:cs="Times New Roman"/>
          <w:b/>
          <w:bCs/>
          <w:sz w:val="24"/>
          <w:szCs w:val="24"/>
          <w:vertAlign w:val="superscript"/>
        </w:rPr>
        <w:t>éme</w:t>
      </w:r>
      <w:r>
        <w:rPr>
          <w:rFonts w:ascii="Times New Roman" w:eastAsia="Times New Roman" w:hAnsi="Times New Roman" w:cs="Times New Roman"/>
          <w:sz w:val="24"/>
          <w:szCs w:val="24"/>
        </w:rPr>
        <w:t xml:space="preserve"> jour</w:t>
      </w:r>
      <w:r w:rsidRPr="00CB5E91">
        <w:rPr>
          <w:rFonts w:ascii="Times New Roman" w:eastAsia="Times New Roman" w:hAnsi="Times New Roman" w:cs="Times New Roman"/>
          <w:sz w:val="24"/>
          <w:szCs w:val="24"/>
        </w:rPr>
        <w:t xml:space="preserve"> après l’ensemencement, sachant que les CSM ont la propriété d’adhérer au plastique, les cellules sont lavées et ensemencées au premier passage P1 a une co</w:t>
      </w:r>
      <w:r>
        <w:rPr>
          <w:rFonts w:ascii="Times New Roman" w:eastAsia="Times New Roman" w:hAnsi="Times New Roman" w:cs="Times New Roman"/>
          <w:sz w:val="24"/>
          <w:szCs w:val="24"/>
        </w:rPr>
        <w:t>ncentration de 4.105 par flacon T75 cm2.</w:t>
      </w:r>
    </w:p>
    <w:p w:rsidR="003A459A"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CB5E91">
        <w:rPr>
          <w:rFonts w:ascii="Times New Roman" w:eastAsia="Times New Roman" w:hAnsi="Times New Roman" w:cs="Times New Roman"/>
          <w:sz w:val="24"/>
          <w:szCs w:val="24"/>
        </w:rPr>
        <w:t xml:space="preserve"> Après deux changements de milieu, seules des Cellules Souches mésenchymateuse persistent et se multi</w:t>
      </w:r>
      <w:r>
        <w:rPr>
          <w:rFonts w:ascii="Times New Roman" w:eastAsia="Times New Roman" w:hAnsi="Times New Roman" w:cs="Times New Roman"/>
          <w:sz w:val="24"/>
          <w:szCs w:val="24"/>
        </w:rPr>
        <w:t>plient. Au second passage P2 (au</w:t>
      </w:r>
      <w:r w:rsidRPr="00CB5E91">
        <w:rPr>
          <w:rFonts w:ascii="Times New Roman" w:eastAsia="Times New Roman" w:hAnsi="Times New Roman" w:cs="Times New Roman"/>
          <w:sz w:val="24"/>
          <w:szCs w:val="24"/>
        </w:rPr>
        <w:t>14</w:t>
      </w:r>
      <w:r w:rsidRPr="00535D14">
        <w:rPr>
          <w:rFonts w:ascii="Times New Roman" w:eastAsia="Times New Roman" w:hAnsi="Times New Roman" w:cs="Times New Roman"/>
          <w:b/>
          <w:bCs/>
          <w:sz w:val="24"/>
          <w:szCs w:val="24"/>
          <w:vertAlign w:val="superscript"/>
        </w:rPr>
        <w:t>éme</w:t>
      </w:r>
      <w:r>
        <w:rPr>
          <w:rFonts w:ascii="Times New Roman" w:eastAsia="Times New Roman" w:hAnsi="Times New Roman" w:cs="Times New Roman"/>
          <w:sz w:val="24"/>
          <w:szCs w:val="24"/>
        </w:rPr>
        <w:t xml:space="preserve"> jour</w:t>
      </w:r>
      <w:r w:rsidRPr="00CB5E91">
        <w:rPr>
          <w:rFonts w:ascii="Times New Roman" w:eastAsia="Times New Roman" w:hAnsi="Times New Roman" w:cs="Times New Roman"/>
          <w:sz w:val="24"/>
          <w:szCs w:val="24"/>
        </w:rPr>
        <w:t>), quand les cellules ont une confluenc</w:t>
      </w:r>
      <w:r>
        <w:rPr>
          <w:rFonts w:ascii="Times New Roman" w:eastAsia="Times New Roman" w:hAnsi="Times New Roman" w:cs="Times New Roman"/>
          <w:sz w:val="24"/>
          <w:szCs w:val="24"/>
        </w:rPr>
        <w:t>e de 80%, elles sont collectées (11).</w:t>
      </w:r>
    </w:p>
    <w:p w:rsidR="003A459A"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Pr>
      </w:pPr>
    </w:p>
    <w:p w:rsidR="003A459A" w:rsidRPr="00DF1501" w:rsidRDefault="00AC7958" w:rsidP="003A459A">
      <w:pPr>
        <w:spacing w:after="24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1</w:t>
      </w:r>
      <w:r w:rsidR="003A459A">
        <w:rPr>
          <w:rFonts w:ascii="Times New Roman" w:eastAsia="Times New Roman" w:hAnsi="Times New Roman" w:cs="Times New Roman"/>
          <w:b/>
          <w:bCs/>
          <w:sz w:val="24"/>
          <w:szCs w:val="24"/>
        </w:rPr>
        <w:t>.1. Méthodes</w:t>
      </w:r>
      <w:r w:rsidR="003A459A" w:rsidRPr="00DF1501">
        <w:rPr>
          <w:rFonts w:ascii="Times New Roman" w:eastAsia="Times New Roman" w:hAnsi="Times New Roman" w:cs="Times New Roman"/>
          <w:b/>
          <w:bCs/>
          <w:sz w:val="24"/>
          <w:szCs w:val="24"/>
        </w:rPr>
        <w:t xml:space="preserve"> des cultures</w:t>
      </w:r>
    </w:p>
    <w:p w:rsidR="003A459A" w:rsidRPr="008C61AA" w:rsidRDefault="003A459A" w:rsidP="003A459A">
      <w:pPr>
        <w:spacing w:after="240" w:line="360" w:lineRule="auto"/>
        <w:jc w:val="both"/>
        <w:rPr>
          <w:rFonts w:ascii="Times New Roman" w:eastAsia="Times New Roman" w:hAnsi="Times New Roman" w:cs="Times New Roman"/>
          <w:b/>
          <w:bCs/>
          <w:sz w:val="24"/>
          <w:szCs w:val="24"/>
        </w:rPr>
      </w:pPr>
      <w:r>
        <w:rPr>
          <w:rFonts w:ascii="Times New Roman" w:eastAsia="Times New Roman" w:hAnsi="Times New Roman" w:cs="Times New Roman"/>
          <w:sz w:val="24"/>
          <w:szCs w:val="24"/>
        </w:rPr>
        <w:t xml:space="preserve"> </w:t>
      </w:r>
      <w:r w:rsidRPr="008C61AA">
        <w:rPr>
          <w:rFonts w:ascii="Times New Roman" w:eastAsia="Times New Roman" w:hAnsi="Times New Roman" w:cs="Times New Roman"/>
          <w:b/>
          <w:bCs/>
          <w:sz w:val="24"/>
          <w:szCs w:val="24"/>
        </w:rPr>
        <w:t>La culture stationnaire ou monocouche</w:t>
      </w:r>
    </w:p>
    <w:p w:rsidR="003A459A" w:rsidRDefault="003A459A" w:rsidP="003A459A">
      <w:pPr>
        <w:spacing w:after="0" w:line="360" w:lineRule="auto"/>
        <w:rPr>
          <w:rFonts w:ascii="Times New Roman" w:eastAsia="Times New Roman" w:hAnsi="Times New Roman" w:cs="Times New Roman"/>
          <w:sz w:val="24"/>
          <w:szCs w:val="24"/>
          <w:rtl/>
        </w:rPr>
      </w:pPr>
      <w:r>
        <w:rPr>
          <w:rFonts w:ascii="Times New Roman" w:eastAsia="Times New Roman" w:hAnsi="Times New Roman" w:cs="Times New Roman" w:hint="cs"/>
          <w:sz w:val="24"/>
          <w:szCs w:val="24"/>
          <w:rtl/>
        </w:rPr>
        <w:t xml:space="preserve">     </w:t>
      </w:r>
      <w:r w:rsidRPr="007049BC">
        <w:rPr>
          <w:rFonts w:ascii="Times New Roman" w:eastAsia="Times New Roman" w:hAnsi="Times New Roman" w:cs="Times New Roman"/>
          <w:sz w:val="24"/>
          <w:szCs w:val="24"/>
        </w:rPr>
        <w:t>Le principe général de cette méthode est lié à l'affinité des cellules au support car la plupart appartient à des tissus solides organisés.</w:t>
      </w:r>
      <w:r w:rsidRPr="007049BC">
        <w:rPr>
          <w:rFonts w:ascii="Times New Roman" w:eastAsia="Times New Roman" w:hAnsi="Times New Roman" w:cs="Times New Roman"/>
          <w:sz w:val="24"/>
          <w:szCs w:val="24"/>
        </w:rPr>
        <w:br/>
        <w:t xml:space="preserve">Le support peut être du verre ou du plastique traité pour la culture. Le plastique peut être recouvert de support physiologique: collagène, fibronectine ou d'une membrane basale reconstituée ou encore l'utilisation de gèle d'agarose, de gèle de collagène pour une </w:t>
      </w:r>
      <w:r>
        <w:rPr>
          <w:rFonts w:ascii="Times New Roman" w:eastAsia="Times New Roman" w:hAnsi="Times New Roman" w:cs="Times New Roman"/>
          <w:sz w:val="24"/>
          <w:szCs w:val="24"/>
        </w:rPr>
        <w:t>orientation vers la culture 3D.</w:t>
      </w:r>
    </w:p>
    <w:p w:rsidR="003A459A" w:rsidRDefault="003A459A" w:rsidP="003A459A">
      <w:pPr>
        <w:spacing w:after="0" w:line="360" w:lineRule="auto"/>
        <w:rPr>
          <w:rFonts w:ascii="Times New Roman" w:eastAsia="Times New Roman" w:hAnsi="Times New Roman" w:cs="Times New Roman"/>
          <w:sz w:val="24"/>
          <w:szCs w:val="24"/>
          <w:rtl/>
        </w:rPr>
      </w:pPr>
    </w:p>
    <w:p w:rsidR="003A459A" w:rsidRDefault="003A459A" w:rsidP="003A459A">
      <w:pPr>
        <w:spacing w:after="0" w:line="360" w:lineRule="auto"/>
        <w:rPr>
          <w:rFonts w:ascii="Times New Roman" w:eastAsia="Times New Roman" w:hAnsi="Times New Roman" w:cs="Times New Roman"/>
          <w:sz w:val="24"/>
          <w:szCs w:val="24"/>
          <w:rtl/>
        </w:rPr>
      </w:pPr>
    </w:p>
    <w:p w:rsidR="003A459A" w:rsidRDefault="003A459A" w:rsidP="003A459A">
      <w:pPr>
        <w:spacing w:after="0" w:line="360" w:lineRule="auto"/>
        <w:rPr>
          <w:rFonts w:ascii="Times New Roman" w:eastAsia="Times New Roman" w:hAnsi="Times New Roman" w:cs="Times New Roman"/>
          <w:sz w:val="24"/>
          <w:szCs w:val="24"/>
          <w:rtl/>
        </w:rPr>
      </w:pPr>
    </w:p>
    <w:p w:rsidR="003A459A" w:rsidRDefault="003A459A" w:rsidP="003A459A">
      <w:pPr>
        <w:spacing w:after="0" w:line="360" w:lineRule="auto"/>
        <w:rPr>
          <w:rFonts w:ascii="Times New Roman" w:eastAsia="Times New Roman" w:hAnsi="Times New Roman" w:cs="Times New Roman"/>
          <w:sz w:val="24"/>
          <w:szCs w:val="24"/>
        </w:rPr>
      </w:pPr>
    </w:p>
    <w:p w:rsidR="00A71CB6" w:rsidRDefault="00A71CB6" w:rsidP="003A459A">
      <w:pPr>
        <w:spacing w:after="0" w:line="360" w:lineRule="auto"/>
        <w:rPr>
          <w:rFonts w:ascii="Times New Roman" w:eastAsia="Times New Roman" w:hAnsi="Times New Roman" w:cs="Times New Roman"/>
          <w:sz w:val="24"/>
          <w:szCs w:val="24"/>
        </w:rPr>
      </w:pPr>
    </w:p>
    <w:p w:rsidR="00A71CB6" w:rsidRDefault="00A71CB6" w:rsidP="003A459A">
      <w:pPr>
        <w:spacing w:after="0" w:line="360" w:lineRule="auto"/>
        <w:rPr>
          <w:rFonts w:ascii="Times New Roman" w:eastAsia="Times New Roman" w:hAnsi="Times New Roman" w:cs="Times New Roman"/>
          <w:sz w:val="24"/>
          <w:szCs w:val="24"/>
        </w:rPr>
      </w:pPr>
    </w:p>
    <w:p w:rsidR="00A71CB6" w:rsidRDefault="00A71CB6" w:rsidP="003A459A">
      <w:pPr>
        <w:spacing w:after="0" w:line="360" w:lineRule="auto"/>
        <w:rPr>
          <w:rFonts w:ascii="Times New Roman" w:eastAsia="Times New Roman" w:hAnsi="Times New Roman" w:cs="Times New Roman"/>
          <w:sz w:val="24"/>
          <w:szCs w:val="24"/>
          <w:rtl/>
        </w:rPr>
      </w:pPr>
    </w:p>
    <w:p w:rsidR="003A459A" w:rsidRDefault="003A459A" w:rsidP="003A459A">
      <w:pPr>
        <w:spacing w:after="0" w:line="360" w:lineRule="auto"/>
        <w:rPr>
          <w:rFonts w:ascii="Times New Roman" w:eastAsia="Times New Roman" w:hAnsi="Times New Roman" w:cs="Times New Roman"/>
          <w:sz w:val="24"/>
          <w:szCs w:val="24"/>
          <w:rtl/>
        </w:rPr>
      </w:pPr>
    </w:p>
    <w:p w:rsidR="003A459A" w:rsidRDefault="003A459A" w:rsidP="003A459A">
      <w:pPr>
        <w:spacing w:after="0" w:line="360" w:lineRule="auto"/>
        <w:rPr>
          <w:rFonts w:ascii="Times New Roman" w:eastAsia="Times New Roman" w:hAnsi="Times New Roman" w:cs="Times New Roman"/>
          <w:sz w:val="24"/>
          <w:szCs w:val="24"/>
          <w:rtl/>
        </w:rPr>
      </w:pPr>
      <w:r>
        <w:rPr>
          <w:rFonts w:ascii="Times New Roman" w:eastAsia="Times New Roman" w:hAnsi="Times New Roman" w:cs="Times New Roman"/>
          <w:noProof/>
          <w:sz w:val="24"/>
          <w:szCs w:val="24"/>
          <w:rtl/>
        </w:rPr>
        <w:lastRenderedPageBreak/>
        <w:drawing>
          <wp:anchor distT="0" distB="0" distL="114300" distR="114300" simplePos="0" relativeHeight="251659264" behindDoc="1" locked="0" layoutInCell="1" allowOverlap="1">
            <wp:simplePos x="0" y="0"/>
            <wp:positionH relativeFrom="column">
              <wp:posOffset>1024255</wp:posOffset>
            </wp:positionH>
            <wp:positionV relativeFrom="paragraph">
              <wp:posOffset>-169545</wp:posOffset>
            </wp:positionV>
            <wp:extent cx="2588895" cy="1400810"/>
            <wp:effectExtent l="19050" t="0" r="1905" b="0"/>
            <wp:wrapTight wrapText="bothSides">
              <wp:wrapPolygon edited="0">
                <wp:start x="-159" y="0"/>
                <wp:lineTo x="-159" y="21443"/>
                <wp:lineTo x="21616" y="21443"/>
                <wp:lineTo x="21616" y="0"/>
                <wp:lineTo x="-159" y="0"/>
              </wp:wrapPolygon>
            </wp:wrapTight>
            <wp:docPr id="2" name="Picture 21"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undefined"/>
                    <pic:cNvPicPr>
                      <a:picLocks noChangeAspect="1" noChangeArrowheads="1"/>
                    </pic:cNvPicPr>
                  </pic:nvPicPr>
                  <pic:blipFill>
                    <a:blip r:embed="rId7"/>
                    <a:srcRect/>
                    <a:stretch>
                      <a:fillRect/>
                    </a:stretch>
                  </pic:blipFill>
                  <pic:spPr bwMode="auto">
                    <a:xfrm>
                      <a:off x="0" y="0"/>
                      <a:ext cx="2588895" cy="1400810"/>
                    </a:xfrm>
                    <a:prstGeom prst="rect">
                      <a:avLst/>
                    </a:prstGeom>
                    <a:noFill/>
                    <a:ln w="9525">
                      <a:noFill/>
                      <a:miter lim="800000"/>
                      <a:headEnd/>
                      <a:tailEnd/>
                    </a:ln>
                  </pic:spPr>
                </pic:pic>
              </a:graphicData>
            </a:graphic>
          </wp:anchor>
        </w:drawing>
      </w:r>
    </w:p>
    <w:p w:rsidR="003A459A" w:rsidRDefault="003A459A" w:rsidP="003A459A">
      <w:pPr>
        <w:spacing w:after="0" w:line="360" w:lineRule="auto"/>
        <w:rPr>
          <w:rFonts w:ascii="Times New Roman" w:eastAsia="Times New Roman" w:hAnsi="Times New Roman" w:cs="Times New Roman"/>
          <w:noProof/>
          <w:sz w:val="24"/>
          <w:szCs w:val="24"/>
        </w:rPr>
      </w:pPr>
    </w:p>
    <w:p w:rsidR="003A459A" w:rsidRDefault="003A459A" w:rsidP="003A459A">
      <w:pPr>
        <w:spacing w:line="360" w:lineRule="auto"/>
        <w:jc w:val="both"/>
        <w:rPr>
          <w:rtl/>
        </w:rPr>
      </w:pPr>
      <w:r>
        <w:rPr>
          <w:rFonts w:hint="cs"/>
          <w:rtl/>
        </w:rPr>
        <w:t xml:space="preserve">        </w:t>
      </w:r>
    </w:p>
    <w:p w:rsidR="003A459A" w:rsidRDefault="003A459A" w:rsidP="003A459A">
      <w:pPr>
        <w:spacing w:line="360" w:lineRule="auto"/>
        <w:jc w:val="both"/>
        <w:rPr>
          <w:rtl/>
        </w:rPr>
      </w:pPr>
    </w:p>
    <w:p w:rsidR="003A459A" w:rsidRPr="007049BC" w:rsidRDefault="003A459A" w:rsidP="003A459A">
      <w:pPr>
        <w:spacing w:after="0" w:line="360" w:lineRule="auto"/>
        <w:jc w:val="both"/>
        <w:rPr>
          <w:rFonts w:ascii="Times New Roman" w:eastAsia="Times New Roman" w:hAnsi="Times New Roman" w:cs="Times New Roman"/>
          <w:sz w:val="24"/>
          <w:szCs w:val="24"/>
        </w:rPr>
      </w:pPr>
    </w:p>
    <w:p w:rsidR="003A459A" w:rsidRPr="00ED2B59" w:rsidRDefault="003A459A" w:rsidP="003A459A">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hint="cs"/>
          <w:b/>
          <w:sz w:val="24"/>
          <w:szCs w:val="24"/>
          <w:rtl/>
        </w:rPr>
        <w:t xml:space="preserve">                        </w:t>
      </w:r>
      <w:r w:rsidRPr="00435E0A">
        <w:rPr>
          <w:rFonts w:ascii="Times New Roman" w:eastAsia="Times New Roman" w:hAnsi="Times New Roman" w:cs="Times New Roman"/>
          <w:b/>
          <w:sz w:val="24"/>
          <w:szCs w:val="24"/>
        </w:rPr>
        <w:t>Figure</w:t>
      </w:r>
      <w:r>
        <w:rPr>
          <w:rFonts w:ascii="Times New Roman" w:eastAsia="Times New Roman" w:hAnsi="Times New Roman" w:cs="Times New Roman"/>
          <w:b/>
          <w:color w:val="FF0000"/>
          <w:sz w:val="24"/>
          <w:szCs w:val="24"/>
        </w:rPr>
        <w:t xml:space="preserve"> </w:t>
      </w:r>
      <w:r w:rsidRPr="00787B39">
        <w:rPr>
          <w:rFonts w:ascii="Times New Roman" w:eastAsia="Times New Roman" w:hAnsi="Times New Roman" w:cs="Times New Roman"/>
          <w:b/>
          <w:sz w:val="24"/>
          <w:szCs w:val="24"/>
        </w:rPr>
        <w:t>01</w:t>
      </w:r>
      <w:r>
        <w:rPr>
          <w:rFonts w:ascii="Times New Roman" w:eastAsia="Times New Roman" w:hAnsi="Times New Roman" w:cs="Times New Roman"/>
          <w:sz w:val="24"/>
          <w:szCs w:val="24"/>
        </w:rPr>
        <w:t xml:space="preserve"> : </w:t>
      </w:r>
      <w:r w:rsidRPr="00435E0A">
        <w:rPr>
          <w:rFonts w:ascii="Times New Roman" w:eastAsia="Times New Roman" w:hAnsi="Times New Roman" w:cs="Times New Roman"/>
          <w:b/>
          <w:sz w:val="24"/>
          <w:szCs w:val="24"/>
        </w:rPr>
        <w:t>la culture stationnaire ou monocouche</w:t>
      </w:r>
      <w:r>
        <w:rPr>
          <w:rFonts w:ascii="Times New Roman" w:eastAsia="Times New Roman" w:hAnsi="Times New Roman" w:cs="Times New Roman"/>
          <w:sz w:val="24"/>
          <w:szCs w:val="24"/>
        </w:rPr>
        <w:t xml:space="preserve"> (11).</w:t>
      </w:r>
    </w:p>
    <w:p w:rsidR="003A459A"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tl/>
        </w:rPr>
      </w:pPr>
      <w:r w:rsidRPr="007049BC">
        <w:rPr>
          <w:rFonts w:ascii="Times New Roman" w:eastAsia="Times New Roman" w:hAnsi="Times New Roman" w:cs="Times New Roman"/>
          <w:sz w:val="24"/>
          <w:szCs w:val="24"/>
        </w:rPr>
        <w:t>Les cellules sont placées dans des boites micro puits de diamètres différents ou sur des microporteurs (microbilles en plastiqu</w:t>
      </w:r>
      <w:r>
        <w:rPr>
          <w:rFonts w:ascii="Times New Roman" w:eastAsia="Times New Roman" w:hAnsi="Times New Roman" w:cs="Times New Roman"/>
          <w:sz w:val="24"/>
          <w:szCs w:val="24"/>
        </w:rPr>
        <w:t>e) recouverts ou non de support</w:t>
      </w:r>
      <w:r>
        <w:rPr>
          <w:rFonts w:ascii="Times New Roman" w:eastAsia="Times New Roman" w:hAnsi="Times New Roman" w:cs="Times New Roman" w:hint="cs"/>
          <w:sz w:val="24"/>
          <w:szCs w:val="24"/>
          <w:rtl/>
        </w:rPr>
        <w:t xml:space="preserve"> </w:t>
      </w:r>
      <w:r w:rsidRPr="007049BC">
        <w:rPr>
          <w:rFonts w:ascii="Times New Roman" w:eastAsia="Times New Roman" w:hAnsi="Times New Roman" w:cs="Times New Roman"/>
          <w:sz w:val="24"/>
          <w:szCs w:val="24"/>
        </w:rPr>
        <w:t>physiologique</w:t>
      </w:r>
      <w:r>
        <w:rPr>
          <w:rFonts w:ascii="Times New Roman" w:eastAsia="Times New Roman" w:hAnsi="Times New Roman" w:cs="Times New Roman"/>
          <w:sz w:val="24"/>
          <w:szCs w:val="24"/>
        </w:rPr>
        <w:t xml:space="preserve">. </w:t>
      </w:r>
      <w:r w:rsidRPr="007049BC">
        <w:rPr>
          <w:rFonts w:ascii="Times New Roman" w:eastAsia="Times New Roman" w:hAnsi="Times New Roman" w:cs="Times New Roman"/>
          <w:sz w:val="24"/>
          <w:szCs w:val="24"/>
        </w:rPr>
        <w:t>Les microporteurs sont ensuite placés dans des récipients puis soumis à une agitation modérée et continue permettant aux cell</w:t>
      </w:r>
      <w:r>
        <w:rPr>
          <w:rFonts w:ascii="Times New Roman" w:eastAsia="Times New Roman" w:hAnsi="Times New Roman" w:cs="Times New Roman"/>
          <w:sz w:val="24"/>
          <w:szCs w:val="24"/>
        </w:rPr>
        <w:t xml:space="preserve">ules de demeurer dans le milieu </w:t>
      </w:r>
      <w:r w:rsidRPr="007049BC">
        <w:rPr>
          <w:rFonts w:ascii="Times New Roman" w:eastAsia="Times New Roman" w:hAnsi="Times New Roman" w:cs="Times New Roman"/>
          <w:sz w:val="24"/>
          <w:szCs w:val="24"/>
        </w:rPr>
        <w:t>de culture. Le rendement de cette technique est importa</w:t>
      </w:r>
      <w:r>
        <w:rPr>
          <w:rFonts w:ascii="Times New Roman" w:eastAsia="Times New Roman" w:hAnsi="Times New Roman" w:cs="Times New Roman"/>
          <w:sz w:val="24"/>
          <w:szCs w:val="24"/>
        </w:rPr>
        <w:t xml:space="preserve">nt. Cela étant dû à une surface </w:t>
      </w:r>
      <w:r w:rsidRPr="007049BC">
        <w:rPr>
          <w:rFonts w:ascii="Times New Roman" w:eastAsia="Times New Roman" w:hAnsi="Times New Roman" w:cs="Times New Roman"/>
          <w:sz w:val="24"/>
          <w:szCs w:val="24"/>
        </w:rPr>
        <w:t>d'adhérence plus grande.</w:t>
      </w:r>
      <w:r>
        <w:rPr>
          <w:rFonts w:ascii="Times New Roman" w:eastAsia="Times New Roman" w:hAnsi="Times New Roman" w:cs="Times New Roman"/>
          <w:sz w:val="24"/>
          <w:szCs w:val="24"/>
        </w:rPr>
        <w:t xml:space="preserve"> (11</w:t>
      </w:r>
      <w:r w:rsidRPr="007049BC">
        <w:rPr>
          <w:rFonts w:ascii="Times New Roman" w:eastAsia="Times New Roman" w:hAnsi="Times New Roman" w:cs="Times New Roman"/>
          <w:sz w:val="24"/>
          <w:szCs w:val="24"/>
        </w:rPr>
        <w:t xml:space="preserve">). </w:t>
      </w:r>
    </w:p>
    <w:p w:rsidR="003A459A" w:rsidRDefault="003A459A" w:rsidP="003A459A">
      <w:pPr>
        <w:autoSpaceDE w:val="0"/>
        <w:autoSpaceDN w:val="0"/>
        <w:adjustRightInd w:val="0"/>
        <w:spacing w:after="0" w:line="360" w:lineRule="auto"/>
        <w:jc w:val="both"/>
        <w:rPr>
          <w:rFonts w:ascii="Times New Roman" w:eastAsia="Times New Roman" w:hAnsi="Times New Roman" w:cs="Times New Roman"/>
          <w:b/>
          <w:bCs/>
          <w:sz w:val="24"/>
          <w:szCs w:val="24"/>
          <w:rtl/>
        </w:rPr>
      </w:pPr>
      <w:r w:rsidRPr="007049BC">
        <w:rPr>
          <w:rFonts w:ascii="Times New Roman" w:eastAsia="Times New Roman" w:hAnsi="Times New Roman" w:cs="Times New Roman"/>
          <w:sz w:val="24"/>
          <w:szCs w:val="24"/>
        </w:rPr>
        <w:br/>
      </w:r>
      <w:r w:rsidRPr="008C61AA">
        <w:rPr>
          <w:rFonts w:ascii="Times New Roman" w:eastAsia="Times New Roman" w:hAnsi="Times New Roman" w:cs="Times New Roman"/>
          <w:b/>
          <w:bCs/>
          <w:sz w:val="24"/>
          <w:szCs w:val="24"/>
        </w:rPr>
        <w:t>La culture en suspension</w:t>
      </w:r>
    </w:p>
    <w:p w:rsidR="003A459A" w:rsidRPr="007049BC"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Pr>
      </w:pPr>
    </w:p>
    <w:p w:rsidR="003A459A"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hint="cs"/>
          <w:sz w:val="24"/>
          <w:szCs w:val="24"/>
          <w:rtl/>
        </w:rPr>
        <w:t xml:space="preserve">     </w:t>
      </w:r>
      <w:r w:rsidRPr="007049BC">
        <w:rPr>
          <w:rFonts w:ascii="Times New Roman" w:eastAsia="Times New Roman" w:hAnsi="Times New Roman" w:cs="Times New Roman"/>
          <w:sz w:val="24"/>
          <w:szCs w:val="24"/>
        </w:rPr>
        <w:t>Comme la plupart des cellules ont besoin d'un support pour croître, il faut donc trouver un artifice pour maintenir la plupart de celles-ci en suspension.</w:t>
      </w:r>
      <w:r w:rsidRPr="007049BC">
        <w:rPr>
          <w:rFonts w:ascii="Times New Roman" w:eastAsia="Times New Roman" w:hAnsi="Times New Roman" w:cs="Times New Roman"/>
          <w:sz w:val="24"/>
          <w:szCs w:val="24"/>
        </w:rPr>
        <w:br/>
        <w:t>En 1933, Monsieur Gey arrive à faire croître dans des tubes en verres, des cellules en suspe</w:t>
      </w:r>
      <w:r>
        <w:rPr>
          <w:rFonts w:ascii="Times New Roman" w:eastAsia="Times New Roman" w:hAnsi="Times New Roman" w:cs="Times New Roman"/>
          <w:sz w:val="24"/>
          <w:szCs w:val="24"/>
        </w:rPr>
        <w:t>nsion tournant à grande vitesse</w:t>
      </w:r>
      <w:r w:rsidRPr="007049B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11). </w:t>
      </w:r>
    </w:p>
    <w:p w:rsidR="003A459A" w:rsidRPr="007049BC"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7049BC">
        <w:rPr>
          <w:rFonts w:ascii="Times New Roman" w:eastAsia="Times New Roman" w:hAnsi="Times New Roman" w:cs="Times New Roman"/>
          <w:sz w:val="24"/>
          <w:szCs w:val="24"/>
        </w:rPr>
        <w:t xml:space="preserve">L'agitation peut être réalisée par différents moyens: </w:t>
      </w:r>
    </w:p>
    <w:p w:rsidR="003A459A" w:rsidRPr="001D4509" w:rsidRDefault="003A459A" w:rsidP="003A459A">
      <w:pPr>
        <w:pStyle w:val="a3"/>
        <w:numPr>
          <w:ilvl w:val="0"/>
          <w:numId w:val="5"/>
        </w:numPr>
        <w:spacing w:before="100" w:beforeAutospacing="1" w:after="100" w:afterAutospacing="1" w:line="360" w:lineRule="auto"/>
        <w:ind w:right="-199"/>
        <w:jc w:val="both"/>
        <w:rPr>
          <w:rFonts w:ascii="Times New Roman" w:eastAsia="Times New Roman" w:hAnsi="Times New Roman" w:cs="Times New Roman"/>
          <w:sz w:val="24"/>
          <w:szCs w:val="24"/>
        </w:rPr>
      </w:pPr>
      <w:r w:rsidRPr="001D4509">
        <w:rPr>
          <w:rFonts w:ascii="Times New Roman" w:eastAsia="Times New Roman" w:hAnsi="Times New Roman" w:cs="Times New Roman"/>
          <w:sz w:val="24"/>
          <w:szCs w:val="24"/>
        </w:rPr>
        <w:t xml:space="preserve">Elle peut être entretenue par des barreaux magnétiques siliconés appelés "SPINNER" </w:t>
      </w:r>
    </w:p>
    <w:p w:rsidR="003A459A" w:rsidRPr="008C61AA" w:rsidRDefault="003A459A" w:rsidP="003A459A">
      <w:pPr>
        <w:pStyle w:val="a3"/>
        <w:numPr>
          <w:ilvl w:val="0"/>
          <w:numId w:val="5"/>
        </w:numPr>
        <w:autoSpaceDE w:val="0"/>
        <w:autoSpaceDN w:val="0"/>
        <w:adjustRightInd w:val="0"/>
        <w:spacing w:after="0" w:line="360" w:lineRule="auto"/>
        <w:ind w:right="-199"/>
        <w:jc w:val="both"/>
        <w:rPr>
          <w:rFonts w:ascii="Times New Roman" w:eastAsia="Times New Roman" w:hAnsi="Times New Roman" w:cs="Times New Roman"/>
          <w:sz w:val="24"/>
          <w:szCs w:val="24"/>
        </w:rPr>
      </w:pPr>
      <w:r w:rsidRPr="008C61AA">
        <w:rPr>
          <w:rFonts w:ascii="Times New Roman" w:eastAsia="Times New Roman" w:hAnsi="Times New Roman" w:cs="Times New Roman"/>
          <w:sz w:val="24"/>
          <w:szCs w:val="24"/>
        </w:rPr>
        <w:t>Il existe également des appareils d'agitation perfectionnés appelés des cytoculteurs qui permettent de maintenir une densité cellulaire, un environnement gazeux constant ainsi qu'un apport continu de milieux  frais et la récupération de milieux usés (11).</w:t>
      </w:r>
    </w:p>
    <w:p w:rsidR="003A459A" w:rsidRPr="00591900" w:rsidRDefault="003A459A" w:rsidP="003A459A">
      <w:pPr>
        <w:autoSpaceDE w:val="0"/>
        <w:autoSpaceDN w:val="0"/>
        <w:adjustRightInd w:val="0"/>
        <w:spacing w:after="0" w:line="360" w:lineRule="auto"/>
        <w:jc w:val="both"/>
        <w:rPr>
          <w:rFonts w:ascii="Times New Roman" w:eastAsia="Times New Roman" w:hAnsi="Times New Roman" w:cs="Times New Roman"/>
          <w:sz w:val="24"/>
          <w:szCs w:val="24"/>
        </w:rPr>
      </w:pPr>
    </w:p>
    <w:p w:rsidR="003A459A" w:rsidRPr="00B510C7" w:rsidRDefault="003A459A" w:rsidP="003A459A">
      <w:pPr>
        <w:pStyle w:val="a3"/>
        <w:numPr>
          <w:ilvl w:val="0"/>
          <w:numId w:val="1"/>
        </w:numPr>
        <w:spacing w:after="240" w:line="360" w:lineRule="auto"/>
        <w:jc w:val="both"/>
        <w:rPr>
          <w:rFonts w:ascii="Times New Roman" w:eastAsia="Times New Roman" w:hAnsi="Times New Roman" w:cs="Times New Roman"/>
          <w:b/>
          <w:bCs/>
          <w:vanish/>
          <w:sz w:val="24"/>
          <w:szCs w:val="24"/>
        </w:rPr>
      </w:pPr>
    </w:p>
    <w:p w:rsidR="003A459A" w:rsidRPr="00B510C7" w:rsidRDefault="003A459A" w:rsidP="003A459A">
      <w:pPr>
        <w:pStyle w:val="a3"/>
        <w:numPr>
          <w:ilvl w:val="0"/>
          <w:numId w:val="1"/>
        </w:numPr>
        <w:spacing w:after="240" w:line="360" w:lineRule="auto"/>
        <w:jc w:val="both"/>
        <w:rPr>
          <w:rFonts w:ascii="Times New Roman" w:eastAsia="Times New Roman" w:hAnsi="Times New Roman" w:cs="Times New Roman"/>
          <w:b/>
          <w:bCs/>
          <w:vanish/>
          <w:sz w:val="24"/>
          <w:szCs w:val="24"/>
        </w:rPr>
      </w:pPr>
    </w:p>
    <w:p w:rsidR="003A459A" w:rsidRPr="00B510C7" w:rsidRDefault="003A459A" w:rsidP="003A459A">
      <w:pPr>
        <w:pStyle w:val="a3"/>
        <w:numPr>
          <w:ilvl w:val="1"/>
          <w:numId w:val="1"/>
        </w:numPr>
        <w:spacing w:after="240" w:line="360" w:lineRule="auto"/>
        <w:jc w:val="both"/>
        <w:rPr>
          <w:rFonts w:ascii="Times New Roman" w:eastAsia="Times New Roman" w:hAnsi="Times New Roman" w:cs="Times New Roman"/>
          <w:b/>
          <w:bCs/>
          <w:vanish/>
          <w:sz w:val="24"/>
          <w:szCs w:val="24"/>
        </w:rPr>
      </w:pPr>
    </w:p>
    <w:p w:rsidR="003A459A" w:rsidRPr="00B510C7" w:rsidRDefault="003A459A" w:rsidP="003A459A">
      <w:pPr>
        <w:pStyle w:val="a3"/>
        <w:numPr>
          <w:ilvl w:val="1"/>
          <w:numId w:val="1"/>
        </w:numPr>
        <w:spacing w:after="240" w:line="360" w:lineRule="auto"/>
        <w:jc w:val="both"/>
        <w:rPr>
          <w:rFonts w:ascii="Times New Roman" w:eastAsia="Times New Roman" w:hAnsi="Times New Roman" w:cs="Times New Roman"/>
          <w:b/>
          <w:bCs/>
          <w:vanish/>
          <w:sz w:val="24"/>
          <w:szCs w:val="24"/>
        </w:rPr>
      </w:pPr>
    </w:p>
    <w:p w:rsidR="003A459A" w:rsidRPr="00AC7958" w:rsidRDefault="00AC7958" w:rsidP="00AC7958">
      <w:pPr>
        <w:spacing w:after="240" w:line="360" w:lineRule="auto"/>
        <w:ind w:left="284"/>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1</w:t>
      </w:r>
      <w:r w:rsidR="003A459A" w:rsidRPr="00AC7958">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2.</w:t>
      </w:r>
      <w:r w:rsidR="003A459A" w:rsidRPr="00AC7958">
        <w:rPr>
          <w:rFonts w:ascii="Times New Roman" w:eastAsia="Times New Roman" w:hAnsi="Times New Roman" w:cs="Times New Roman"/>
          <w:b/>
          <w:bCs/>
          <w:sz w:val="24"/>
          <w:szCs w:val="24"/>
        </w:rPr>
        <w:t>L'évolution des cellules en culture</w:t>
      </w:r>
    </w:p>
    <w:p w:rsidR="003A459A" w:rsidRPr="007B28B7" w:rsidRDefault="003A459A" w:rsidP="003A459A">
      <w:pPr>
        <w:spacing w:line="360" w:lineRule="auto"/>
        <w:ind w:right="-199"/>
        <w:jc w:val="both"/>
        <w:rPr>
          <w:rtl/>
          <w:lang w:bidi="ar-DZ"/>
        </w:rPr>
      </w:pPr>
      <w:r>
        <w:rPr>
          <w:rFonts w:ascii="Times New Roman" w:eastAsia="Times New Roman" w:hAnsi="Times New Roman" w:cs="Times New Roman" w:hint="cs"/>
          <w:sz w:val="24"/>
          <w:szCs w:val="24"/>
          <w:rtl/>
        </w:rPr>
        <w:t xml:space="preserve">     </w:t>
      </w:r>
      <w:r w:rsidRPr="007049BC">
        <w:rPr>
          <w:rFonts w:ascii="Times New Roman" w:eastAsia="Times New Roman" w:hAnsi="Times New Roman" w:cs="Times New Roman"/>
          <w:sz w:val="24"/>
          <w:szCs w:val="24"/>
        </w:rPr>
        <w:t xml:space="preserve">Les cellules </w:t>
      </w:r>
      <w:r>
        <w:rPr>
          <w:rFonts w:ascii="Times New Roman" w:eastAsia="Times New Roman" w:hAnsi="Times New Roman" w:cs="Times New Roman"/>
          <w:sz w:val="24"/>
          <w:szCs w:val="24"/>
        </w:rPr>
        <w:t>cultivés présentent deux</w:t>
      </w:r>
      <w:r w:rsidRPr="007049BC">
        <w:rPr>
          <w:rFonts w:ascii="Times New Roman" w:eastAsia="Times New Roman" w:hAnsi="Times New Roman" w:cs="Times New Roman"/>
          <w:sz w:val="24"/>
          <w:szCs w:val="24"/>
        </w:rPr>
        <w:t xml:space="preserve"> propriétés fondamentales qui </w:t>
      </w:r>
      <w:r>
        <w:rPr>
          <w:rFonts w:ascii="Times New Roman" w:eastAsia="Times New Roman" w:hAnsi="Times New Roman" w:cs="Times New Roman"/>
          <w:sz w:val="24"/>
          <w:szCs w:val="24"/>
        </w:rPr>
        <w:t xml:space="preserve">sont: la capacité proliférative </w:t>
      </w:r>
      <w:r w:rsidRPr="007049BC">
        <w:rPr>
          <w:rFonts w:ascii="Times New Roman" w:eastAsia="Times New Roman" w:hAnsi="Times New Roman" w:cs="Times New Roman"/>
          <w:sz w:val="24"/>
          <w:szCs w:val="24"/>
        </w:rPr>
        <w:t>et leur fonction différentiée.</w:t>
      </w:r>
      <w:r w:rsidRPr="007049BC">
        <w:rPr>
          <w:rFonts w:ascii="Times New Roman" w:eastAsia="Times New Roman" w:hAnsi="Times New Roman" w:cs="Times New Roman"/>
          <w:sz w:val="24"/>
          <w:szCs w:val="24"/>
        </w:rPr>
        <w:br/>
        <w:t xml:space="preserve">Ces propriétés ont tendance à évoluer de manière très différente quelle que soit la </w:t>
      </w:r>
      <w:r w:rsidRPr="007049BC">
        <w:rPr>
          <w:rFonts w:ascii="Times New Roman" w:eastAsia="Times New Roman" w:hAnsi="Times New Roman" w:cs="Times New Roman"/>
          <w:sz w:val="24"/>
          <w:szCs w:val="24"/>
        </w:rPr>
        <w:lastRenderedPageBreak/>
        <w:t>méthode de culture employée. Les cellules conservent la plupart du te</w:t>
      </w:r>
      <w:r>
        <w:rPr>
          <w:rFonts w:ascii="Times New Roman" w:eastAsia="Times New Roman" w:hAnsi="Times New Roman" w:cs="Times New Roman"/>
          <w:sz w:val="24"/>
          <w:szCs w:val="24"/>
        </w:rPr>
        <w:t>mps leur potentiel de division et pouve</w:t>
      </w:r>
      <w:r w:rsidRPr="007049BC">
        <w:rPr>
          <w:rFonts w:ascii="Times New Roman" w:eastAsia="Times New Roman" w:hAnsi="Times New Roman" w:cs="Times New Roman"/>
          <w:sz w:val="24"/>
          <w:szCs w:val="24"/>
        </w:rPr>
        <w:t>nt être stimulé au début de la culture par des facteurs de croissances. Même si au cours du temps, on peut noter un ralentissement de celui-ci. A l'inverse, les cellules en culture</w:t>
      </w:r>
      <w:r>
        <w:t xml:space="preserve"> </w:t>
      </w:r>
      <w:r w:rsidRPr="007049BC">
        <w:rPr>
          <w:rFonts w:ascii="Times New Roman" w:eastAsia="Times New Roman" w:hAnsi="Times New Roman" w:cs="Times New Roman"/>
          <w:sz w:val="24"/>
          <w:szCs w:val="24"/>
        </w:rPr>
        <w:t>voient souvent leur fonction différentiée se modifier et même disparaître. Ce phénomène de dédi</w:t>
      </w:r>
      <w:r>
        <w:rPr>
          <w:rFonts w:ascii="Times New Roman" w:eastAsia="Times New Roman" w:hAnsi="Times New Roman" w:cs="Times New Roman"/>
          <w:sz w:val="24"/>
          <w:szCs w:val="24"/>
        </w:rPr>
        <w:t xml:space="preserve">fférenciation peut être visible </w:t>
      </w:r>
      <w:r w:rsidRPr="007049BC">
        <w:rPr>
          <w:rFonts w:ascii="Times New Roman" w:eastAsia="Times New Roman" w:hAnsi="Times New Roman" w:cs="Times New Roman"/>
          <w:sz w:val="24"/>
          <w:szCs w:val="24"/>
        </w:rPr>
        <w:t>morphologiquement.</w:t>
      </w:r>
      <w:r w:rsidRPr="007049BC">
        <w:rPr>
          <w:rFonts w:ascii="Times New Roman" w:eastAsia="Times New Roman" w:hAnsi="Times New Roman" w:cs="Times New Roman"/>
          <w:sz w:val="24"/>
          <w:szCs w:val="24"/>
        </w:rPr>
        <w:br/>
        <w:t>Notons que certains types cellulaires révèlent leur fonction spécifique que lorsqu'ils sont cultivés en vie ralentie. Pour cela, on procède à un appauvrissement progressif du milieu ou on utilise une substance inhibitrice de la division cellulaire</w:t>
      </w:r>
      <w:r>
        <w:rPr>
          <w:rFonts w:ascii="Times New Roman" w:eastAsia="Times New Roman" w:hAnsi="Times New Roman" w:cs="Times New Roman"/>
          <w:sz w:val="24"/>
          <w:szCs w:val="24"/>
        </w:rPr>
        <w:t xml:space="preserve"> (11</w:t>
      </w:r>
      <w:r w:rsidRPr="00EA6DFB">
        <w:rPr>
          <w:rFonts w:ascii="Times New Roman" w:eastAsia="Times New Roman" w:hAnsi="Times New Roman" w:cs="Times New Roman"/>
          <w:sz w:val="24"/>
          <w:szCs w:val="24"/>
        </w:rPr>
        <w:t>).</w:t>
      </w:r>
    </w:p>
    <w:p w:rsidR="003A459A" w:rsidRPr="00AC7958" w:rsidRDefault="00AC7958" w:rsidP="00AC7958">
      <w:pPr>
        <w:spacing w:line="360" w:lineRule="auto"/>
        <w:ind w:left="284"/>
        <w:jc w:val="both"/>
        <w:rPr>
          <w:rFonts w:asciiTheme="majorBidi" w:hAnsiTheme="majorBidi" w:cstheme="majorBidi"/>
          <w:b/>
          <w:bCs/>
          <w:sz w:val="28"/>
          <w:szCs w:val="28"/>
        </w:rPr>
      </w:pPr>
      <w:r>
        <w:rPr>
          <w:rFonts w:asciiTheme="majorBidi" w:hAnsiTheme="majorBidi" w:cstheme="majorBidi"/>
          <w:b/>
          <w:bCs/>
          <w:sz w:val="28"/>
          <w:szCs w:val="28"/>
        </w:rPr>
        <w:t>2.</w:t>
      </w:r>
      <w:r w:rsidR="003A459A" w:rsidRPr="00AC7958">
        <w:rPr>
          <w:rFonts w:asciiTheme="majorBidi" w:hAnsiTheme="majorBidi" w:cstheme="majorBidi"/>
          <w:b/>
          <w:bCs/>
          <w:sz w:val="28"/>
          <w:szCs w:val="28"/>
        </w:rPr>
        <w:t xml:space="preserve">Propriété   </w:t>
      </w:r>
    </w:p>
    <w:p w:rsidR="003A459A" w:rsidRPr="00EB5D66" w:rsidRDefault="003A459A" w:rsidP="003A459A">
      <w:pPr>
        <w:pStyle w:val="Default"/>
        <w:numPr>
          <w:ilvl w:val="0"/>
          <w:numId w:val="2"/>
        </w:numPr>
        <w:spacing w:line="360" w:lineRule="auto"/>
        <w:jc w:val="both"/>
        <w:rPr>
          <w:b/>
        </w:rPr>
      </w:pPr>
      <w:r w:rsidRPr="00EB5D66">
        <w:rPr>
          <w:b/>
        </w:rPr>
        <w:t xml:space="preserve">Différenciation </w:t>
      </w:r>
    </w:p>
    <w:p w:rsidR="003A459A" w:rsidRPr="00CB5E91" w:rsidRDefault="003A459A" w:rsidP="003A459A">
      <w:pPr>
        <w:pStyle w:val="Default"/>
        <w:spacing w:line="360" w:lineRule="auto"/>
        <w:jc w:val="both"/>
      </w:pPr>
      <w:r w:rsidRPr="00CB5E91">
        <w:t>Les cellules ES de par leurs propriétés de pluripotence sont capables de se différencier vers l’ensemble des types cellulaires de l’organisme. Il existe plusieurs stratégies expérimentales pour con</w:t>
      </w:r>
      <w:r>
        <w:t xml:space="preserve">trôler le choix du lignage des </w:t>
      </w:r>
      <w:r w:rsidRPr="00CB5E91">
        <w:t xml:space="preserve">ES vers un phénotype donné : </w:t>
      </w:r>
    </w:p>
    <w:p w:rsidR="003A459A" w:rsidRPr="00CB5E91" w:rsidRDefault="003A459A" w:rsidP="003A459A">
      <w:pPr>
        <w:pStyle w:val="Default"/>
        <w:spacing w:line="360" w:lineRule="auto"/>
        <w:jc w:val="both"/>
      </w:pPr>
    </w:p>
    <w:p w:rsidR="003A459A" w:rsidRPr="0010221A" w:rsidRDefault="003A459A" w:rsidP="003A459A">
      <w:pPr>
        <w:pStyle w:val="Default"/>
        <w:numPr>
          <w:ilvl w:val="0"/>
          <w:numId w:val="6"/>
        </w:numPr>
        <w:spacing w:line="360" w:lineRule="auto"/>
        <w:jc w:val="both"/>
        <w:rPr>
          <w:rFonts w:eastAsiaTheme="minorHAnsi"/>
          <w:lang w:eastAsia="en-US"/>
        </w:rPr>
      </w:pPr>
      <w:r w:rsidRPr="007F2CEC">
        <w:rPr>
          <w:b/>
          <w:bCs/>
        </w:rPr>
        <w:t>la différenciation spontané</w:t>
      </w:r>
      <w:r w:rsidRPr="007F2CEC">
        <w:rPr>
          <w:rFonts w:asciiTheme="majorBidi" w:hAnsiTheme="majorBidi" w:cstheme="majorBidi"/>
          <w:b/>
          <w:bCs/>
        </w:rPr>
        <w:t xml:space="preserve">e </w:t>
      </w:r>
      <w:r w:rsidRPr="00CB5E91">
        <w:t xml:space="preserve">: elle permet d’obtenir des </w:t>
      </w:r>
      <w:r>
        <w:t>structures tridimensionnelles, d</w:t>
      </w:r>
      <w:r w:rsidRPr="00CB5E91">
        <w:t>es corps embryoïdes</w:t>
      </w:r>
      <w:r>
        <w:t>,</w:t>
      </w:r>
      <w:r w:rsidRPr="00CB5E91">
        <w:t xml:space="preserve"> composée de nombreuses cellules de phénotypes différents. Il est ensuite possible d’effectuer une étape de sélection pour isoler des populations cellulaires particulières. </w:t>
      </w:r>
    </w:p>
    <w:p w:rsidR="003A459A" w:rsidRDefault="003A459A" w:rsidP="003A459A">
      <w:pPr>
        <w:pStyle w:val="Default"/>
        <w:numPr>
          <w:ilvl w:val="0"/>
          <w:numId w:val="6"/>
        </w:numPr>
        <w:spacing w:line="360" w:lineRule="auto"/>
        <w:jc w:val="both"/>
      </w:pPr>
      <w:r w:rsidRPr="007F2CEC">
        <w:rPr>
          <w:b/>
          <w:bCs/>
        </w:rPr>
        <w:t xml:space="preserve">la différenciation guidée </w:t>
      </w:r>
      <w:r w:rsidRPr="007F2CEC">
        <w:t>: elle consiste à favoriser un lignage spécifique soit par l’utilisation de l’effet in</w:t>
      </w:r>
      <w:r w:rsidRPr="00F12EB2">
        <w:t>ducteur de certaines l</w:t>
      </w:r>
      <w:r>
        <w:t>ignées stromales utilisés en co</w:t>
      </w:r>
      <w:r w:rsidRPr="00F12EB2">
        <w:t>culture, soit grâce à l’utilisation de petites molécules ou de protéines morphogéniques</w:t>
      </w:r>
      <w:r>
        <w:t xml:space="preserve"> recombinantes modulant les voies de signalisation intervenant dans la différenciation (</w:t>
      </w:r>
      <w:r w:rsidRPr="00B510C7">
        <w:rPr>
          <w:rFonts w:asciiTheme="majorBidi" w:hAnsiTheme="majorBidi" w:cstheme="majorBidi"/>
          <w:lang w:bidi="ar-DZ"/>
        </w:rPr>
        <w:t>5</w:t>
      </w:r>
      <w:r>
        <w:t>).</w:t>
      </w:r>
    </w:p>
    <w:p w:rsidR="003A459A" w:rsidRDefault="003A459A" w:rsidP="003A459A">
      <w:pPr>
        <w:pStyle w:val="Default"/>
        <w:spacing w:line="360" w:lineRule="auto"/>
        <w:jc w:val="both"/>
      </w:pPr>
    </w:p>
    <w:p w:rsidR="003A459A" w:rsidRDefault="003A459A" w:rsidP="003A459A">
      <w:pPr>
        <w:pStyle w:val="Default"/>
        <w:spacing w:line="360" w:lineRule="auto"/>
        <w:jc w:val="both"/>
      </w:pPr>
    </w:p>
    <w:p w:rsidR="003A459A" w:rsidRDefault="003A459A" w:rsidP="003A459A">
      <w:pPr>
        <w:pStyle w:val="Default"/>
        <w:spacing w:line="360" w:lineRule="auto"/>
        <w:jc w:val="both"/>
      </w:pPr>
    </w:p>
    <w:p w:rsidR="003A459A" w:rsidRDefault="003A459A" w:rsidP="003A459A">
      <w:pPr>
        <w:pStyle w:val="Default"/>
        <w:spacing w:line="360" w:lineRule="auto"/>
        <w:jc w:val="both"/>
      </w:pPr>
    </w:p>
    <w:p w:rsidR="003A459A" w:rsidRDefault="003A459A" w:rsidP="003A459A">
      <w:pPr>
        <w:pStyle w:val="Default"/>
        <w:spacing w:line="360" w:lineRule="auto"/>
        <w:jc w:val="both"/>
      </w:pPr>
    </w:p>
    <w:p w:rsidR="003A459A" w:rsidRDefault="003A459A" w:rsidP="003A459A">
      <w:pPr>
        <w:pStyle w:val="Default"/>
        <w:spacing w:line="360" w:lineRule="auto"/>
        <w:jc w:val="both"/>
      </w:pPr>
    </w:p>
    <w:p w:rsidR="003A459A" w:rsidRDefault="003A459A" w:rsidP="003A459A">
      <w:pPr>
        <w:pStyle w:val="Default"/>
        <w:spacing w:line="360" w:lineRule="auto"/>
        <w:jc w:val="both"/>
      </w:pPr>
    </w:p>
    <w:p w:rsidR="003A459A" w:rsidRDefault="003A459A" w:rsidP="003A459A">
      <w:pPr>
        <w:pStyle w:val="Default"/>
        <w:spacing w:line="360" w:lineRule="auto"/>
        <w:jc w:val="both"/>
      </w:pPr>
    </w:p>
    <w:p w:rsidR="003A459A" w:rsidRDefault="003A459A" w:rsidP="003A459A">
      <w:pPr>
        <w:spacing w:line="360" w:lineRule="auto"/>
        <w:jc w:val="both"/>
      </w:pPr>
    </w:p>
    <w:p w:rsidR="003A459A" w:rsidRDefault="003A459A" w:rsidP="003A459A">
      <w:pPr>
        <w:spacing w:line="360" w:lineRule="auto"/>
        <w:jc w:val="both"/>
        <w:rPr>
          <w:rFonts w:asciiTheme="majorBidi" w:hAnsiTheme="majorBidi" w:cstheme="majorBidi"/>
          <w:b/>
          <w:bCs/>
          <w:sz w:val="24"/>
          <w:szCs w:val="24"/>
        </w:rPr>
      </w:pPr>
      <w:r>
        <w:rPr>
          <w:rFonts w:asciiTheme="majorBidi" w:hAnsiTheme="majorBidi" w:cs="Times New Roman" w:hint="cs"/>
          <w:b/>
          <w:bCs/>
          <w:noProof/>
          <w:sz w:val="28"/>
          <w:szCs w:val="28"/>
          <w:rtl/>
        </w:rPr>
        <w:lastRenderedPageBreak/>
        <w:drawing>
          <wp:inline distT="0" distB="0" distL="0" distR="0">
            <wp:extent cx="5447895" cy="7801583"/>
            <wp:effectExtent l="19050" t="0" r="405" b="0"/>
            <wp:docPr id="8"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5464441" cy="7825277"/>
                    </a:xfrm>
                    <a:prstGeom prst="rect">
                      <a:avLst/>
                    </a:prstGeom>
                    <a:noFill/>
                    <a:ln w="9525">
                      <a:noFill/>
                      <a:miter lim="800000"/>
                      <a:headEnd/>
                      <a:tailEnd/>
                    </a:ln>
                  </pic:spPr>
                </pic:pic>
              </a:graphicData>
            </a:graphic>
          </wp:inline>
        </w:drawing>
      </w:r>
    </w:p>
    <w:p w:rsidR="003A459A" w:rsidRPr="008C61AA" w:rsidRDefault="003A459A" w:rsidP="003A459A">
      <w:pPr>
        <w:spacing w:line="360" w:lineRule="auto"/>
        <w:jc w:val="both"/>
        <w:rPr>
          <w:b/>
        </w:rPr>
      </w:pPr>
      <w:r w:rsidRPr="00E31F7F">
        <w:rPr>
          <w:rFonts w:asciiTheme="majorBidi" w:hAnsiTheme="majorBidi" w:cstheme="majorBidi"/>
          <w:b/>
          <w:bCs/>
          <w:sz w:val="24"/>
          <w:szCs w:val="24"/>
        </w:rPr>
        <w:t>Figure</w:t>
      </w:r>
      <w:r>
        <w:rPr>
          <w:rFonts w:asciiTheme="majorBidi" w:hAnsiTheme="majorBidi" w:cstheme="majorBidi"/>
          <w:b/>
          <w:bCs/>
          <w:sz w:val="24"/>
          <w:szCs w:val="24"/>
        </w:rPr>
        <w:t xml:space="preserve"> </w:t>
      </w:r>
      <w:r w:rsidRPr="00AB00AA">
        <w:rPr>
          <w:rFonts w:asciiTheme="majorBidi" w:hAnsiTheme="majorBidi" w:cstheme="majorBidi"/>
          <w:b/>
          <w:bCs/>
          <w:sz w:val="24"/>
          <w:szCs w:val="24"/>
        </w:rPr>
        <w:t>02</w:t>
      </w:r>
      <w:r>
        <w:rPr>
          <w:rFonts w:asciiTheme="majorBidi" w:hAnsiTheme="majorBidi" w:cstheme="majorBidi"/>
          <w:b/>
          <w:bCs/>
          <w:sz w:val="24"/>
          <w:szCs w:val="24"/>
        </w:rPr>
        <w:t>:</w:t>
      </w:r>
      <w:r w:rsidRPr="00E31F7F">
        <w:rPr>
          <w:rFonts w:asciiTheme="majorBidi" w:hAnsiTheme="majorBidi" w:cstheme="majorBidi"/>
          <w:b/>
          <w:bCs/>
          <w:sz w:val="24"/>
          <w:szCs w:val="24"/>
        </w:rPr>
        <w:t xml:space="preserve"> Ontogénèse embryonnaire et potentialit</w:t>
      </w:r>
      <w:r>
        <w:rPr>
          <w:rFonts w:asciiTheme="majorBidi" w:hAnsiTheme="majorBidi" w:cstheme="majorBidi"/>
          <w:b/>
          <w:bCs/>
          <w:sz w:val="24"/>
          <w:szCs w:val="24"/>
        </w:rPr>
        <w:t xml:space="preserve">és de différenciation de la </w:t>
      </w:r>
      <w:r w:rsidRPr="00B24D62">
        <w:rPr>
          <w:rFonts w:asciiTheme="majorBidi" w:hAnsiTheme="majorBidi" w:cstheme="majorBidi"/>
          <w:b/>
          <w:bCs/>
          <w:sz w:val="24"/>
          <w:szCs w:val="24"/>
        </w:rPr>
        <w:t>MCI</w:t>
      </w:r>
      <w:r w:rsidRPr="00B24D62">
        <w:rPr>
          <w:b/>
          <w:bCs/>
        </w:rPr>
        <w:t xml:space="preserve"> (</w:t>
      </w:r>
      <w:r w:rsidRPr="00B24D62">
        <w:rPr>
          <w:rFonts w:asciiTheme="majorBidi" w:hAnsiTheme="majorBidi" w:cstheme="majorBidi"/>
          <w:b/>
          <w:lang w:bidi="ar-DZ"/>
        </w:rPr>
        <w:t>5</w:t>
      </w:r>
      <w:r>
        <w:rPr>
          <w:b/>
        </w:rPr>
        <w:t>)</w:t>
      </w:r>
    </w:p>
    <w:p w:rsidR="003A459A" w:rsidRPr="007B28B7" w:rsidRDefault="003A459A" w:rsidP="003A459A">
      <w:pPr>
        <w:pStyle w:val="a3"/>
        <w:numPr>
          <w:ilvl w:val="0"/>
          <w:numId w:val="7"/>
        </w:numPr>
        <w:autoSpaceDE w:val="0"/>
        <w:autoSpaceDN w:val="0"/>
        <w:adjustRightInd w:val="0"/>
        <w:spacing w:after="0" w:line="360" w:lineRule="auto"/>
        <w:jc w:val="both"/>
        <w:rPr>
          <w:rFonts w:asciiTheme="majorBidi" w:hAnsiTheme="majorBidi" w:cstheme="majorBidi"/>
          <w:b/>
          <w:bCs/>
          <w:sz w:val="28"/>
          <w:szCs w:val="28"/>
          <w:rtl/>
        </w:rPr>
      </w:pPr>
      <w:r w:rsidRPr="007B28B7">
        <w:rPr>
          <w:rFonts w:asciiTheme="majorBidi" w:hAnsiTheme="majorBidi" w:cstheme="majorBidi"/>
          <w:b/>
          <w:bCs/>
          <w:sz w:val="28"/>
          <w:szCs w:val="28"/>
        </w:rPr>
        <w:lastRenderedPageBreak/>
        <w:t>Origine tissulaire de cellules souches mésenchymateuses en pratique clinique </w:t>
      </w:r>
    </w:p>
    <w:p w:rsidR="003A459A" w:rsidRPr="007B28B7" w:rsidRDefault="003A459A" w:rsidP="003A459A">
      <w:pPr>
        <w:autoSpaceDE w:val="0"/>
        <w:autoSpaceDN w:val="0"/>
        <w:adjustRightInd w:val="0"/>
        <w:spacing w:after="0" w:line="360" w:lineRule="auto"/>
        <w:ind w:left="284"/>
        <w:jc w:val="both"/>
        <w:rPr>
          <w:rFonts w:ascii="Times New Roman" w:hAnsi="Times New Roman" w:cs="Times New Roman"/>
          <w:sz w:val="24"/>
          <w:szCs w:val="24"/>
        </w:rPr>
      </w:pPr>
    </w:p>
    <w:p w:rsidR="003A459A" w:rsidRDefault="003A459A" w:rsidP="003A45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Les c</w:t>
      </w:r>
      <w:r w:rsidRPr="00CC3FDF">
        <w:rPr>
          <w:rFonts w:ascii="Times New Roman" w:hAnsi="Times New Roman" w:cs="Times New Roman"/>
          <w:sz w:val="24"/>
          <w:szCs w:val="24"/>
        </w:rPr>
        <w:t>ellules souches mésenchymateuses (CSM) sont présentes dans divers tissus de l’organisme adulte</w:t>
      </w:r>
      <w:r>
        <w:rPr>
          <w:rFonts w:ascii="Times New Roman" w:hAnsi="Times New Roman" w:cs="Times New Roman"/>
          <w:sz w:val="24"/>
          <w:szCs w:val="24"/>
        </w:rPr>
        <w:t>. C</w:t>
      </w:r>
      <w:r w:rsidRPr="00CC3FDF">
        <w:rPr>
          <w:rFonts w:ascii="Times New Roman" w:hAnsi="Times New Roman" w:cs="Times New Roman"/>
          <w:sz w:val="24"/>
          <w:szCs w:val="24"/>
        </w:rPr>
        <w:t>’est en 1976, que pour la première fois, des CSM</w:t>
      </w:r>
      <w:r>
        <w:rPr>
          <w:rFonts w:ascii="Times New Roman" w:hAnsi="Times New Roman" w:cs="Times New Roman"/>
          <w:sz w:val="24"/>
          <w:szCs w:val="24"/>
        </w:rPr>
        <w:t xml:space="preserve"> </w:t>
      </w:r>
      <w:r w:rsidRPr="00CC3FDF">
        <w:rPr>
          <w:rFonts w:ascii="Times New Roman" w:hAnsi="Times New Roman" w:cs="Times New Roman"/>
          <w:sz w:val="24"/>
          <w:szCs w:val="24"/>
        </w:rPr>
        <w:t>ont été</w:t>
      </w:r>
      <w:r>
        <w:rPr>
          <w:rFonts w:ascii="Times New Roman" w:hAnsi="Times New Roman" w:cs="Times New Roman"/>
          <w:sz w:val="24"/>
          <w:szCs w:val="24"/>
        </w:rPr>
        <w:t xml:space="preserve"> </w:t>
      </w:r>
      <w:r w:rsidRPr="00CC3FDF">
        <w:rPr>
          <w:rFonts w:ascii="Times New Roman" w:hAnsi="Times New Roman" w:cs="Times New Roman"/>
          <w:sz w:val="24"/>
          <w:szCs w:val="24"/>
        </w:rPr>
        <w:t>isolées</w:t>
      </w:r>
      <w:r>
        <w:rPr>
          <w:rFonts w:ascii="Times New Roman" w:hAnsi="Times New Roman" w:cs="Times New Roman"/>
          <w:sz w:val="24"/>
          <w:szCs w:val="24"/>
        </w:rPr>
        <w:t xml:space="preserve"> </w:t>
      </w:r>
      <w:r w:rsidRPr="00CC3FDF">
        <w:rPr>
          <w:rFonts w:ascii="Times New Roman" w:hAnsi="Times New Roman" w:cs="Times New Roman"/>
          <w:sz w:val="24"/>
          <w:szCs w:val="24"/>
        </w:rPr>
        <w:t xml:space="preserve">à partir de la moelle osseuse (MO). </w:t>
      </w:r>
    </w:p>
    <w:p w:rsidR="003A459A" w:rsidRDefault="003A459A" w:rsidP="003A45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C3FDF">
        <w:rPr>
          <w:rFonts w:ascii="Times New Roman" w:hAnsi="Times New Roman" w:cs="Times New Roman"/>
          <w:sz w:val="24"/>
          <w:szCs w:val="24"/>
        </w:rPr>
        <w:t>Le terme de cellules souches mésenchymateuses</w:t>
      </w:r>
      <w:r>
        <w:rPr>
          <w:rFonts w:ascii="Times New Roman" w:hAnsi="Times New Roman" w:cs="Times New Roman"/>
          <w:sz w:val="24"/>
          <w:szCs w:val="24"/>
        </w:rPr>
        <w:t xml:space="preserve"> </w:t>
      </w:r>
      <w:r w:rsidRPr="00CC3FDF">
        <w:rPr>
          <w:rFonts w:ascii="Times New Roman" w:hAnsi="Times New Roman" w:cs="Times New Roman"/>
          <w:sz w:val="24"/>
          <w:szCs w:val="24"/>
        </w:rPr>
        <w:t>a</w:t>
      </w:r>
      <w:r>
        <w:rPr>
          <w:rFonts w:ascii="Times New Roman" w:hAnsi="Times New Roman" w:cs="Times New Roman"/>
          <w:sz w:val="24"/>
          <w:szCs w:val="24"/>
        </w:rPr>
        <w:t xml:space="preserve">   </w:t>
      </w:r>
      <w:r w:rsidRPr="00CC3FDF">
        <w:rPr>
          <w:rFonts w:ascii="Times New Roman" w:hAnsi="Times New Roman" w:cs="Times New Roman"/>
          <w:sz w:val="24"/>
          <w:szCs w:val="24"/>
        </w:rPr>
        <w:t>été donne par Arnold Caplan en 1991, les autres</w:t>
      </w:r>
      <w:r>
        <w:rPr>
          <w:rFonts w:ascii="Times New Roman" w:hAnsi="Times New Roman" w:cs="Times New Roman"/>
          <w:sz w:val="24"/>
          <w:szCs w:val="24"/>
        </w:rPr>
        <w:t xml:space="preserve"> </w:t>
      </w:r>
      <w:r w:rsidRPr="00CC3FDF">
        <w:rPr>
          <w:rFonts w:ascii="Times New Roman" w:hAnsi="Times New Roman" w:cs="Times New Roman"/>
          <w:sz w:val="24"/>
          <w:szCs w:val="24"/>
        </w:rPr>
        <w:t>termes tels que CFU-F (ColonyFormingUnits-Fibroblast) ou "mesenchymal</w:t>
      </w:r>
      <w:r>
        <w:rPr>
          <w:rFonts w:ascii="Times New Roman" w:hAnsi="Times New Roman" w:cs="Times New Roman"/>
          <w:sz w:val="24"/>
          <w:szCs w:val="24"/>
        </w:rPr>
        <w:t xml:space="preserve"> </w:t>
      </w:r>
      <w:r w:rsidRPr="00CC3FDF">
        <w:rPr>
          <w:rFonts w:ascii="Times New Roman" w:hAnsi="Times New Roman" w:cs="Times New Roman"/>
          <w:sz w:val="24"/>
          <w:szCs w:val="24"/>
        </w:rPr>
        <w:t xml:space="preserve">progrenitor stroma cells" sont eux utilises suivant la technique par laquelle elles sont isolées et mises en culture. Les aspirats de MO sont considérés comme la source la plus riche en CSM et la plus accessible. </w:t>
      </w:r>
      <w:r>
        <w:rPr>
          <w:rFonts w:ascii="Times New Roman" w:hAnsi="Times New Roman" w:cs="Times New Roman"/>
          <w:sz w:val="24"/>
          <w:szCs w:val="24"/>
        </w:rPr>
        <w:t xml:space="preserve"> </w:t>
      </w:r>
    </w:p>
    <w:p w:rsidR="003A459A" w:rsidRDefault="003A459A" w:rsidP="003A459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C3FDF">
        <w:rPr>
          <w:rFonts w:ascii="Times New Roman" w:hAnsi="Times New Roman" w:cs="Times New Roman"/>
          <w:sz w:val="24"/>
          <w:szCs w:val="24"/>
        </w:rPr>
        <w:t>Les CSM ont été également</w:t>
      </w:r>
      <w:r>
        <w:rPr>
          <w:rFonts w:ascii="Times New Roman" w:hAnsi="Times New Roman" w:cs="Times New Roman"/>
          <w:sz w:val="24"/>
          <w:szCs w:val="24"/>
        </w:rPr>
        <w:t xml:space="preserve"> </w:t>
      </w:r>
      <w:r w:rsidRPr="00CC3FDF">
        <w:rPr>
          <w:rFonts w:ascii="Times New Roman" w:hAnsi="Times New Roman" w:cs="Times New Roman"/>
          <w:sz w:val="24"/>
          <w:szCs w:val="24"/>
        </w:rPr>
        <w:t>isolés</w:t>
      </w:r>
      <w:r>
        <w:rPr>
          <w:rFonts w:ascii="Times New Roman" w:hAnsi="Times New Roman" w:cs="Times New Roman"/>
          <w:sz w:val="24"/>
          <w:szCs w:val="24"/>
        </w:rPr>
        <w:t xml:space="preserve"> </w:t>
      </w:r>
      <w:r w:rsidRPr="00CC3FDF">
        <w:rPr>
          <w:rFonts w:ascii="Times New Roman" w:hAnsi="Times New Roman" w:cs="Times New Roman"/>
          <w:sz w:val="24"/>
          <w:szCs w:val="24"/>
        </w:rPr>
        <w:t>à partir de divers tissus incluant le cartilage, le périoste, la membrane synoviale, le liquide synovial, les muscles  et les tendons. Il a été également mis en évidence que le tissu fœtal, le placenta, la veine</w:t>
      </w:r>
      <w:r>
        <w:rPr>
          <w:rFonts w:ascii="Times New Roman" w:hAnsi="Times New Roman" w:cs="Times New Roman"/>
          <w:sz w:val="24"/>
          <w:szCs w:val="24"/>
        </w:rPr>
        <w:t xml:space="preserve"> ombilicale, et le système vasculaire  contiennent des CSM.</w:t>
      </w:r>
    </w:p>
    <w:p w:rsidR="00AC7958" w:rsidRDefault="003A459A" w:rsidP="00AC795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C3FDF">
        <w:rPr>
          <w:rFonts w:ascii="Times New Roman" w:hAnsi="Times New Roman" w:cs="Times New Roman"/>
          <w:sz w:val="24"/>
          <w:szCs w:val="24"/>
        </w:rPr>
        <w:t>Le tissu adipeux pourrait servir d</w:t>
      </w:r>
      <w:r>
        <w:rPr>
          <w:rFonts w:ascii="Times New Roman" w:hAnsi="Times New Roman" w:cs="Times New Roman"/>
          <w:sz w:val="24"/>
          <w:szCs w:val="24"/>
        </w:rPr>
        <w:t>’</w:t>
      </w:r>
      <w:r w:rsidRPr="00CC3FDF">
        <w:rPr>
          <w:rFonts w:ascii="Times New Roman" w:hAnsi="Times New Roman" w:cs="Times New Roman"/>
          <w:sz w:val="24"/>
          <w:szCs w:val="24"/>
        </w:rPr>
        <w:t>excellente source de CSM du fait de la quantité</w:t>
      </w:r>
      <w:r>
        <w:rPr>
          <w:rFonts w:ascii="Times New Roman" w:hAnsi="Times New Roman" w:cs="Times New Roman"/>
          <w:sz w:val="24"/>
          <w:szCs w:val="24"/>
        </w:rPr>
        <w:t xml:space="preserve"> </w:t>
      </w:r>
      <w:r w:rsidRPr="00CC3FDF">
        <w:rPr>
          <w:rFonts w:ascii="Times New Roman" w:hAnsi="Times New Roman" w:cs="Times New Roman"/>
          <w:sz w:val="24"/>
          <w:szCs w:val="24"/>
        </w:rPr>
        <w:t>présente dans l’organisme humain et de la disponibilité de déchets</w:t>
      </w:r>
      <w:r>
        <w:rPr>
          <w:rFonts w:ascii="Times New Roman" w:hAnsi="Times New Roman" w:cs="Times New Roman"/>
          <w:sz w:val="24"/>
          <w:szCs w:val="24"/>
        </w:rPr>
        <w:t xml:space="preserve"> </w:t>
      </w:r>
      <w:r w:rsidRPr="00CC3FDF">
        <w:rPr>
          <w:rFonts w:ascii="Times New Roman" w:hAnsi="Times New Roman" w:cs="Times New Roman"/>
          <w:sz w:val="24"/>
          <w:szCs w:val="24"/>
        </w:rPr>
        <w:t>opératoires lies à la chirurgie. Il est</w:t>
      </w:r>
      <w:r>
        <w:rPr>
          <w:rFonts w:ascii="Times New Roman" w:hAnsi="Times New Roman" w:cs="Times New Roman"/>
          <w:sz w:val="24"/>
          <w:szCs w:val="24"/>
        </w:rPr>
        <w:t xml:space="preserve"> </w:t>
      </w:r>
      <w:r w:rsidRPr="00CC3FDF">
        <w:rPr>
          <w:rFonts w:ascii="Times New Roman" w:hAnsi="Times New Roman" w:cs="Times New Roman"/>
          <w:sz w:val="24"/>
          <w:szCs w:val="24"/>
        </w:rPr>
        <w:t>à noter que les CSM isolées</w:t>
      </w:r>
      <w:r>
        <w:rPr>
          <w:rFonts w:ascii="Times New Roman" w:hAnsi="Times New Roman" w:cs="Times New Roman"/>
          <w:sz w:val="24"/>
          <w:szCs w:val="24"/>
        </w:rPr>
        <w:t xml:space="preserve"> </w:t>
      </w:r>
      <w:r w:rsidRPr="00CC3FDF">
        <w:rPr>
          <w:rFonts w:ascii="Times New Roman" w:hAnsi="Times New Roman" w:cs="Times New Roman"/>
          <w:sz w:val="24"/>
          <w:szCs w:val="24"/>
        </w:rPr>
        <w:t>à partir du tissu adipeux ont un potentiel chondrogenique et ostéogéniques</w:t>
      </w:r>
      <w:r>
        <w:rPr>
          <w:rFonts w:ascii="Times New Roman" w:hAnsi="Times New Roman" w:cs="Times New Roman"/>
          <w:sz w:val="24"/>
          <w:szCs w:val="24"/>
        </w:rPr>
        <w:t xml:space="preserve"> </w:t>
      </w:r>
      <w:r w:rsidRPr="00CC3FDF">
        <w:rPr>
          <w:rFonts w:ascii="Times New Roman" w:hAnsi="Times New Roman" w:cs="Times New Roman"/>
          <w:sz w:val="24"/>
          <w:szCs w:val="24"/>
        </w:rPr>
        <w:t>inférieur</w:t>
      </w:r>
      <w:r>
        <w:rPr>
          <w:rFonts w:ascii="Times New Roman" w:hAnsi="Times New Roman" w:cs="Times New Roman"/>
          <w:sz w:val="24"/>
          <w:szCs w:val="24"/>
        </w:rPr>
        <w:t xml:space="preserve"> </w:t>
      </w:r>
      <w:r w:rsidRPr="00CC3FDF">
        <w:rPr>
          <w:rFonts w:ascii="Times New Roman" w:hAnsi="Times New Roman" w:cs="Times New Roman"/>
          <w:sz w:val="24"/>
          <w:szCs w:val="24"/>
        </w:rPr>
        <w:t>à celui des CSM isolées à partir de moelle osseuse (</w:t>
      </w:r>
      <w:r>
        <w:rPr>
          <w:rFonts w:asciiTheme="majorBidi" w:eastAsia="Times New Roman" w:hAnsiTheme="majorBidi" w:cstheme="majorBidi"/>
          <w:color w:val="000000"/>
          <w:sz w:val="24"/>
          <w:szCs w:val="24"/>
        </w:rPr>
        <w:t>9</w:t>
      </w:r>
      <w:r w:rsidRPr="00CC3FDF">
        <w:rPr>
          <w:rFonts w:asciiTheme="majorBidi" w:eastAsia="Times New Roman" w:hAnsiTheme="majorBidi" w:cstheme="majorBidi"/>
          <w:color w:val="000000"/>
          <w:sz w:val="24"/>
          <w:szCs w:val="24"/>
        </w:rPr>
        <w:t>).</w:t>
      </w:r>
    </w:p>
    <w:p w:rsidR="003A459A" w:rsidRPr="00AC7958" w:rsidRDefault="00AC7958" w:rsidP="00AC7958">
      <w:pPr>
        <w:spacing w:line="360" w:lineRule="auto"/>
        <w:jc w:val="both"/>
        <w:rPr>
          <w:rFonts w:ascii="Times New Roman" w:hAnsi="Times New Roman" w:cs="Times New Roman"/>
          <w:sz w:val="24"/>
          <w:szCs w:val="24"/>
        </w:rPr>
      </w:pPr>
      <w:r>
        <w:rPr>
          <w:rFonts w:asciiTheme="majorBidi" w:hAnsiTheme="majorBidi" w:cstheme="majorBidi"/>
          <w:b/>
          <w:bCs/>
          <w:sz w:val="28"/>
          <w:szCs w:val="28"/>
        </w:rPr>
        <w:t>4</w:t>
      </w:r>
      <w:r w:rsidR="003A459A">
        <w:rPr>
          <w:rFonts w:asciiTheme="majorBidi" w:hAnsiTheme="majorBidi" w:cstheme="majorBidi"/>
          <w:b/>
          <w:bCs/>
          <w:sz w:val="28"/>
          <w:szCs w:val="28"/>
        </w:rPr>
        <w:t>.</w:t>
      </w:r>
      <w:r w:rsidR="003A459A" w:rsidRPr="008C61AA">
        <w:rPr>
          <w:rFonts w:asciiTheme="majorBidi" w:hAnsiTheme="majorBidi" w:cstheme="majorBidi"/>
          <w:b/>
          <w:bCs/>
          <w:sz w:val="28"/>
          <w:szCs w:val="28"/>
        </w:rPr>
        <w:t xml:space="preserve"> Utilisation thérapeutique de cellules souches mésenchymateuses</w:t>
      </w:r>
      <w:r w:rsidR="003A459A">
        <w:rPr>
          <w:rFonts w:asciiTheme="majorBidi" w:hAnsiTheme="majorBidi" w:cstheme="majorBidi"/>
          <w:b/>
          <w:bCs/>
          <w:sz w:val="28"/>
          <w:szCs w:val="28"/>
        </w:rPr>
        <w:t> </w:t>
      </w:r>
    </w:p>
    <w:p w:rsidR="003A459A" w:rsidRPr="00731A96" w:rsidRDefault="003A459A" w:rsidP="003A459A">
      <w:pPr>
        <w:pStyle w:val="a3"/>
        <w:numPr>
          <w:ilvl w:val="0"/>
          <w:numId w:val="3"/>
        </w:numPr>
        <w:spacing w:line="360" w:lineRule="auto"/>
        <w:jc w:val="both"/>
        <w:rPr>
          <w:rFonts w:asciiTheme="majorBidi" w:hAnsiTheme="majorBidi" w:cstheme="majorBidi"/>
          <w:b/>
          <w:bCs/>
          <w:vanish/>
          <w:sz w:val="28"/>
          <w:szCs w:val="28"/>
        </w:rPr>
      </w:pPr>
    </w:p>
    <w:p w:rsidR="003A459A" w:rsidRPr="00186BF0" w:rsidRDefault="003A459A" w:rsidP="00AC7958">
      <w:pPr>
        <w:spacing w:line="360" w:lineRule="auto"/>
        <w:jc w:val="both"/>
        <w:rPr>
          <w:rFonts w:asciiTheme="majorBidi" w:hAnsiTheme="majorBidi" w:cstheme="majorBidi"/>
          <w:b/>
          <w:bCs/>
          <w:sz w:val="28"/>
          <w:szCs w:val="28"/>
        </w:rPr>
      </w:pPr>
      <w:r>
        <w:rPr>
          <w:rFonts w:asciiTheme="majorBidi" w:hAnsiTheme="majorBidi" w:cstheme="majorBidi"/>
          <w:b/>
          <w:bCs/>
          <w:sz w:val="24"/>
          <w:szCs w:val="24"/>
        </w:rPr>
        <w:t xml:space="preserve">      </w:t>
      </w:r>
      <w:r w:rsidR="00AC7958">
        <w:rPr>
          <w:rFonts w:asciiTheme="majorBidi" w:hAnsiTheme="majorBidi" w:cstheme="majorBidi"/>
          <w:b/>
          <w:bCs/>
          <w:sz w:val="24"/>
          <w:szCs w:val="24"/>
        </w:rPr>
        <w:t>4</w:t>
      </w:r>
      <w:r>
        <w:rPr>
          <w:rFonts w:asciiTheme="majorBidi" w:hAnsiTheme="majorBidi" w:cstheme="majorBidi"/>
          <w:b/>
          <w:bCs/>
          <w:sz w:val="24"/>
          <w:szCs w:val="24"/>
        </w:rPr>
        <w:t>.1.</w:t>
      </w:r>
      <w:r w:rsidRPr="00186BF0">
        <w:rPr>
          <w:rFonts w:asciiTheme="majorBidi" w:hAnsiTheme="majorBidi" w:cstheme="majorBidi"/>
          <w:b/>
          <w:bCs/>
          <w:sz w:val="24"/>
          <w:szCs w:val="24"/>
        </w:rPr>
        <w:t xml:space="preserve"> Os et cartilage </w:t>
      </w:r>
    </w:p>
    <w:p w:rsidR="003A459A" w:rsidRDefault="003A459A" w:rsidP="003A459A">
      <w:pPr>
        <w:pStyle w:val="a4"/>
        <w:spacing w:line="360" w:lineRule="auto"/>
        <w:jc w:val="both"/>
        <w:rPr>
          <w:rFonts w:asciiTheme="majorBidi" w:hAnsiTheme="majorBidi" w:cstheme="majorBidi"/>
        </w:rPr>
      </w:pPr>
      <w:r>
        <w:rPr>
          <w:rFonts w:asciiTheme="majorBidi" w:hAnsiTheme="majorBidi" w:cstheme="majorBidi"/>
        </w:rPr>
        <w:t xml:space="preserve">       </w:t>
      </w:r>
      <w:r w:rsidRPr="00A44827">
        <w:rPr>
          <w:rFonts w:asciiTheme="majorBidi" w:hAnsiTheme="majorBidi" w:cstheme="majorBidi"/>
        </w:rPr>
        <w:t xml:space="preserve">Le cartilage abîmé ne se reforme pas. Remplacer ce cartilage usé par du nouveau cartilage, c'est le rêve des patients et des médecins. Cela n'est malheureusement pas encore une réalité, mais des progrès sont en cours. Aujourd’hui, il n'est en effet pas possible de reconstituer les usures étendues du cartilage telles qu'on les observe </w:t>
      </w:r>
      <w:r>
        <w:rPr>
          <w:rFonts w:asciiTheme="majorBidi" w:hAnsiTheme="majorBidi" w:cstheme="majorBidi"/>
        </w:rPr>
        <w:t xml:space="preserve">dans les arthroses. En revanche, </w:t>
      </w:r>
      <w:r w:rsidRPr="00A44827">
        <w:rPr>
          <w:rFonts w:asciiTheme="majorBidi" w:hAnsiTheme="majorBidi" w:cstheme="majorBidi"/>
        </w:rPr>
        <w:t xml:space="preserve">on peut effectuer des greffes de cartilage dans quelques situations bien précises : il faut que l'usure soit peu étendue (quelques centimètres carrés), que le cartilage qui entoure cette lésion soit en bon état, et que la lésion siège au niveau des condyles fémoraux. </w:t>
      </w:r>
    </w:p>
    <w:p w:rsidR="003A459A" w:rsidRDefault="003A459A" w:rsidP="003A459A">
      <w:pPr>
        <w:pStyle w:val="a4"/>
        <w:spacing w:line="360" w:lineRule="auto"/>
        <w:jc w:val="both"/>
      </w:pPr>
      <w:r>
        <w:rPr>
          <w:rFonts w:asciiTheme="majorBidi" w:hAnsiTheme="majorBidi" w:cstheme="majorBidi"/>
        </w:rPr>
        <w:lastRenderedPageBreak/>
        <w:t xml:space="preserve">   </w:t>
      </w:r>
      <w:r w:rsidRPr="00A44827">
        <w:rPr>
          <w:rFonts w:asciiTheme="majorBidi" w:hAnsiTheme="majorBidi" w:cstheme="majorBidi"/>
        </w:rPr>
        <w:t>Le but de cette greffe est d'éviter l'apparition d'une arthrose ultérieure que le défaut cartilagineux risque d'entraîner. Deux techniques existent actuellement : la plastie en mosaïque et la greffe de cellules cart</w:t>
      </w:r>
      <w:r>
        <w:rPr>
          <w:rFonts w:asciiTheme="majorBidi" w:hAnsiTheme="majorBidi" w:cstheme="majorBidi"/>
        </w:rPr>
        <w:t>ilagineu</w:t>
      </w:r>
      <w:r w:rsidRPr="00A44827">
        <w:rPr>
          <w:rFonts w:asciiTheme="majorBidi" w:hAnsiTheme="majorBidi" w:cstheme="majorBidi"/>
        </w:rPr>
        <w:t>se</w:t>
      </w:r>
      <w:r>
        <w:t xml:space="preserve"> (10).</w:t>
      </w:r>
    </w:p>
    <w:p w:rsidR="003A459A" w:rsidRPr="00223A83" w:rsidRDefault="003A459A" w:rsidP="003A459A">
      <w:pPr>
        <w:pStyle w:val="a3"/>
        <w:numPr>
          <w:ilvl w:val="0"/>
          <w:numId w:val="8"/>
        </w:numPr>
        <w:spacing w:before="100" w:beforeAutospacing="1" w:after="100" w:afterAutospacing="1" w:line="360" w:lineRule="auto"/>
        <w:jc w:val="both"/>
        <w:rPr>
          <w:rFonts w:asciiTheme="majorBidi" w:eastAsia="Times New Roman" w:hAnsiTheme="majorBidi" w:cstheme="majorBidi"/>
          <w:b/>
          <w:bCs/>
          <w:sz w:val="24"/>
          <w:szCs w:val="24"/>
        </w:rPr>
      </w:pPr>
      <w:r w:rsidRPr="00223A83">
        <w:rPr>
          <w:rFonts w:asciiTheme="majorBidi" w:eastAsia="Times New Roman" w:hAnsiTheme="majorBidi" w:cstheme="majorBidi"/>
          <w:b/>
          <w:bCs/>
          <w:sz w:val="24"/>
          <w:szCs w:val="24"/>
        </w:rPr>
        <w:t xml:space="preserve">La greffe de cellules </w:t>
      </w:r>
      <w:r>
        <w:rPr>
          <w:rFonts w:asciiTheme="majorBidi" w:eastAsia="Times New Roman" w:hAnsiTheme="majorBidi" w:cstheme="majorBidi"/>
          <w:b/>
          <w:bCs/>
          <w:sz w:val="24"/>
          <w:szCs w:val="24"/>
        </w:rPr>
        <w:t>cartilagineuses (chondrocytes) </w:t>
      </w:r>
    </w:p>
    <w:p w:rsidR="003A459A" w:rsidRPr="008E4714" w:rsidRDefault="003A459A" w:rsidP="003A459A">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E4714">
        <w:rPr>
          <w:rFonts w:ascii="Times New Roman" w:eastAsia="Times New Roman" w:hAnsi="Times New Roman" w:cs="Times New Roman"/>
          <w:sz w:val="24"/>
          <w:szCs w:val="24"/>
        </w:rPr>
        <w:t>Elle consiste à prélever des cellules cartilagineuses, les faire se multiplier en les cultivant puis à les mettre en place. Il s'agit donc d'une technique qui comporte plusieurs interventions :</w:t>
      </w:r>
    </w:p>
    <w:p w:rsidR="003A459A" w:rsidRPr="008E4714" w:rsidRDefault="003A459A" w:rsidP="003A459A">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8E4714">
        <w:rPr>
          <w:rFonts w:ascii="Times New Roman" w:eastAsia="Times New Roman" w:hAnsi="Times New Roman" w:cs="Times New Roman"/>
          <w:sz w:val="24"/>
          <w:szCs w:val="24"/>
        </w:rPr>
        <w:t>out d'abord une arthroscopie pour confirmer que la lésion peut se prêter à une greffe et pour prélever un petit fragment de cartilage. Il est mis en culture. On obtient ainsi la multiplication des cellules cartilagineuses sous forme d'un liquide pâteux.</w:t>
      </w:r>
    </w:p>
    <w:p w:rsidR="003A459A" w:rsidRDefault="003A459A" w:rsidP="003A459A">
      <w:pPr>
        <w:spacing w:after="0" w:line="360" w:lineRule="auto"/>
        <w:jc w:val="both"/>
        <w:rPr>
          <w:sz w:val="24"/>
          <w:szCs w:val="24"/>
        </w:rPr>
      </w:pPr>
      <w:r>
        <w:rPr>
          <w:rFonts w:ascii="Times New Roman" w:eastAsia="Times New Roman" w:hAnsi="Times New Roman" w:cs="Times New Roman"/>
          <w:sz w:val="24"/>
          <w:szCs w:val="24"/>
        </w:rPr>
        <w:t>- L</w:t>
      </w:r>
      <w:r w:rsidRPr="008E4714">
        <w:rPr>
          <w:rFonts w:ascii="Times New Roman" w:eastAsia="Times New Roman" w:hAnsi="Times New Roman" w:cs="Times New Roman"/>
          <w:sz w:val="24"/>
          <w:szCs w:val="24"/>
        </w:rPr>
        <w:t>'implantation des cellules cartilagineuses. Elle a lieu quelques semaines après l'arthroscopie. Il s'agit d'une intervention qui nécessite d'ouvrir le genou. Le trou du cartilage est recouvert par une membrane faite de périoste suturée de façon étanche aux bords du cartilage. Le périoste est la poche fine qui entoure les os. Puis la culture des cellules cartilagineuse</w:t>
      </w:r>
      <w:r>
        <w:rPr>
          <w:rFonts w:ascii="Times New Roman" w:eastAsia="Times New Roman" w:hAnsi="Times New Roman" w:cs="Times New Roman"/>
          <w:sz w:val="24"/>
          <w:szCs w:val="24"/>
        </w:rPr>
        <w:t>s</w:t>
      </w:r>
      <w:r w:rsidRPr="008E4714">
        <w:rPr>
          <w:rFonts w:ascii="Times New Roman" w:eastAsia="Times New Roman" w:hAnsi="Times New Roman" w:cs="Times New Roman"/>
          <w:sz w:val="24"/>
          <w:szCs w:val="24"/>
        </w:rPr>
        <w:t xml:space="preserve"> est injectée dans cette cavité ainsi créée</w:t>
      </w:r>
      <w:r w:rsidRPr="008E4714">
        <w:rPr>
          <w:rFonts w:ascii="Times New Roman" w:eastAsia="Times New Roman" w:hAnsi="Times New Roman" w:cs="Times New Roman"/>
          <w:b/>
          <w:bCs/>
          <w:sz w:val="24"/>
          <w:szCs w:val="24"/>
        </w:rPr>
        <w:t>.</w:t>
      </w:r>
      <w:r w:rsidRPr="008E4714">
        <w:rPr>
          <w:rFonts w:ascii="Times New Roman" w:eastAsia="Times New Roman" w:hAnsi="Times New Roman" w:cs="Times New Roman"/>
          <w:sz w:val="24"/>
          <w:szCs w:val="24"/>
        </w:rPr>
        <w:t xml:space="preserve"> Il faut ensuite attendre suffisamment longtemps avant que cette culture de cellu</w:t>
      </w:r>
      <w:r>
        <w:rPr>
          <w:rFonts w:ascii="Times New Roman" w:eastAsia="Times New Roman" w:hAnsi="Times New Roman" w:cs="Times New Roman"/>
          <w:sz w:val="24"/>
          <w:szCs w:val="24"/>
        </w:rPr>
        <w:t xml:space="preserve">les se transforme en cartilage </w:t>
      </w:r>
      <w:r w:rsidRPr="008E4714">
        <w:rPr>
          <w:rFonts w:ascii="Times New Roman" w:eastAsia="Times New Roman" w:hAnsi="Times New Roman" w:cs="Times New Roman"/>
          <w:sz w:val="24"/>
          <w:szCs w:val="24"/>
        </w:rPr>
        <w:t>(</w:t>
      </w:r>
      <w:r>
        <w:rPr>
          <w:rFonts w:asciiTheme="majorBidi" w:hAnsiTheme="majorBidi" w:cstheme="majorBidi"/>
          <w:sz w:val="24"/>
          <w:szCs w:val="24"/>
        </w:rPr>
        <w:t>10</w:t>
      </w:r>
      <w:r w:rsidRPr="008E4714">
        <w:rPr>
          <w:sz w:val="24"/>
          <w:szCs w:val="24"/>
        </w:rPr>
        <w:t>).</w:t>
      </w:r>
    </w:p>
    <w:p w:rsidR="003A459A" w:rsidRPr="00AC16AC" w:rsidRDefault="003A459A" w:rsidP="003A459A">
      <w:pPr>
        <w:spacing w:after="0" w:line="360" w:lineRule="auto"/>
        <w:jc w:val="both"/>
        <w:rPr>
          <w:sz w:val="24"/>
          <w:szCs w:val="24"/>
        </w:rPr>
      </w:pPr>
    </w:p>
    <w:p w:rsidR="003A459A" w:rsidRPr="008C61AA" w:rsidRDefault="003A459A" w:rsidP="003A459A">
      <w:pPr>
        <w:pStyle w:val="a3"/>
        <w:numPr>
          <w:ilvl w:val="0"/>
          <w:numId w:val="8"/>
        </w:numPr>
        <w:spacing w:after="0" w:line="360" w:lineRule="auto"/>
        <w:jc w:val="both"/>
        <w:rPr>
          <w:rFonts w:ascii="Times New Roman" w:eastAsia="Times New Roman" w:hAnsi="Times New Roman" w:cs="Times New Roman"/>
          <w:sz w:val="24"/>
          <w:szCs w:val="24"/>
        </w:rPr>
      </w:pPr>
      <w:r w:rsidRPr="00223A83">
        <w:rPr>
          <w:rFonts w:ascii="Times New Roman" w:eastAsia="Times New Roman" w:hAnsi="Times New Roman" w:cs="Times New Roman"/>
          <w:b/>
          <w:bCs/>
          <w:sz w:val="24"/>
          <w:szCs w:val="24"/>
        </w:rPr>
        <w:t>Traitement actuel des lésions chondrales localisées </w:t>
      </w:r>
    </w:p>
    <w:p w:rsidR="003A459A" w:rsidRPr="008C61AA" w:rsidRDefault="003A459A" w:rsidP="003A459A">
      <w:pPr>
        <w:spacing w:after="0" w:line="360" w:lineRule="auto"/>
        <w:ind w:left="700"/>
        <w:jc w:val="both"/>
        <w:rPr>
          <w:rFonts w:ascii="Times New Roman" w:eastAsia="Times New Roman" w:hAnsi="Times New Roman" w:cs="Times New Roman"/>
          <w:sz w:val="24"/>
          <w:szCs w:val="24"/>
        </w:rPr>
      </w:pPr>
    </w:p>
    <w:p w:rsidR="003A459A" w:rsidRDefault="003A459A" w:rsidP="003A459A">
      <w:pPr>
        <w:spacing w:after="0" w:line="360" w:lineRule="auto"/>
        <w:jc w:val="both"/>
        <w:rPr>
          <w:sz w:val="24"/>
          <w:szCs w:val="24"/>
        </w:rPr>
      </w:pPr>
      <w:r>
        <w:rPr>
          <w:rFonts w:ascii="Times New Roman" w:eastAsia="Times New Roman" w:hAnsi="Times New Roman" w:cs="Times New Roman"/>
          <w:sz w:val="24"/>
          <w:szCs w:val="24"/>
        </w:rPr>
        <w:t xml:space="preserve">      </w:t>
      </w:r>
      <w:r w:rsidRPr="008E4714">
        <w:rPr>
          <w:rFonts w:ascii="Times New Roman" w:eastAsia="Times New Roman" w:hAnsi="Times New Roman" w:cs="Times New Roman"/>
          <w:sz w:val="24"/>
          <w:szCs w:val="24"/>
        </w:rPr>
        <w:t xml:space="preserve">Les capacités de réparation cartilagineuse sont réputées faibles et sont mieux connues en cas d’arthrose. Les chondrocytes sont capables de remplacer une perte en agrécanne au stade précoce, mais sont dépassés lorsque le maillage collagénique est détruit. La fragmentation du réseau de collagène peut être considérée comme le point de non-retour dans la pathologie arthrosique .Après un traumatisme, les possibilités de cicatrisation varient en fonction de l’étendue de la lésion, de son siège et de la profondeur. En cas de lésion superficielle, une réparation spontanée a été observée chez l’animal lorsque la lésion ne dépassait pas 3–4mm de diamètre. Au-delà, on observe une mort cellulaire aux berges du défaut et une augmentation de l’activité catabolique des chondrocytes en périphérie, conduisant à l’exposition progressive de l’os sous-chondral et aux premiers signes d’arthrose. En cas de lésion profonde </w:t>
      </w:r>
      <w:r w:rsidRPr="008E4714">
        <w:rPr>
          <w:rFonts w:ascii="Times New Roman" w:eastAsia="Times New Roman" w:hAnsi="Times New Roman" w:cs="Times New Roman"/>
          <w:sz w:val="24"/>
          <w:szCs w:val="24"/>
        </w:rPr>
        <w:lastRenderedPageBreak/>
        <w:t>exposant l’os sous-chondral, on observe une réaction inflammatoire non spécifique avec formation d’un clou fibrinaire, puis l’afflux de cellules et de facteurs de croissance provenant de la moelle, des vaisseaux et de la synoviale, à l’origine de la formation d’un tissu fibrocartilagineux de cicatrisation .C’est en raison des très faibles capacités de cicatrisation du cartilage articulaire au-delà d’une certaine taille que plusieurs techniques chirurgicales ont été développées, soit pour favoriser une cicatrisation spontanée, soit pour régénérer la perte de substance articulaire. Dans cet exposé, nous citerons les principales stratégies employées et développerons surtout les approches de thérapie cellulaire (</w:t>
      </w:r>
      <w:r>
        <w:rPr>
          <w:rFonts w:asciiTheme="majorBidi" w:hAnsiTheme="majorBidi" w:cstheme="majorBidi"/>
          <w:sz w:val="24"/>
          <w:szCs w:val="24"/>
        </w:rPr>
        <w:t>10</w:t>
      </w:r>
      <w:r w:rsidRPr="008E4714">
        <w:rPr>
          <w:sz w:val="24"/>
          <w:szCs w:val="24"/>
        </w:rPr>
        <w:t>).</w:t>
      </w:r>
    </w:p>
    <w:p w:rsidR="003A459A" w:rsidRDefault="003A459A" w:rsidP="003A459A">
      <w:pPr>
        <w:spacing w:line="360" w:lineRule="auto"/>
        <w:jc w:val="both"/>
      </w:pPr>
    </w:p>
    <w:p w:rsidR="003A459A" w:rsidRPr="00186BF0" w:rsidRDefault="00AC7958" w:rsidP="003A459A">
      <w:pPr>
        <w:spacing w:after="0" w:line="360" w:lineRule="auto"/>
        <w:ind w:left="567"/>
        <w:jc w:val="both"/>
        <w:rPr>
          <w:rFonts w:asciiTheme="majorBidi" w:hAnsiTheme="majorBidi" w:cstheme="majorBidi"/>
          <w:b/>
          <w:bCs/>
          <w:sz w:val="24"/>
          <w:szCs w:val="24"/>
        </w:rPr>
      </w:pPr>
      <w:r>
        <w:rPr>
          <w:rFonts w:asciiTheme="majorBidi" w:hAnsiTheme="majorBidi" w:cstheme="majorBidi"/>
          <w:b/>
          <w:bCs/>
          <w:sz w:val="24"/>
          <w:szCs w:val="24"/>
        </w:rPr>
        <w:t>4</w:t>
      </w:r>
      <w:r w:rsidR="003A459A">
        <w:rPr>
          <w:rFonts w:asciiTheme="majorBidi" w:hAnsiTheme="majorBidi" w:cstheme="majorBidi"/>
          <w:b/>
          <w:bCs/>
          <w:sz w:val="24"/>
          <w:szCs w:val="24"/>
        </w:rPr>
        <w:t>.2.</w:t>
      </w:r>
      <w:r w:rsidR="003A459A" w:rsidRPr="00186BF0">
        <w:rPr>
          <w:rFonts w:asciiTheme="majorBidi" w:hAnsiTheme="majorBidi" w:cstheme="majorBidi"/>
          <w:b/>
          <w:bCs/>
          <w:sz w:val="24"/>
          <w:szCs w:val="24"/>
        </w:rPr>
        <w:t xml:space="preserve"> Amélioration de p</w:t>
      </w:r>
      <w:r w:rsidR="003A459A">
        <w:rPr>
          <w:rFonts w:asciiTheme="majorBidi" w:hAnsiTheme="majorBidi" w:cstheme="majorBidi"/>
          <w:b/>
          <w:bCs/>
          <w:sz w:val="24"/>
          <w:szCs w:val="24"/>
        </w:rPr>
        <w:t>rise de greffe hématopoïétique </w:t>
      </w:r>
    </w:p>
    <w:p w:rsidR="003A459A" w:rsidRPr="00520F4F" w:rsidRDefault="003A459A" w:rsidP="003A459A">
      <w:pPr>
        <w:pStyle w:val="a3"/>
        <w:spacing w:after="0" w:line="360" w:lineRule="auto"/>
        <w:ind w:left="360"/>
        <w:jc w:val="both"/>
        <w:rPr>
          <w:rFonts w:asciiTheme="majorBidi" w:hAnsiTheme="majorBidi" w:cstheme="majorBidi"/>
          <w:b/>
          <w:bCs/>
          <w:sz w:val="28"/>
          <w:szCs w:val="28"/>
        </w:rPr>
      </w:pPr>
    </w:p>
    <w:p w:rsidR="003A459A" w:rsidRPr="00691B33" w:rsidRDefault="003A459A" w:rsidP="003A459A">
      <w:pPr>
        <w:spacing w:line="360" w:lineRule="auto"/>
        <w:jc w:val="both"/>
      </w:pPr>
      <w:r>
        <w:rPr>
          <w:rFonts w:asciiTheme="majorBidi" w:hAnsiTheme="majorBidi" w:cstheme="majorBidi"/>
          <w:sz w:val="24"/>
          <w:szCs w:val="24"/>
        </w:rPr>
        <w:t xml:space="preserve">      </w:t>
      </w:r>
      <w:r w:rsidRPr="00520F4F">
        <w:rPr>
          <w:rFonts w:asciiTheme="majorBidi" w:hAnsiTheme="majorBidi" w:cstheme="majorBidi"/>
          <w:sz w:val="24"/>
          <w:szCs w:val="24"/>
        </w:rPr>
        <w:t xml:space="preserve">De nouvelles recherches chez la souris suggèrent un moyen d’améliorer l’efficacité des transplantations de moelle osseuse de sorte que plus de cellules souches peuvent survivre et contribuer à former le tissu sanguin du receveur. Cette approche, utilisant </w:t>
      </w:r>
      <w:r>
        <w:rPr>
          <w:rFonts w:asciiTheme="majorBidi" w:hAnsiTheme="majorBidi" w:cstheme="majorBidi"/>
          <w:sz w:val="24"/>
          <w:szCs w:val="24"/>
        </w:rPr>
        <w:t xml:space="preserve">un anticorps pour éradiquer les cellules souches </w:t>
      </w:r>
      <w:r w:rsidRPr="00520F4F">
        <w:rPr>
          <w:rFonts w:asciiTheme="majorBidi" w:hAnsiTheme="majorBidi" w:cstheme="majorBidi"/>
          <w:sz w:val="24"/>
          <w:szCs w:val="24"/>
        </w:rPr>
        <w:t xml:space="preserve">de l’hôte avant transplantation, pourrait avoir des effets secondaires moins durs que les méthodes conventionnelles de « conditionnement » utilisées pour préparer l’organisme à recevoir la greffe. Le succès d’une greffe de moelle osseuse dépend en partie de la tolérance du système immunitaire de l’hôte aux nouvelles cellules mais certaines données, comme le fait par exemple que ces transplantations peuvent échouer chez des patients ayant un sévère déficit immunitaire, ont indiqué que d’autres obstacles pouvaient exister. </w:t>
      </w:r>
      <w:r w:rsidRPr="001A6480">
        <w:rPr>
          <w:rFonts w:asciiTheme="majorBidi" w:hAnsiTheme="majorBidi" w:cstheme="majorBidi"/>
          <w:sz w:val="24"/>
          <w:szCs w:val="24"/>
        </w:rPr>
        <w:t>Agnieszka</w:t>
      </w:r>
      <w:r>
        <w:rPr>
          <w:rFonts w:asciiTheme="majorBidi" w:hAnsiTheme="majorBidi" w:cstheme="majorBidi"/>
          <w:color w:val="FF0000"/>
          <w:sz w:val="24"/>
          <w:szCs w:val="24"/>
        </w:rPr>
        <w:t xml:space="preserve"> </w:t>
      </w:r>
      <w:r w:rsidRPr="001A6480">
        <w:rPr>
          <w:rFonts w:asciiTheme="majorBidi" w:hAnsiTheme="majorBidi" w:cstheme="majorBidi"/>
          <w:sz w:val="24"/>
          <w:szCs w:val="24"/>
        </w:rPr>
        <w:t>Czechowicz</w:t>
      </w:r>
      <w:r w:rsidRPr="00520F4F">
        <w:rPr>
          <w:rFonts w:asciiTheme="majorBidi" w:hAnsiTheme="majorBidi" w:cstheme="majorBidi"/>
          <w:sz w:val="24"/>
          <w:szCs w:val="24"/>
        </w:rPr>
        <w:t xml:space="preserve"> et ses collègues</w:t>
      </w:r>
      <w:r>
        <w:t xml:space="preserve"> </w:t>
      </w:r>
      <w:r w:rsidRPr="00520F4F">
        <w:rPr>
          <w:rFonts w:asciiTheme="majorBidi" w:hAnsiTheme="majorBidi" w:cstheme="majorBidi"/>
          <w:sz w:val="24"/>
          <w:szCs w:val="24"/>
        </w:rPr>
        <w:t>montrent maintenant que les cellules souches hématopoïétiques du receveur empêchent la prise de la greffe de cellules souches de donneur dans un modèle murin. Ils ont aussi fait des expériences avec un anticorps appelé ACK2 qui reconnaît et bloque une enzyme appelée c-kit qui est importante dans la régulation des cellules souches hématopoïétiques. L’injection de cet anticorps à des souris a éliminé les cellules souches existantes et ouvert la voie aux cellules transplantées. De futures recherches seront nécessaires pour déterminer si ces résultats s’appliquent à l’homme mais les auteurs proposent que l’utilisation d’anticorps tels qu’ACK2 puisse être « une alternative intéressante aux méthodes conventionnelles de conditionnement qui comportent des risqu</w:t>
      </w:r>
      <w:r>
        <w:rPr>
          <w:rFonts w:asciiTheme="majorBidi" w:hAnsiTheme="majorBidi" w:cstheme="majorBidi"/>
          <w:sz w:val="24"/>
          <w:szCs w:val="24"/>
        </w:rPr>
        <w:t>es significatifs pour la santé (12).</w:t>
      </w:r>
    </w:p>
    <w:p w:rsidR="003A459A" w:rsidRPr="00186BF0" w:rsidRDefault="00AC7958" w:rsidP="003A459A">
      <w:pPr>
        <w:spacing w:line="360" w:lineRule="auto"/>
        <w:ind w:left="567"/>
        <w:jc w:val="both"/>
        <w:rPr>
          <w:rFonts w:asciiTheme="majorBidi" w:hAnsiTheme="majorBidi" w:cstheme="majorBidi"/>
          <w:b/>
          <w:bCs/>
          <w:sz w:val="24"/>
          <w:szCs w:val="24"/>
        </w:rPr>
      </w:pPr>
      <w:r>
        <w:rPr>
          <w:rFonts w:asciiTheme="majorBidi" w:hAnsiTheme="majorBidi" w:cstheme="majorBidi"/>
          <w:b/>
          <w:bCs/>
          <w:sz w:val="24"/>
          <w:szCs w:val="24"/>
        </w:rPr>
        <w:lastRenderedPageBreak/>
        <w:t>4</w:t>
      </w:r>
      <w:r w:rsidR="003A459A">
        <w:rPr>
          <w:rFonts w:asciiTheme="majorBidi" w:hAnsiTheme="majorBidi" w:cstheme="majorBidi"/>
          <w:b/>
          <w:bCs/>
          <w:sz w:val="24"/>
          <w:szCs w:val="24"/>
        </w:rPr>
        <w:t>.3.</w:t>
      </w:r>
      <w:r w:rsidR="003A459A" w:rsidRPr="00186BF0">
        <w:rPr>
          <w:rFonts w:asciiTheme="majorBidi" w:hAnsiTheme="majorBidi" w:cstheme="majorBidi"/>
          <w:b/>
          <w:bCs/>
          <w:sz w:val="24"/>
          <w:szCs w:val="24"/>
        </w:rPr>
        <w:t xml:space="preserve"> Ma</w:t>
      </w:r>
      <w:r w:rsidR="003A459A">
        <w:rPr>
          <w:rFonts w:asciiTheme="majorBidi" w:hAnsiTheme="majorBidi" w:cstheme="majorBidi"/>
          <w:b/>
          <w:bCs/>
          <w:sz w:val="24"/>
          <w:szCs w:val="24"/>
        </w:rPr>
        <w:t>ladie du greffon contre l’hôte </w:t>
      </w:r>
    </w:p>
    <w:p w:rsidR="003A459A" w:rsidRDefault="003A459A" w:rsidP="003A459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34BFB">
        <w:rPr>
          <w:rFonts w:asciiTheme="majorBidi" w:hAnsiTheme="majorBidi" w:cstheme="majorBidi"/>
          <w:sz w:val="24"/>
          <w:szCs w:val="24"/>
        </w:rPr>
        <w:t>La maladie du greffon contre l’hôte (Graf versus host disease ou GVH) est une complication fréquente et grave des greffes de moelle osseuse allogénique. Elle est causée par les cellules immunocompétentes de la moelle du donneur, le receveur immunodéprimé étant incapable de les rejeter. Certains organes constituent la cible privilégiée de la GVH aiguë : peau, tube digestif et canalicules biliaires ; plus récemment, une atteinte pulmonaire a auss</w:t>
      </w:r>
      <w:r>
        <w:rPr>
          <w:rFonts w:asciiTheme="majorBidi" w:hAnsiTheme="majorBidi" w:cstheme="majorBidi"/>
          <w:sz w:val="24"/>
          <w:szCs w:val="24"/>
        </w:rPr>
        <w:t>i été mise en évidence (thrombi-</w:t>
      </w:r>
      <w:r w:rsidRPr="00D34BFB">
        <w:rPr>
          <w:rFonts w:asciiTheme="majorBidi" w:hAnsiTheme="majorBidi" w:cstheme="majorBidi"/>
          <w:sz w:val="24"/>
          <w:szCs w:val="24"/>
        </w:rPr>
        <w:t>pulmonaires multiples). Par définition, la GVH est dite aiguë quand elle survient avant le centième jour post-greffe et chronique au-delà. Une GVH chronique peut survenir sans avoir été précédée par une phase aiguë.  Les signes cutanés constituent le signale plus précoce et le plus constant de la GVH aiguë.</w:t>
      </w:r>
    </w:p>
    <w:p w:rsidR="003A459A" w:rsidRPr="00D34BFB" w:rsidRDefault="003A459A" w:rsidP="003A459A">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34BFB">
        <w:rPr>
          <w:rFonts w:asciiTheme="majorBidi" w:hAnsiTheme="majorBidi" w:cstheme="majorBidi"/>
          <w:sz w:val="24"/>
          <w:szCs w:val="24"/>
        </w:rPr>
        <w:t>Ils réalisent une éruption maculo-papuleuse souvent folliculaire au début, prurigineuse, prédominant au niveau des faces latérales du cou, des paumes et des plantes. La biopsie cutanée montre une dermatose de la jonction, avec contact entre des lymphocytes souvent CD8+ et des kératinocytes nécrosés. Un syndrome de Lyell en constitue la forme la plus sévère</w:t>
      </w:r>
      <w:r>
        <w:rPr>
          <w:rFonts w:asciiTheme="majorBidi" w:hAnsiTheme="majorBidi" w:cstheme="majorBidi"/>
          <w:sz w:val="24"/>
          <w:szCs w:val="24"/>
        </w:rPr>
        <w:t xml:space="preserve"> (15).</w:t>
      </w:r>
    </w:p>
    <w:tbl>
      <w:tblPr>
        <w:tblW w:w="5000" w:type="pct"/>
        <w:tblCellSpacing w:w="0" w:type="dxa"/>
        <w:tblCellMar>
          <w:left w:w="0" w:type="dxa"/>
          <w:right w:w="0" w:type="dxa"/>
        </w:tblCellMar>
        <w:tblLook w:val="04A0"/>
      </w:tblPr>
      <w:tblGrid>
        <w:gridCol w:w="8306"/>
      </w:tblGrid>
      <w:tr w:rsidR="003A459A" w:rsidRPr="00D34BFB" w:rsidTr="00BA15FD">
        <w:trPr>
          <w:tblCellSpacing w:w="0" w:type="dxa"/>
        </w:trPr>
        <w:tc>
          <w:tcPr>
            <w:tcW w:w="5000" w:type="pct"/>
            <w:hideMark/>
          </w:tcPr>
          <w:p w:rsidR="003A459A" w:rsidRPr="00D34BFB" w:rsidRDefault="003A459A" w:rsidP="00BA15FD">
            <w:pPr>
              <w:spacing w:after="0" w:line="360" w:lineRule="auto"/>
              <w:jc w:val="both"/>
              <w:rPr>
                <w:rFonts w:asciiTheme="majorBidi" w:hAnsiTheme="majorBidi" w:cstheme="majorBidi"/>
                <w:sz w:val="24"/>
                <w:szCs w:val="24"/>
              </w:rPr>
            </w:pPr>
          </w:p>
        </w:tc>
      </w:tr>
    </w:tbl>
    <w:p w:rsidR="003A459A" w:rsidRDefault="003A459A" w:rsidP="003A459A">
      <w:pPr>
        <w:pStyle w:val="a3"/>
        <w:numPr>
          <w:ilvl w:val="0"/>
          <w:numId w:val="9"/>
        </w:numPr>
        <w:spacing w:after="0" w:line="360" w:lineRule="auto"/>
        <w:jc w:val="both"/>
        <w:outlineLvl w:val="0"/>
        <w:rPr>
          <w:rFonts w:asciiTheme="majorBidi" w:hAnsiTheme="majorBidi" w:cstheme="majorBidi"/>
          <w:bCs/>
          <w:sz w:val="24"/>
          <w:szCs w:val="24"/>
        </w:rPr>
      </w:pPr>
      <w:r>
        <w:rPr>
          <w:rFonts w:asciiTheme="majorBidi" w:hAnsiTheme="majorBidi" w:cstheme="majorBidi"/>
          <w:bCs/>
          <w:sz w:val="24"/>
          <w:szCs w:val="24"/>
        </w:rPr>
        <w:t>Surveillance</w:t>
      </w:r>
    </w:p>
    <w:p w:rsidR="003A459A" w:rsidRPr="001545F3" w:rsidRDefault="003A459A" w:rsidP="003A459A">
      <w:pPr>
        <w:spacing w:after="0" w:line="360" w:lineRule="auto"/>
        <w:jc w:val="both"/>
        <w:outlineLvl w:val="0"/>
        <w:rPr>
          <w:rFonts w:asciiTheme="majorBidi" w:hAnsiTheme="majorBidi" w:cstheme="majorBidi"/>
          <w:bCs/>
          <w:sz w:val="24"/>
          <w:szCs w:val="24"/>
        </w:rPr>
      </w:pPr>
      <w:r>
        <w:rPr>
          <w:rFonts w:asciiTheme="majorBidi" w:hAnsiTheme="majorBidi" w:cstheme="majorBidi"/>
          <w:sz w:val="24"/>
          <w:szCs w:val="24"/>
        </w:rPr>
        <w:t xml:space="preserve">      </w:t>
      </w:r>
      <w:r w:rsidRPr="001545F3">
        <w:rPr>
          <w:rFonts w:asciiTheme="majorBidi" w:hAnsiTheme="majorBidi" w:cstheme="majorBidi"/>
          <w:sz w:val="24"/>
          <w:szCs w:val="24"/>
        </w:rPr>
        <w:t>Ces malades sont sujets à une fréquence accrue d</w:t>
      </w:r>
      <w:r>
        <w:rPr>
          <w:rFonts w:asciiTheme="majorBidi" w:hAnsiTheme="majorBidi" w:cstheme="majorBidi"/>
          <w:sz w:val="24"/>
          <w:szCs w:val="24"/>
        </w:rPr>
        <w:t xml:space="preserve">e cancers cutanés secondaires </w:t>
      </w:r>
      <w:r w:rsidRPr="001545F3">
        <w:rPr>
          <w:rFonts w:asciiTheme="majorBidi" w:hAnsiTheme="majorBidi" w:cstheme="majorBidi"/>
          <w:sz w:val="24"/>
          <w:szCs w:val="24"/>
        </w:rPr>
        <w:t>carcinomes épidermoïdes de la peau et de la muqueuse buccale, maladie de Bowen cutanée, mélanomes. Aussi l’indication d’un traitement à base d’UV doit-elle être soigneusement pesée chez ce type de malades (15).</w:t>
      </w:r>
    </w:p>
    <w:p w:rsidR="003A459A" w:rsidRPr="00767E45" w:rsidRDefault="003A459A" w:rsidP="003A459A">
      <w:pPr>
        <w:pStyle w:val="a3"/>
        <w:numPr>
          <w:ilvl w:val="0"/>
          <w:numId w:val="9"/>
        </w:numPr>
        <w:spacing w:before="100" w:beforeAutospacing="1" w:after="100" w:afterAutospacing="1" w:line="360" w:lineRule="auto"/>
        <w:ind w:left="709"/>
        <w:jc w:val="both"/>
        <w:outlineLvl w:val="0"/>
        <w:rPr>
          <w:rFonts w:asciiTheme="majorBidi" w:hAnsiTheme="majorBidi" w:cstheme="majorBidi"/>
          <w:bCs/>
          <w:sz w:val="24"/>
          <w:szCs w:val="24"/>
        </w:rPr>
      </w:pPr>
      <w:r>
        <w:rPr>
          <w:rFonts w:asciiTheme="majorBidi" w:hAnsiTheme="majorBidi" w:cstheme="majorBidi"/>
          <w:bCs/>
          <w:sz w:val="24"/>
          <w:szCs w:val="24"/>
        </w:rPr>
        <w:t>Stratégie thérapeutique </w:t>
      </w:r>
    </w:p>
    <w:p w:rsidR="003A459A" w:rsidRPr="00767E45" w:rsidRDefault="003A459A" w:rsidP="003A459A">
      <w:pPr>
        <w:pStyle w:val="a3"/>
        <w:numPr>
          <w:ilvl w:val="0"/>
          <w:numId w:val="11"/>
        </w:numPr>
        <w:spacing w:before="100" w:beforeAutospacing="1" w:after="100" w:afterAutospacing="1" w:line="360" w:lineRule="auto"/>
        <w:jc w:val="both"/>
        <w:outlineLvl w:val="1"/>
        <w:rPr>
          <w:rFonts w:asciiTheme="majorBidi" w:hAnsiTheme="majorBidi" w:cstheme="majorBidi"/>
          <w:bCs/>
          <w:sz w:val="24"/>
          <w:szCs w:val="24"/>
        </w:rPr>
      </w:pPr>
      <w:bookmarkStart w:id="0" w:name="para6"/>
      <w:bookmarkEnd w:id="0"/>
      <w:r>
        <w:rPr>
          <w:rFonts w:asciiTheme="majorBidi" w:hAnsiTheme="majorBidi" w:cstheme="majorBidi"/>
          <w:bCs/>
          <w:sz w:val="24"/>
          <w:szCs w:val="24"/>
        </w:rPr>
        <w:t>Traitement préventif </w:t>
      </w:r>
    </w:p>
    <w:p w:rsidR="003A459A" w:rsidRPr="00D34BFB" w:rsidRDefault="003A459A" w:rsidP="00730B87">
      <w:pPr>
        <w:spacing w:before="100" w:beforeAutospacing="1" w:after="100" w:afterAutospacing="1"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D34BFB">
        <w:rPr>
          <w:rFonts w:asciiTheme="majorBidi" w:hAnsiTheme="majorBidi" w:cstheme="majorBidi"/>
          <w:sz w:val="24"/>
          <w:szCs w:val="24"/>
        </w:rPr>
        <w:t>Le traitement préventif de la GVH est systématique. Le protocole le plus utilisé actuellement associe la ciclosporine (2 à 5 mg/kg/j un jour avant la greffe jusqu’au sixième mois) et le méthotrexate (15 mg/m2 IV à</w:t>
      </w:r>
      <w:r w:rsidR="00730B87">
        <w:rPr>
          <w:rFonts w:asciiTheme="majorBidi" w:hAnsiTheme="majorBidi" w:cstheme="majorBidi"/>
          <w:sz w:val="24"/>
          <w:szCs w:val="24"/>
        </w:rPr>
        <w:t>1</w:t>
      </w:r>
      <w:r w:rsidR="00730B87" w:rsidRPr="00730B87">
        <w:rPr>
          <w:rFonts w:asciiTheme="majorBidi" w:hAnsiTheme="majorBidi" w:cstheme="majorBidi"/>
          <w:b/>
          <w:bCs/>
          <w:sz w:val="24"/>
          <w:szCs w:val="24"/>
          <w:vertAlign w:val="superscript"/>
        </w:rPr>
        <w:t>ére</w:t>
      </w:r>
      <w:r w:rsidR="00730B87">
        <w:rPr>
          <w:rFonts w:asciiTheme="majorBidi" w:hAnsiTheme="majorBidi" w:cstheme="majorBidi"/>
          <w:b/>
          <w:bCs/>
          <w:sz w:val="24"/>
          <w:szCs w:val="24"/>
          <w:vertAlign w:val="superscript"/>
        </w:rPr>
        <w:t xml:space="preserve"> </w:t>
      </w:r>
      <w:r w:rsidR="00730B87">
        <w:rPr>
          <w:rFonts w:asciiTheme="majorBidi" w:hAnsiTheme="majorBidi" w:cstheme="majorBidi"/>
          <w:sz w:val="24"/>
          <w:szCs w:val="24"/>
        </w:rPr>
        <w:t xml:space="preserve">jour </w:t>
      </w:r>
      <w:r w:rsidRPr="00D34BFB">
        <w:rPr>
          <w:rFonts w:asciiTheme="majorBidi" w:hAnsiTheme="majorBidi" w:cstheme="majorBidi"/>
          <w:sz w:val="24"/>
          <w:szCs w:val="24"/>
        </w:rPr>
        <w:t>, puis 10 mg/m2 à 3</w:t>
      </w:r>
      <w:r w:rsidR="00730B87" w:rsidRPr="00730B87">
        <w:rPr>
          <w:rFonts w:asciiTheme="majorBidi" w:hAnsiTheme="majorBidi" w:cstheme="majorBidi"/>
          <w:b/>
          <w:bCs/>
          <w:sz w:val="24"/>
          <w:szCs w:val="24"/>
          <w:vertAlign w:val="superscript"/>
        </w:rPr>
        <w:t>éme</w:t>
      </w:r>
      <w:r w:rsidR="00730B87">
        <w:rPr>
          <w:rFonts w:asciiTheme="majorBidi" w:hAnsiTheme="majorBidi" w:cstheme="majorBidi"/>
          <w:sz w:val="24"/>
          <w:szCs w:val="24"/>
        </w:rPr>
        <w:t xml:space="preserve"> jour  et 6</w:t>
      </w:r>
      <w:r w:rsidR="00730B87" w:rsidRPr="00730B87">
        <w:rPr>
          <w:rFonts w:asciiTheme="majorBidi" w:hAnsiTheme="majorBidi" w:cstheme="majorBidi"/>
          <w:b/>
          <w:bCs/>
          <w:sz w:val="24"/>
          <w:szCs w:val="24"/>
          <w:vertAlign w:val="superscript"/>
        </w:rPr>
        <w:t>éme</w:t>
      </w:r>
      <w:r w:rsidR="00730B87">
        <w:rPr>
          <w:rFonts w:asciiTheme="majorBidi" w:hAnsiTheme="majorBidi" w:cstheme="majorBidi"/>
          <w:sz w:val="24"/>
          <w:szCs w:val="24"/>
        </w:rPr>
        <w:t xml:space="preserve"> jour </w:t>
      </w:r>
      <w:r w:rsidR="00730B87" w:rsidRPr="00D34BFB">
        <w:rPr>
          <w:rFonts w:asciiTheme="majorBidi" w:hAnsiTheme="majorBidi" w:cstheme="majorBidi"/>
          <w:sz w:val="24"/>
          <w:szCs w:val="24"/>
        </w:rPr>
        <w:t xml:space="preserve"> </w:t>
      </w:r>
      <w:r w:rsidRPr="00D34BFB">
        <w:rPr>
          <w:rFonts w:asciiTheme="majorBidi" w:hAnsiTheme="majorBidi" w:cstheme="majorBidi"/>
          <w:sz w:val="24"/>
          <w:szCs w:val="24"/>
        </w:rPr>
        <w:t xml:space="preserve">post-greffe). D’autres protocoles associent à des degrés divers des bolus de méthylprednisolone et l’association cyclophosphamide/méthotrexate/corticoïdes ou mofétilmycophénolate.La déplétion ex vivo des cellules T du greffon a été pour l’instant abandonnée par la plupart des équipes en raison de la perte de l’effet GVL et du nombre important de rechutes. Bien entendu, il faut prévenir tout risque de </w:t>
      </w:r>
      <w:r w:rsidRPr="00D34BFB">
        <w:rPr>
          <w:rFonts w:asciiTheme="majorBidi" w:hAnsiTheme="majorBidi" w:cstheme="majorBidi"/>
          <w:sz w:val="24"/>
          <w:szCs w:val="24"/>
        </w:rPr>
        <w:lastRenderedPageBreak/>
        <w:t>contamination septique (environnement stérile, décontamination intestinale, traitement antiviral). L’irradiation systématique des produits sanguins transfusés empêche l’activation de lymphocytes alloréactifs</w:t>
      </w:r>
      <w:r>
        <w:rPr>
          <w:rFonts w:asciiTheme="majorBidi" w:hAnsiTheme="majorBidi" w:cstheme="majorBidi"/>
          <w:sz w:val="24"/>
          <w:szCs w:val="24"/>
        </w:rPr>
        <w:t xml:space="preserve"> (15</w:t>
      </w:r>
      <w:r w:rsidRPr="00E60F6B">
        <w:rPr>
          <w:rFonts w:asciiTheme="majorBidi" w:hAnsiTheme="majorBidi" w:cstheme="majorBidi"/>
          <w:sz w:val="24"/>
          <w:szCs w:val="24"/>
        </w:rPr>
        <w:t>).</w:t>
      </w:r>
      <w:hyperlink r:id="rId9" w:tgtFrame="print" w:history="1"/>
    </w:p>
    <w:p w:rsidR="003A459A" w:rsidRPr="00D34BFB" w:rsidRDefault="003A459A" w:rsidP="003A459A">
      <w:pPr>
        <w:pStyle w:val="a3"/>
        <w:numPr>
          <w:ilvl w:val="0"/>
          <w:numId w:val="10"/>
        </w:numPr>
        <w:spacing w:before="100" w:beforeAutospacing="1" w:after="100" w:afterAutospacing="1" w:line="360" w:lineRule="auto"/>
        <w:jc w:val="both"/>
        <w:outlineLvl w:val="1"/>
        <w:rPr>
          <w:rFonts w:asciiTheme="majorBidi" w:hAnsiTheme="majorBidi" w:cstheme="majorBidi"/>
          <w:b/>
          <w:bCs/>
          <w:sz w:val="24"/>
          <w:szCs w:val="24"/>
        </w:rPr>
      </w:pPr>
      <w:bookmarkStart w:id="1" w:name="para7"/>
      <w:bookmarkEnd w:id="1"/>
      <w:r>
        <w:rPr>
          <w:rFonts w:asciiTheme="majorBidi" w:hAnsiTheme="majorBidi" w:cstheme="majorBidi"/>
          <w:bCs/>
          <w:sz w:val="24"/>
          <w:szCs w:val="24"/>
        </w:rPr>
        <w:t>Traitement curatif </w:t>
      </w:r>
    </w:p>
    <w:p w:rsidR="003A459A" w:rsidRPr="00767E45" w:rsidRDefault="003A459A" w:rsidP="003A459A">
      <w:pPr>
        <w:pStyle w:val="a3"/>
        <w:numPr>
          <w:ilvl w:val="0"/>
          <w:numId w:val="12"/>
        </w:numPr>
        <w:spacing w:before="100" w:beforeAutospacing="1" w:after="100" w:afterAutospacing="1" w:line="360" w:lineRule="auto"/>
        <w:jc w:val="both"/>
        <w:outlineLvl w:val="2"/>
        <w:rPr>
          <w:rFonts w:asciiTheme="majorBidi" w:hAnsiTheme="majorBidi" w:cstheme="majorBidi"/>
          <w:bCs/>
          <w:sz w:val="24"/>
          <w:szCs w:val="24"/>
        </w:rPr>
      </w:pPr>
      <w:bookmarkStart w:id="2" w:name="para8"/>
      <w:bookmarkEnd w:id="2"/>
      <w:r>
        <w:rPr>
          <w:rFonts w:asciiTheme="majorBidi" w:hAnsiTheme="majorBidi" w:cstheme="majorBidi"/>
          <w:bCs/>
          <w:sz w:val="24"/>
          <w:szCs w:val="24"/>
        </w:rPr>
        <w:t>GVH aiguë </w:t>
      </w:r>
    </w:p>
    <w:p w:rsidR="003A459A" w:rsidRDefault="003A459A" w:rsidP="003A459A">
      <w:pPr>
        <w:spacing w:after="0" w:line="360" w:lineRule="auto"/>
        <w:jc w:val="both"/>
      </w:pPr>
      <w:r>
        <w:rPr>
          <w:rFonts w:asciiTheme="majorBidi" w:hAnsiTheme="majorBidi" w:cstheme="majorBidi"/>
          <w:sz w:val="24"/>
          <w:szCs w:val="24"/>
        </w:rPr>
        <w:t xml:space="preserve">     </w:t>
      </w:r>
      <w:r w:rsidRPr="00D34BFB">
        <w:rPr>
          <w:rFonts w:asciiTheme="majorBidi" w:hAnsiTheme="majorBidi" w:cstheme="majorBidi"/>
          <w:sz w:val="24"/>
          <w:szCs w:val="24"/>
        </w:rPr>
        <w:t>Les atteintes modérées sont actuellement traitées par des bolus de corticoïdes à forte dose (1 à 3 mg/kJ/j). La ciclosporine et les globulines anti thymocytes ne sont prescrites qu’en seconde</w:t>
      </w:r>
      <w:r>
        <w:rPr>
          <w:rFonts w:asciiTheme="majorBidi" w:hAnsiTheme="majorBidi" w:cstheme="majorBidi"/>
          <w:sz w:val="24"/>
          <w:szCs w:val="24"/>
        </w:rPr>
        <w:t xml:space="preserve"> intention(le cyclophosphamide n’est plus utilisé).</w:t>
      </w:r>
    </w:p>
    <w:p w:rsidR="003A459A" w:rsidRPr="00D34BFB" w:rsidRDefault="003A459A" w:rsidP="003A459A">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Le </w:t>
      </w:r>
      <w:r w:rsidRPr="00D34BFB">
        <w:rPr>
          <w:rFonts w:asciiTheme="majorBidi" w:hAnsiTheme="majorBidi" w:cstheme="majorBidi"/>
          <w:sz w:val="24"/>
          <w:szCs w:val="24"/>
        </w:rPr>
        <w:t>mofétilmycophénolate.</w:t>
      </w:r>
      <w:r>
        <w:rPr>
          <w:rFonts w:asciiTheme="majorBidi" w:hAnsiTheme="majorBidi" w:cstheme="majorBidi"/>
          <w:sz w:val="24"/>
          <w:szCs w:val="24"/>
        </w:rPr>
        <w:t xml:space="preserve"> Aujourd’hui, la largement est </w:t>
      </w:r>
      <w:r w:rsidRPr="00D34BFB">
        <w:rPr>
          <w:rFonts w:asciiTheme="majorBidi" w:hAnsiTheme="majorBidi" w:cstheme="majorBidi"/>
          <w:sz w:val="24"/>
          <w:szCs w:val="24"/>
        </w:rPr>
        <w:t>utilisée. Les anti</w:t>
      </w:r>
      <w:r>
        <w:rPr>
          <w:rFonts w:asciiTheme="majorBidi" w:hAnsiTheme="majorBidi" w:cstheme="majorBidi"/>
          <w:sz w:val="24"/>
          <w:szCs w:val="24"/>
        </w:rPr>
        <w:t>-</w:t>
      </w:r>
      <w:r w:rsidRPr="00D34BFB">
        <w:rPr>
          <w:rFonts w:asciiTheme="majorBidi" w:hAnsiTheme="majorBidi" w:cstheme="majorBidi"/>
          <w:sz w:val="24"/>
          <w:szCs w:val="24"/>
        </w:rPr>
        <w:t>réc</w:t>
      </w:r>
      <w:r>
        <w:rPr>
          <w:rFonts w:asciiTheme="majorBidi" w:hAnsiTheme="majorBidi" w:cstheme="majorBidi"/>
          <w:sz w:val="24"/>
          <w:szCs w:val="24"/>
        </w:rPr>
        <w:t>epteurs à l’IL-2, les anti-TNF</w:t>
      </w:r>
      <w:r w:rsidRPr="00D34BFB">
        <w:rPr>
          <w:rFonts w:asciiTheme="majorBidi" w:hAnsiTheme="majorBidi" w:cstheme="majorBidi"/>
          <w:sz w:val="24"/>
          <w:szCs w:val="24"/>
        </w:rPr>
        <w:t xml:space="preserve"> ou les antis récepteurs à l’IL-1 sont utilisés par quelques équipes, mais ne font pas encore partie de procédures standardisées. La déféroxamine a aussi été utilisée, parfois avec succès. La photophérèse extracorporelle peut également être utilisée dans cette indication .Des essais avec le rituximab sont en cours. Dans les réactions gravissimes de grade IV, qui ont une parenté certaine avec la nécrolyse épidermique toxique, les antirécepteurs à l’IL-2 ne sont presque plus utilisés. Les immunoglobulines intraveineuses, qui sont maintenant parfois utilisées dans le traitement des syndromes de Lyell non GVH, pourraient </w:t>
      </w:r>
      <w:r>
        <w:rPr>
          <w:rFonts w:asciiTheme="majorBidi" w:hAnsiTheme="majorBidi" w:cstheme="majorBidi"/>
          <w:sz w:val="24"/>
          <w:szCs w:val="24"/>
        </w:rPr>
        <w:t xml:space="preserve">avoir un intérêt dans l’avenir </w:t>
      </w:r>
      <w:r w:rsidRPr="00D34BFB">
        <w:rPr>
          <w:rFonts w:asciiTheme="majorBidi" w:hAnsiTheme="majorBidi" w:cstheme="majorBidi"/>
          <w:sz w:val="24"/>
          <w:szCs w:val="24"/>
        </w:rPr>
        <w:t>Le traitement symptomatique est important : maintien en atmosphère stérile pendant la phase aiguë, prévention des infections, traitement de la diarrhée et irradiation (traitement préventif de la GVH) des produits sanguins transfusés.</w:t>
      </w:r>
      <w:r>
        <w:rPr>
          <w:rFonts w:asciiTheme="majorBidi" w:hAnsiTheme="majorBidi" w:cstheme="majorBidi"/>
          <w:sz w:val="24"/>
          <w:szCs w:val="24"/>
        </w:rPr>
        <w:t xml:space="preserve"> (15</w:t>
      </w:r>
      <w:r w:rsidRPr="00E60F6B">
        <w:rPr>
          <w:rFonts w:asciiTheme="majorBidi" w:hAnsiTheme="majorBidi" w:cstheme="majorBidi"/>
          <w:sz w:val="24"/>
          <w:szCs w:val="24"/>
        </w:rPr>
        <w:t>).</w:t>
      </w:r>
    </w:p>
    <w:p w:rsidR="003A459A" w:rsidRPr="001545F3" w:rsidRDefault="003A459A" w:rsidP="003A459A">
      <w:pPr>
        <w:pStyle w:val="a3"/>
        <w:numPr>
          <w:ilvl w:val="0"/>
          <w:numId w:val="12"/>
        </w:numPr>
        <w:spacing w:before="100" w:beforeAutospacing="1" w:after="100" w:afterAutospacing="1" w:line="360" w:lineRule="auto"/>
        <w:jc w:val="both"/>
        <w:outlineLvl w:val="2"/>
        <w:rPr>
          <w:rFonts w:asciiTheme="majorBidi" w:hAnsiTheme="majorBidi" w:cstheme="majorBidi"/>
          <w:bCs/>
          <w:sz w:val="24"/>
          <w:szCs w:val="24"/>
        </w:rPr>
      </w:pPr>
      <w:bookmarkStart w:id="3" w:name="para9"/>
      <w:bookmarkEnd w:id="3"/>
      <w:r>
        <w:rPr>
          <w:rFonts w:asciiTheme="majorBidi" w:hAnsiTheme="majorBidi" w:cstheme="majorBidi"/>
          <w:bCs/>
          <w:sz w:val="24"/>
          <w:szCs w:val="24"/>
        </w:rPr>
        <w:t>GVH chronique </w:t>
      </w:r>
    </w:p>
    <w:p w:rsidR="003A459A" w:rsidRDefault="003A459A" w:rsidP="003A459A">
      <w:pPr>
        <w:shd w:val="clear" w:color="auto" w:fill="FFFFFF"/>
        <w:spacing w:after="100" w:line="360" w:lineRule="auto"/>
        <w:jc w:val="both"/>
      </w:pPr>
      <w:r>
        <w:rPr>
          <w:rFonts w:asciiTheme="majorBidi" w:hAnsiTheme="majorBidi" w:cstheme="majorBidi"/>
          <w:sz w:val="24"/>
          <w:szCs w:val="24"/>
        </w:rPr>
        <w:t xml:space="preserve">     </w:t>
      </w:r>
      <w:r w:rsidRPr="00D34BFB">
        <w:rPr>
          <w:rFonts w:asciiTheme="majorBidi" w:hAnsiTheme="majorBidi" w:cstheme="majorBidi"/>
          <w:sz w:val="24"/>
          <w:szCs w:val="24"/>
        </w:rPr>
        <w:t>Les réactions lichénoïdes bénéficient avant tout d’une association de prednisone orale (1 mg/kg/j) et de ciclosporine (adaptation posologique aux taux sériques), pour une durée variant de 9 à 12 mois. Des cycles alternés de ciclosporine (12 mg/kg/j) et de corticoïdes (1 mg/kg/j) peuvent être proposés dans les formes sévères ou dans les atteintes sclérodermiformes.  L’effet bénéfique de doses élevées de thalidomide (200 à 800 mg/j) a été rapporté à plusieurs reprises, notamment sur les lésions muqueuses sévères ; ce traitement n’est pas encore validé mais offre une alternative thérapeutique en cas d’échap</w:t>
      </w:r>
      <w:r>
        <w:rPr>
          <w:rFonts w:asciiTheme="majorBidi" w:hAnsiTheme="majorBidi" w:cstheme="majorBidi"/>
          <w:sz w:val="24"/>
          <w:szCs w:val="24"/>
        </w:rPr>
        <w:t>pement aux traitements standard</w:t>
      </w:r>
      <w:r w:rsidRPr="00D34BFB">
        <w:rPr>
          <w:rFonts w:asciiTheme="majorBidi" w:hAnsiTheme="majorBidi" w:cstheme="majorBidi"/>
          <w:sz w:val="24"/>
          <w:szCs w:val="24"/>
        </w:rPr>
        <w:t xml:space="preserve">. La prudence s’impose néanmoins, une surmortalité étant notée dans un travail récent quand la molécule est utilisée au </w:t>
      </w:r>
      <w:r w:rsidRPr="00D34BFB">
        <w:rPr>
          <w:rFonts w:asciiTheme="majorBidi" w:hAnsiTheme="majorBidi" w:cstheme="majorBidi"/>
          <w:sz w:val="24"/>
          <w:szCs w:val="24"/>
        </w:rPr>
        <w:lastRenderedPageBreak/>
        <w:t>cours</w:t>
      </w:r>
      <w:r>
        <w:rPr>
          <w:rFonts w:asciiTheme="majorBidi" w:hAnsiTheme="majorBidi" w:cstheme="majorBidi"/>
          <w:sz w:val="24"/>
          <w:szCs w:val="24"/>
        </w:rPr>
        <w:t xml:space="preserve"> des syndromes de Lyell non GVH</w:t>
      </w:r>
      <w:r w:rsidRPr="00D34BFB">
        <w:rPr>
          <w:rFonts w:asciiTheme="majorBidi" w:hAnsiTheme="majorBidi" w:cstheme="majorBidi"/>
          <w:sz w:val="24"/>
          <w:szCs w:val="24"/>
        </w:rPr>
        <w:t>. La photochimiothérapie extracorporelle est utilisée par certaines équipes avec succès. Il s’agit d’un traitement de seconde ligne, efficace sur les formes lichénoïdes mais non sclérodermiformes. La PUVA thérapie ou</w:t>
      </w:r>
      <w:r>
        <w:rPr>
          <w:rFonts w:asciiTheme="majorBidi" w:hAnsiTheme="majorBidi" w:cstheme="majorBidi"/>
          <w:sz w:val="24"/>
          <w:szCs w:val="24"/>
        </w:rPr>
        <w:t xml:space="preserve"> les UVB à spectre étroit </w:t>
      </w:r>
      <w:r w:rsidRPr="00D34BFB">
        <w:rPr>
          <w:rFonts w:asciiTheme="majorBidi" w:hAnsiTheme="majorBidi" w:cstheme="majorBidi"/>
          <w:sz w:val="24"/>
          <w:szCs w:val="24"/>
        </w:rPr>
        <w:t xml:space="preserve"> sont controversés. Ils ne peuvent constituer qu’un traitement d’appoint, notamment sur les muqueuses. Leur efficacité dans les formes sclérodermiformes est en revanche très improbable. P</w:t>
      </w:r>
      <w:r>
        <w:rPr>
          <w:rFonts w:asciiTheme="majorBidi" w:hAnsiTheme="majorBidi" w:cstheme="majorBidi"/>
          <w:sz w:val="24"/>
          <w:szCs w:val="24"/>
        </w:rPr>
        <w:t xml:space="preserve">armi les traitements locaux, la </w:t>
      </w:r>
      <w:r w:rsidRPr="00D34BFB">
        <w:rPr>
          <w:rFonts w:asciiTheme="majorBidi" w:hAnsiTheme="majorBidi" w:cstheme="majorBidi"/>
          <w:sz w:val="24"/>
          <w:szCs w:val="24"/>
        </w:rPr>
        <w:t>ciclosporine topique peut aider à la cicatrisation des atteintes érosives sévères des muqueuses, ainsi que les dermocorticoïdes sur des formes cutanées limitées, en choisissant des produits de classe I, sous occlusion si nécessaire (par exemple Dermoval</w:t>
      </w:r>
      <w:r>
        <w:rPr>
          <w:rFonts w:asciiTheme="majorBidi" w:hAnsiTheme="majorBidi" w:cstheme="majorBidi"/>
          <w:sz w:val="24"/>
          <w:szCs w:val="24"/>
        </w:rPr>
        <w:t xml:space="preserve"> </w:t>
      </w:r>
      <w:r w:rsidRPr="00D34BFB">
        <w:rPr>
          <w:rFonts w:asciiTheme="majorBidi" w:hAnsiTheme="majorBidi" w:cstheme="majorBidi"/>
          <w:sz w:val="24"/>
          <w:szCs w:val="24"/>
        </w:rPr>
        <w:t>sur le gland, voire circoncision en cas de brides rétractiles). La prévention des infections chez ces patients immunodéprimés</w:t>
      </w:r>
      <w:r>
        <w:rPr>
          <w:rFonts w:asciiTheme="majorBidi" w:hAnsiTheme="majorBidi" w:cstheme="majorBidi"/>
          <w:sz w:val="24"/>
          <w:szCs w:val="24"/>
        </w:rPr>
        <w:t xml:space="preserve"> reste fondamentale, ainsi que la kinésithérapie, l’alimentation hyper protidique, les larmes artificielles, la protection solaire et l’hydratation cutanée continue (15).</w:t>
      </w:r>
    </w:p>
    <w:p w:rsidR="00ED6DDC" w:rsidRDefault="00ED6DDC"/>
    <w:sectPr w:rsidR="00ED6DDC" w:rsidSect="00ED6DDC">
      <w:headerReference w:type="default" r:id="rId10"/>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459A" w:rsidRDefault="003A459A" w:rsidP="003A459A">
      <w:pPr>
        <w:spacing w:after="0" w:line="240" w:lineRule="auto"/>
      </w:pPr>
      <w:r>
        <w:separator/>
      </w:r>
    </w:p>
  </w:endnote>
  <w:endnote w:type="continuationSeparator" w:id="1">
    <w:p w:rsidR="003A459A" w:rsidRDefault="003A459A" w:rsidP="003A45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459A" w:rsidRDefault="003A459A" w:rsidP="003A459A">
      <w:pPr>
        <w:spacing w:after="0" w:line="240" w:lineRule="auto"/>
      </w:pPr>
      <w:r>
        <w:separator/>
      </w:r>
    </w:p>
  </w:footnote>
  <w:footnote w:type="continuationSeparator" w:id="1">
    <w:p w:rsidR="003A459A" w:rsidRDefault="003A459A" w:rsidP="003A45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9A" w:rsidRDefault="003A459A">
    <w:pPr>
      <w:pStyle w:val="a6"/>
    </w:pPr>
    <w:r>
      <w:rPr>
        <w:rFonts w:asciiTheme="majorBidi" w:hAnsiTheme="majorBidi" w:cstheme="majorBidi"/>
        <w:b/>
        <w:i/>
        <w:iCs/>
        <w:sz w:val="24"/>
        <w:szCs w:val="24"/>
      </w:rPr>
      <w:t xml:space="preserve">          </w:t>
    </w:r>
    <w:r w:rsidRPr="0098586D">
      <w:rPr>
        <w:rFonts w:asciiTheme="majorBidi" w:hAnsiTheme="majorBidi" w:cstheme="majorBidi"/>
        <w:b/>
        <w:i/>
        <w:iCs/>
        <w:sz w:val="24"/>
        <w:szCs w:val="24"/>
      </w:rPr>
      <w:t>Chapitre</w:t>
    </w:r>
    <w:r>
      <w:rPr>
        <w:rFonts w:asciiTheme="majorBidi" w:hAnsiTheme="majorBidi" w:cstheme="majorBidi"/>
      </w:rPr>
      <w:t> </w:t>
    </w:r>
    <w:r w:rsidRPr="0098586D">
      <w:rPr>
        <w:rFonts w:asciiTheme="majorBidi" w:hAnsiTheme="majorBidi" w:cstheme="majorBidi"/>
        <w:b/>
        <w:bCs/>
        <w:i/>
        <w:iCs/>
      </w:rPr>
      <w:t>II </w:t>
    </w:r>
    <w:r w:rsidRPr="0098586D">
      <w:rPr>
        <w:rFonts w:asciiTheme="majorBidi" w:hAnsiTheme="majorBidi" w:cstheme="majorBidi"/>
        <w:b/>
        <w:bCs/>
      </w:rPr>
      <w:t>: Utilisation</w:t>
    </w:r>
    <w:r w:rsidRPr="0098586D">
      <w:rPr>
        <w:rFonts w:asciiTheme="majorBidi" w:hAnsiTheme="majorBidi" w:cstheme="majorBidi"/>
        <w:b/>
        <w:bCs/>
        <w:sz w:val="24"/>
        <w:szCs w:val="24"/>
      </w:rPr>
      <w:t xml:space="preserve"> thérapeutique de cellules souches mésenchymateuses</w:t>
    </w:r>
    <w:r w:rsidRPr="0098586D">
      <w:rPr>
        <w:rFonts w:asciiTheme="majorBidi" w:hAnsiTheme="majorBidi" w:cstheme="majorBidi"/>
        <w:b/>
        <w:bCs/>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31920"/>
    <w:multiLevelType w:val="hybridMultilevel"/>
    <w:tmpl w:val="F998E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99313B"/>
    <w:multiLevelType w:val="multilevel"/>
    <w:tmpl w:val="CEC2A084"/>
    <w:lvl w:ilvl="0">
      <w:start w:val="2"/>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17BB03F0"/>
    <w:multiLevelType w:val="hybridMultilevel"/>
    <w:tmpl w:val="E1C85F8E"/>
    <w:lvl w:ilvl="0" w:tplc="040C000B">
      <w:start w:val="1"/>
      <w:numFmt w:val="bullet"/>
      <w:lvlText w:val=""/>
      <w:lvlJc w:val="left"/>
      <w:pPr>
        <w:ind w:left="1060" w:hanging="360"/>
      </w:pPr>
      <w:rPr>
        <w:rFonts w:ascii="Wingdings" w:hAnsi="Wingdings" w:hint="default"/>
      </w:rPr>
    </w:lvl>
    <w:lvl w:ilvl="1" w:tplc="040C0003" w:tentative="1">
      <w:start w:val="1"/>
      <w:numFmt w:val="bullet"/>
      <w:lvlText w:val="o"/>
      <w:lvlJc w:val="left"/>
      <w:pPr>
        <w:ind w:left="1780" w:hanging="360"/>
      </w:pPr>
      <w:rPr>
        <w:rFonts w:ascii="Courier New" w:hAnsi="Courier New" w:cs="Courier New" w:hint="default"/>
      </w:rPr>
    </w:lvl>
    <w:lvl w:ilvl="2" w:tplc="040C0005" w:tentative="1">
      <w:start w:val="1"/>
      <w:numFmt w:val="bullet"/>
      <w:lvlText w:val=""/>
      <w:lvlJc w:val="left"/>
      <w:pPr>
        <w:ind w:left="2500" w:hanging="360"/>
      </w:pPr>
      <w:rPr>
        <w:rFonts w:ascii="Wingdings" w:hAnsi="Wingdings" w:hint="default"/>
      </w:rPr>
    </w:lvl>
    <w:lvl w:ilvl="3" w:tplc="040C0001" w:tentative="1">
      <w:start w:val="1"/>
      <w:numFmt w:val="bullet"/>
      <w:lvlText w:val=""/>
      <w:lvlJc w:val="left"/>
      <w:pPr>
        <w:ind w:left="3220" w:hanging="360"/>
      </w:pPr>
      <w:rPr>
        <w:rFonts w:ascii="Symbol" w:hAnsi="Symbol" w:hint="default"/>
      </w:rPr>
    </w:lvl>
    <w:lvl w:ilvl="4" w:tplc="040C0003" w:tentative="1">
      <w:start w:val="1"/>
      <w:numFmt w:val="bullet"/>
      <w:lvlText w:val="o"/>
      <w:lvlJc w:val="left"/>
      <w:pPr>
        <w:ind w:left="3940" w:hanging="360"/>
      </w:pPr>
      <w:rPr>
        <w:rFonts w:ascii="Courier New" w:hAnsi="Courier New" w:cs="Courier New" w:hint="default"/>
      </w:rPr>
    </w:lvl>
    <w:lvl w:ilvl="5" w:tplc="040C0005" w:tentative="1">
      <w:start w:val="1"/>
      <w:numFmt w:val="bullet"/>
      <w:lvlText w:val=""/>
      <w:lvlJc w:val="left"/>
      <w:pPr>
        <w:ind w:left="4660" w:hanging="360"/>
      </w:pPr>
      <w:rPr>
        <w:rFonts w:ascii="Wingdings" w:hAnsi="Wingdings" w:hint="default"/>
      </w:rPr>
    </w:lvl>
    <w:lvl w:ilvl="6" w:tplc="040C0001" w:tentative="1">
      <w:start w:val="1"/>
      <w:numFmt w:val="bullet"/>
      <w:lvlText w:val=""/>
      <w:lvlJc w:val="left"/>
      <w:pPr>
        <w:ind w:left="5380" w:hanging="360"/>
      </w:pPr>
      <w:rPr>
        <w:rFonts w:ascii="Symbol" w:hAnsi="Symbol" w:hint="default"/>
      </w:rPr>
    </w:lvl>
    <w:lvl w:ilvl="7" w:tplc="040C0003" w:tentative="1">
      <w:start w:val="1"/>
      <w:numFmt w:val="bullet"/>
      <w:lvlText w:val="o"/>
      <w:lvlJc w:val="left"/>
      <w:pPr>
        <w:ind w:left="6100" w:hanging="360"/>
      </w:pPr>
      <w:rPr>
        <w:rFonts w:ascii="Courier New" w:hAnsi="Courier New" w:cs="Courier New" w:hint="default"/>
      </w:rPr>
    </w:lvl>
    <w:lvl w:ilvl="8" w:tplc="040C0005" w:tentative="1">
      <w:start w:val="1"/>
      <w:numFmt w:val="bullet"/>
      <w:lvlText w:val=""/>
      <w:lvlJc w:val="left"/>
      <w:pPr>
        <w:ind w:left="6820" w:hanging="360"/>
      </w:pPr>
      <w:rPr>
        <w:rFonts w:ascii="Wingdings" w:hAnsi="Wingdings" w:hint="default"/>
      </w:rPr>
    </w:lvl>
  </w:abstractNum>
  <w:abstractNum w:abstractNumId="3">
    <w:nsid w:val="1DB8501A"/>
    <w:multiLevelType w:val="hybridMultilevel"/>
    <w:tmpl w:val="FE9C3EDC"/>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4B96ADE"/>
    <w:multiLevelType w:val="multilevel"/>
    <w:tmpl w:val="D9A6725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3C390B4B"/>
    <w:multiLevelType w:val="hybridMultilevel"/>
    <w:tmpl w:val="185E2D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603A49E1"/>
    <w:multiLevelType w:val="hybridMultilevel"/>
    <w:tmpl w:val="79AE7A1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8F07D27"/>
    <w:multiLevelType w:val="multilevel"/>
    <w:tmpl w:val="38D0D4A0"/>
    <w:lvl w:ilvl="0">
      <w:start w:val="1"/>
      <w:numFmt w:val="decimal"/>
      <w:lvlText w:val="%1."/>
      <w:lvlJc w:val="left"/>
      <w:pPr>
        <w:ind w:left="360" w:hanging="360"/>
      </w:pPr>
      <w:rPr>
        <w:b/>
        <w:sz w:val="28"/>
        <w:szCs w:val="28"/>
      </w:rPr>
    </w:lvl>
    <w:lvl w:ilvl="1">
      <w:start w:val="1"/>
      <w:numFmt w:val="decimal"/>
      <w:lvlText w:val="%1.%2."/>
      <w:lvlJc w:val="left"/>
      <w:pPr>
        <w:ind w:left="716" w:hanging="432"/>
      </w:pPr>
      <w:rPr>
        <w:b/>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74C03A36"/>
    <w:multiLevelType w:val="hybridMultilevel"/>
    <w:tmpl w:val="6C92780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78C151F"/>
    <w:multiLevelType w:val="hybridMultilevel"/>
    <w:tmpl w:val="045CB1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C022208"/>
    <w:multiLevelType w:val="hybridMultilevel"/>
    <w:tmpl w:val="A726F3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FE11DF3"/>
    <w:multiLevelType w:val="hybridMultilevel"/>
    <w:tmpl w:val="4998DADE"/>
    <w:lvl w:ilvl="0" w:tplc="040C000F">
      <w:start w:val="3"/>
      <w:numFmt w:val="decimal"/>
      <w:lvlText w:val="%1."/>
      <w:lvlJc w:val="left"/>
      <w:pPr>
        <w:ind w:left="644"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7"/>
  </w:num>
  <w:num w:numId="2">
    <w:abstractNumId w:val="6"/>
  </w:num>
  <w:num w:numId="3">
    <w:abstractNumId w:val="4"/>
  </w:num>
  <w:num w:numId="4">
    <w:abstractNumId w:val="1"/>
  </w:num>
  <w:num w:numId="5">
    <w:abstractNumId w:val="8"/>
  </w:num>
  <w:num w:numId="6">
    <w:abstractNumId w:val="5"/>
  </w:num>
  <w:num w:numId="7">
    <w:abstractNumId w:val="11"/>
  </w:num>
  <w:num w:numId="8">
    <w:abstractNumId w:val="2"/>
  </w:num>
  <w:num w:numId="9">
    <w:abstractNumId w:val="3"/>
  </w:num>
  <w:num w:numId="10">
    <w:abstractNumId w:val="10"/>
  </w:num>
  <w:num w:numId="11">
    <w:abstractNumId w:val="9"/>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efaultTabStop w:val="708"/>
  <w:hyphenationZone w:val="425"/>
  <w:characterSpacingControl w:val="doNotCompress"/>
  <w:footnotePr>
    <w:footnote w:id="0"/>
    <w:footnote w:id="1"/>
  </w:footnotePr>
  <w:endnotePr>
    <w:endnote w:id="0"/>
    <w:endnote w:id="1"/>
  </w:endnotePr>
  <w:compat>
    <w:useFELayout/>
  </w:compat>
  <w:rsids>
    <w:rsidRoot w:val="003A459A"/>
    <w:rsid w:val="003A459A"/>
    <w:rsid w:val="00730B87"/>
    <w:rsid w:val="00736ED2"/>
    <w:rsid w:val="00A71CB6"/>
    <w:rsid w:val="00AC7958"/>
    <w:rsid w:val="00ED6DD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6DD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459A"/>
    <w:pPr>
      <w:ind w:left="720"/>
      <w:contextualSpacing/>
    </w:pPr>
  </w:style>
  <w:style w:type="paragraph" w:styleId="a4">
    <w:name w:val="Normal (Web)"/>
    <w:basedOn w:val="a"/>
    <w:uiPriority w:val="99"/>
    <w:unhideWhenUsed/>
    <w:rsid w:val="003A459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3A459A"/>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Balloon Text"/>
    <w:basedOn w:val="a"/>
    <w:link w:val="Char"/>
    <w:uiPriority w:val="99"/>
    <w:semiHidden/>
    <w:unhideWhenUsed/>
    <w:rsid w:val="003A459A"/>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3A459A"/>
    <w:rPr>
      <w:rFonts w:ascii="Tahoma" w:hAnsi="Tahoma" w:cs="Tahoma"/>
      <w:sz w:val="16"/>
      <w:szCs w:val="16"/>
    </w:rPr>
  </w:style>
  <w:style w:type="paragraph" w:styleId="a6">
    <w:name w:val="header"/>
    <w:basedOn w:val="a"/>
    <w:link w:val="Char0"/>
    <w:uiPriority w:val="99"/>
    <w:semiHidden/>
    <w:unhideWhenUsed/>
    <w:rsid w:val="003A459A"/>
    <w:pPr>
      <w:tabs>
        <w:tab w:val="center" w:pos="4153"/>
        <w:tab w:val="right" w:pos="8306"/>
      </w:tabs>
      <w:spacing w:after="0" w:line="240" w:lineRule="auto"/>
    </w:pPr>
  </w:style>
  <w:style w:type="character" w:customStyle="1" w:styleId="Char0">
    <w:name w:val="رأس صفحة Char"/>
    <w:basedOn w:val="a0"/>
    <w:link w:val="a6"/>
    <w:uiPriority w:val="99"/>
    <w:semiHidden/>
    <w:rsid w:val="003A459A"/>
  </w:style>
  <w:style w:type="paragraph" w:styleId="a7">
    <w:name w:val="footer"/>
    <w:basedOn w:val="a"/>
    <w:link w:val="Char1"/>
    <w:uiPriority w:val="99"/>
    <w:semiHidden/>
    <w:unhideWhenUsed/>
    <w:rsid w:val="003A459A"/>
    <w:pPr>
      <w:tabs>
        <w:tab w:val="center" w:pos="4153"/>
        <w:tab w:val="right" w:pos="8306"/>
      </w:tabs>
      <w:spacing w:after="0" w:line="240" w:lineRule="auto"/>
    </w:pPr>
  </w:style>
  <w:style w:type="character" w:customStyle="1" w:styleId="Char1">
    <w:name w:val="تذييل صفحة Char"/>
    <w:basedOn w:val="a0"/>
    <w:link w:val="a7"/>
    <w:uiPriority w:val="99"/>
    <w:semiHidden/>
    <w:rsid w:val="003A459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therapeutique-dermatologique.org/print.php?article_id=139&amp;paragraphe_id=7747"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10</Pages>
  <Words>2657</Words>
  <Characters>14615</Characters>
  <Application>Microsoft Office Word</Application>
  <DocSecurity>0</DocSecurity>
  <Lines>121</Lines>
  <Paragraphs>34</Paragraphs>
  <ScaleCrop>false</ScaleCrop>
  <Company>cyber</Company>
  <LinksUpToDate>false</LinksUpToDate>
  <CharactersWithSpaces>17238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cyber</dc:creator>
  <cp:keywords/>
  <dc:description/>
  <cp:lastModifiedBy>cyber</cp:lastModifiedBy>
  <cp:revision>5</cp:revision>
  <dcterms:created xsi:type="dcterms:W3CDTF">2011-06-28T13:31:00Z</dcterms:created>
  <dcterms:modified xsi:type="dcterms:W3CDTF">2011-06-28T14:12:00Z</dcterms:modified>
</cp:coreProperties>
</file>