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header4.xml" ContentType="application/vnd.openxmlformats-officedocument.wordprocessingml.header+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1.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2.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3.xml" ContentType="application/vnd.openxmlformats-officedocument.themeOverrid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theme/themeOverride4.xml" ContentType="application/vnd.openxmlformats-officedocument.themeOverrid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theme/themeOverride5.xml" ContentType="application/vnd.openxmlformats-officedocument.themeOverrid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theme/themeOverride6.xml" ContentType="application/vnd.openxmlformats-officedocument.themeOverrid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theme/themeOverride7.xml" ContentType="application/vnd.openxmlformats-officedocument.themeOverrid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theme/themeOverride8.xml" ContentType="application/vnd.openxmlformats-officedocument.themeOverrid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theme/themeOverride9.xml" ContentType="application/vnd.openxmlformats-officedocument.themeOverride+xml"/>
  <Override PartName="/word/charts/chart17.xml" ContentType="application/vnd.openxmlformats-officedocument.drawingml.chart+xml"/>
  <Override PartName="/word/charts/style17.xml" ContentType="application/vnd.ms-office.chartstyle+xml"/>
  <Override PartName="/word/charts/colors17.xml" ContentType="application/vnd.ms-office.chartcolorstyle+xml"/>
  <Override PartName="/word/charts/chart18.xml" ContentType="application/vnd.openxmlformats-officedocument.drawingml.chart+xml"/>
  <Override PartName="/word/charts/style18.xml" ContentType="application/vnd.ms-office.chartstyle+xml"/>
  <Override PartName="/word/charts/colors18.xml" ContentType="application/vnd.ms-office.chartcolorstyle+xml"/>
  <Override PartName="/word/charts/chart19.xml" ContentType="application/vnd.openxmlformats-officedocument.drawingml.chart+xml"/>
  <Override PartName="/word/charts/style19.xml" ContentType="application/vnd.ms-office.chartstyle+xml"/>
  <Override PartName="/word/charts/colors19.xml" ContentType="application/vnd.ms-office.chartcolorstyle+xml"/>
  <Override PartName="/word/charts/chart20.xml" ContentType="application/vnd.openxmlformats-officedocument.drawingml.chart+xml"/>
  <Override PartName="/word/charts/style20.xml" ContentType="application/vnd.ms-office.chartstyle+xml"/>
  <Override PartName="/word/charts/colors20.xml" ContentType="application/vnd.ms-office.chartcolorstyle+xml"/>
  <Override PartName="/word/theme/themeOverride10.xml" ContentType="application/vnd.openxmlformats-officedocument.themeOverride+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diagrams/data7.xml" ContentType="application/vnd.openxmlformats-officedocument.drawingml.diagramData+xml"/>
  <Override PartName="/word/diagrams/layout7.xml" ContentType="application/vnd.openxmlformats-officedocument.drawingml.diagramLayout+xml"/>
  <Override PartName="/word/diagrams/quickStyle7.xml" ContentType="application/vnd.openxmlformats-officedocument.drawingml.diagramStyle+xml"/>
  <Override PartName="/word/diagrams/colors7.xml" ContentType="application/vnd.openxmlformats-officedocument.drawingml.diagramColors+xml"/>
  <Override PartName="/word/diagrams/drawing7.xml" ContentType="application/vnd.ms-office.drawingml.diagramDrawing+xml"/>
  <Override PartName="/word/diagrams/data8.xml" ContentType="application/vnd.openxmlformats-officedocument.drawingml.diagramData+xml"/>
  <Override PartName="/word/diagrams/layout8.xml" ContentType="application/vnd.openxmlformats-officedocument.drawingml.diagramLayout+xml"/>
  <Override PartName="/word/diagrams/quickStyle8.xml" ContentType="application/vnd.openxmlformats-officedocument.drawingml.diagramStyle+xml"/>
  <Override PartName="/word/diagrams/colors8.xml" ContentType="application/vnd.openxmlformats-officedocument.drawingml.diagramColors+xml"/>
  <Override PartName="/word/diagrams/drawing8.xml" ContentType="application/vnd.ms-office.drawingml.diagramDrawing+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1484F04" w14:textId="77777777" w:rsidR="00FD1A89" w:rsidRPr="004573CA" w:rsidRDefault="00D35081">
      <w:pPr>
        <w:keepNext/>
        <w:pBdr>
          <w:top w:val="nil"/>
          <w:left w:val="nil"/>
          <w:bottom w:val="nil"/>
          <w:right w:val="nil"/>
          <w:between w:val="nil"/>
        </w:pBdr>
        <w:ind w:hanging="2"/>
        <w:jc w:val="center"/>
        <w:rPr>
          <w:rFonts w:ascii="Arial" w:eastAsia="Arial" w:hAnsi="Arial" w:cs="Arial"/>
          <w:b/>
          <w:color w:val="000000"/>
          <w:lang w:val="en-GB"/>
        </w:rPr>
      </w:pPr>
      <w:bookmarkStart w:id="0" w:name="_Hlk200436138"/>
      <w:bookmarkEnd w:id="0"/>
      <w:r w:rsidRPr="004573CA">
        <w:rPr>
          <w:rFonts w:ascii="Arial" w:eastAsia="Arial" w:hAnsi="Arial" w:cs="Arial"/>
          <w:b/>
          <w:color w:val="000000"/>
          <w:lang w:val="en-GB"/>
        </w:rPr>
        <w:t xml:space="preserve">                                                  </w:t>
      </w:r>
    </w:p>
    <w:p w14:paraId="1E0C010E" w14:textId="77777777" w:rsidR="00E568F9" w:rsidRDefault="00E568F9">
      <w:pPr>
        <w:keepNext/>
        <w:pBdr>
          <w:top w:val="nil"/>
          <w:left w:val="nil"/>
          <w:bottom w:val="nil"/>
          <w:right w:val="nil"/>
          <w:between w:val="nil"/>
        </w:pBdr>
        <w:spacing w:before="120"/>
        <w:ind w:hanging="2"/>
        <w:jc w:val="center"/>
        <w:rPr>
          <w:b/>
          <w:color w:val="000000"/>
          <w:lang w:val="en-GB"/>
        </w:rPr>
      </w:pPr>
    </w:p>
    <w:p w14:paraId="4D913D31" w14:textId="77777777" w:rsidR="00FD1A89" w:rsidRPr="004573CA" w:rsidRDefault="00D35081">
      <w:pPr>
        <w:keepNext/>
        <w:pBdr>
          <w:top w:val="nil"/>
          <w:left w:val="nil"/>
          <w:bottom w:val="nil"/>
          <w:right w:val="nil"/>
          <w:between w:val="nil"/>
        </w:pBdr>
        <w:spacing w:before="120"/>
        <w:ind w:hanging="2"/>
        <w:jc w:val="center"/>
        <w:rPr>
          <w:b/>
          <w:color w:val="000000"/>
          <w:lang w:val="en-GB"/>
        </w:rPr>
      </w:pPr>
      <w:bookmarkStart w:id="1" w:name="_Toc200485944"/>
      <w:r w:rsidRPr="004573CA">
        <w:rPr>
          <w:b/>
          <w:color w:val="000000"/>
          <w:lang w:val="en-GB"/>
        </w:rPr>
        <w:t>PEOPLE’S DEMOCRATIC REPUBLIC OF ALGERIA</w:t>
      </w:r>
      <w:bookmarkEnd w:id="1"/>
      <w:r w:rsidRPr="004573CA">
        <w:rPr>
          <w:b/>
          <w:color w:val="000000"/>
          <w:lang w:val="en-GB"/>
        </w:rPr>
        <w:t xml:space="preserve"> </w:t>
      </w:r>
    </w:p>
    <w:p w14:paraId="57E5691A" w14:textId="77777777" w:rsidR="00FD1A89" w:rsidRPr="004573CA" w:rsidRDefault="00D35081">
      <w:pPr>
        <w:keepNext/>
        <w:pBdr>
          <w:top w:val="nil"/>
          <w:left w:val="nil"/>
          <w:bottom w:val="nil"/>
          <w:right w:val="nil"/>
          <w:between w:val="nil"/>
        </w:pBdr>
        <w:spacing w:before="120"/>
        <w:ind w:right="569" w:hanging="2"/>
        <w:jc w:val="center"/>
        <w:rPr>
          <w:b/>
          <w:color w:val="000000"/>
          <w:lang w:val="en-GB"/>
        </w:rPr>
      </w:pPr>
      <w:bookmarkStart w:id="2" w:name="_Toc200485945"/>
      <w:r w:rsidRPr="004573CA">
        <w:rPr>
          <w:b/>
          <w:color w:val="000000"/>
          <w:lang w:val="en-GB"/>
        </w:rPr>
        <w:t>MINISTRY OF HIGHER EDUCATION AND SCIENTIFIC RESEARCH</w:t>
      </w:r>
      <w:bookmarkEnd w:id="2"/>
    </w:p>
    <w:p w14:paraId="16FDDE4B" w14:textId="77777777" w:rsidR="00FD1A89" w:rsidRPr="004573CA" w:rsidRDefault="00D35081">
      <w:pPr>
        <w:keepNext/>
        <w:pBdr>
          <w:top w:val="nil"/>
          <w:left w:val="nil"/>
          <w:bottom w:val="nil"/>
          <w:right w:val="nil"/>
          <w:between w:val="nil"/>
        </w:pBdr>
        <w:spacing w:before="120"/>
        <w:ind w:hanging="2"/>
        <w:jc w:val="center"/>
        <w:rPr>
          <w:b/>
          <w:color w:val="000000"/>
          <w:lang w:val="en-GB"/>
        </w:rPr>
      </w:pPr>
      <w:bookmarkStart w:id="3" w:name="_Toc200485946"/>
      <w:r w:rsidRPr="004573CA">
        <w:rPr>
          <w:b/>
          <w:color w:val="000000"/>
          <w:lang w:val="en-GB"/>
        </w:rPr>
        <w:t>UNIVERSITY OF MOHAMED BOUDIAF - M’SILA</w:t>
      </w:r>
      <w:bookmarkEnd w:id="3"/>
    </w:p>
    <w:p w14:paraId="2445A08A" w14:textId="77777777" w:rsidR="00FD1A89" w:rsidRPr="004573CA" w:rsidRDefault="00FD1A89">
      <w:pPr>
        <w:ind w:hanging="2"/>
        <w:rPr>
          <w:lang w:val="en-GB"/>
        </w:rPr>
      </w:pPr>
    </w:p>
    <w:bookmarkStart w:id="4" w:name="_Toc200485947"/>
    <w:p w14:paraId="1E2C97F1" w14:textId="77777777" w:rsidR="00FD1A89" w:rsidRPr="004573CA" w:rsidRDefault="00E568F9">
      <w:pPr>
        <w:ind w:hanging="2"/>
        <w:rPr>
          <w:lang w:val="en-GB"/>
        </w:rPr>
      </w:pPr>
      <w:r w:rsidRPr="004573CA">
        <w:rPr>
          <w:noProof/>
          <w:lang w:val="fr-FR" w:eastAsia="fr-FR"/>
        </w:rPr>
        <mc:AlternateContent>
          <mc:Choice Requires="wps">
            <w:drawing>
              <wp:anchor distT="0" distB="0" distL="114300" distR="114300" simplePos="0" relativeHeight="251635712" behindDoc="0" locked="0" layoutInCell="1" hidden="0" allowOverlap="1" wp14:anchorId="372BAF8F" wp14:editId="5C1FCB6D">
                <wp:simplePos x="0" y="0"/>
                <wp:positionH relativeFrom="column">
                  <wp:posOffset>281940</wp:posOffset>
                </wp:positionH>
                <wp:positionV relativeFrom="paragraph">
                  <wp:posOffset>140970</wp:posOffset>
                </wp:positionV>
                <wp:extent cx="2933700" cy="760730"/>
                <wp:effectExtent l="0" t="0" r="19050" b="20320"/>
                <wp:wrapNone/>
                <wp:docPr id="1" name="Rectangle 1"/>
                <wp:cNvGraphicFramePr/>
                <a:graphic xmlns:a="http://schemas.openxmlformats.org/drawingml/2006/main">
                  <a:graphicData uri="http://schemas.microsoft.com/office/word/2010/wordprocessingShape">
                    <wps:wsp>
                      <wps:cNvSpPr/>
                      <wps:spPr>
                        <a:xfrm>
                          <a:off x="0" y="0"/>
                          <a:ext cx="2933700" cy="760730"/>
                        </a:xfrm>
                        <a:prstGeom prst="rect">
                          <a:avLst/>
                        </a:prstGeom>
                        <a:solidFill>
                          <a:srgbClr val="FFFFFF"/>
                        </a:solidFill>
                        <a:ln w="9525" cap="flat" cmpd="sng">
                          <a:solidFill>
                            <a:srgbClr val="FFFFFF"/>
                          </a:solidFill>
                          <a:prstDash val="solid"/>
                          <a:miter lim="800000"/>
                          <a:headEnd type="none" w="sm" len="sm"/>
                          <a:tailEnd type="none" w="sm" len="sm"/>
                        </a:ln>
                      </wps:spPr>
                      <wps:txbx>
                        <w:txbxContent>
                          <w:p w14:paraId="65C92736" w14:textId="77777777" w:rsidR="00FD1A89" w:rsidRDefault="00D35081">
                            <w:pPr>
                              <w:spacing w:before="120"/>
                              <w:ind w:hanging="2"/>
                            </w:pPr>
                            <w:bookmarkStart w:id="5" w:name="_Toc200485948"/>
                            <w:r>
                              <w:rPr>
                                <w:rFonts w:ascii="Arial" w:eastAsia="Arial" w:hAnsi="Arial" w:cs="Arial"/>
                                <w:b/>
                                <w:color w:val="000000"/>
                                <w:sz w:val="16"/>
                              </w:rPr>
                              <w:t xml:space="preserve">FACULTY OF </w:t>
                            </w:r>
                            <w:r>
                              <w:rPr>
                                <w:rFonts w:ascii="Arial" w:eastAsia="Arial" w:hAnsi="Arial" w:cs="Arial"/>
                                <w:b/>
                                <w:smallCaps/>
                                <w:color w:val="000000"/>
                                <w:sz w:val="16"/>
                              </w:rPr>
                              <w:t>LETTERS AND LANGUAGES</w:t>
                            </w:r>
                            <w:bookmarkEnd w:id="5"/>
                            <w:r>
                              <w:rPr>
                                <w:rFonts w:ascii="Arial" w:eastAsia="Arial" w:hAnsi="Arial" w:cs="Arial"/>
                                <w:b/>
                                <w:color w:val="000000"/>
                                <w:sz w:val="16"/>
                              </w:rPr>
                              <w:t xml:space="preserve">  </w:t>
                            </w:r>
                          </w:p>
                          <w:p w14:paraId="70F22093" w14:textId="77777777" w:rsidR="00FD1A89" w:rsidRDefault="00D35081">
                            <w:pPr>
                              <w:spacing w:before="120"/>
                              <w:ind w:hanging="2"/>
                            </w:pPr>
                            <w:bookmarkStart w:id="6" w:name="_Toc200485949"/>
                            <w:r>
                              <w:rPr>
                                <w:rFonts w:ascii="Arial" w:eastAsia="Arial" w:hAnsi="Arial" w:cs="Arial"/>
                                <w:b/>
                                <w:color w:val="000000"/>
                                <w:sz w:val="16"/>
                              </w:rPr>
                              <w:t>DEPARTMENT </w:t>
                            </w:r>
                            <w:r>
                              <w:rPr>
                                <w:rFonts w:ascii="Arial" w:eastAsia="Arial" w:hAnsi="Arial" w:cs="Arial"/>
                                <w:b/>
                                <w:smallCaps/>
                                <w:color w:val="000000"/>
                                <w:sz w:val="16"/>
                              </w:rPr>
                              <w:t>OF LETTERS AND ENGLISH LANGUAGE</w:t>
                            </w:r>
                            <w:bookmarkEnd w:id="6"/>
                          </w:p>
                          <w:p w14:paraId="13D89F11" w14:textId="77777777" w:rsidR="00FD1A89" w:rsidRDefault="00D35081">
                            <w:pPr>
                              <w:spacing w:before="120"/>
                              <w:ind w:hanging="2"/>
                            </w:pPr>
                            <w:bookmarkStart w:id="7" w:name="_Toc200485950"/>
                            <w:r>
                              <w:rPr>
                                <w:rFonts w:ascii="Arial" w:eastAsia="Arial" w:hAnsi="Arial" w:cs="Arial"/>
                                <w:b/>
                                <w:color w:val="000000"/>
                                <w:sz w:val="16"/>
                              </w:rPr>
                              <w:t>N°</w:t>
                            </w:r>
                            <w:proofErr w:type="gramStart"/>
                            <w:r>
                              <w:rPr>
                                <w:rFonts w:ascii="Arial" w:eastAsia="Arial" w:hAnsi="Arial" w:cs="Arial"/>
                                <w:b/>
                                <w:color w:val="000000"/>
                                <w:sz w:val="16"/>
                              </w:rPr>
                              <w:t>:………………………………………..</w:t>
                            </w:r>
                            <w:bookmarkEnd w:id="7"/>
                            <w:proofErr w:type="gramEnd"/>
                            <w:r>
                              <w:rPr>
                                <w:rFonts w:ascii="Arial" w:eastAsia="Arial" w:hAnsi="Arial" w:cs="Arial"/>
                                <w:b/>
                                <w:color w:val="000000"/>
                                <w:sz w:val="16"/>
                              </w:rPr>
                              <w:t xml:space="preserve">                                                                                    </w:t>
                            </w:r>
                          </w:p>
                          <w:p w14:paraId="785B05CC" w14:textId="77777777" w:rsidR="00FD1A89" w:rsidRDefault="00FD1A89">
                            <w:pPr>
                              <w:ind w:hanging="2"/>
                            </w:pPr>
                          </w:p>
                        </w:txbxContent>
                      </wps:txbx>
                      <wps:bodyPr spcFirstLastPara="1" wrap="square" lIns="91425" tIns="45700" rIns="91425" bIns="4570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72BAF8F" id="Rectangle 1" o:spid="_x0000_s1026" style="position:absolute;margin-left:22.2pt;margin-top:11.1pt;width:231pt;height:59.9pt;z-index:251635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" strokecolor="white">
                <v:stroke startarrowwidth="narrow" startarrowlength="short" endarrowwidth="narrow" endarrowlength="short"/>
                <v:textbox inset="2.53958mm,1.2694mm,2.53958mm,1.2694mm">
                  <w:txbxContent>
                    <w:p w14:paraId="65C92736" w14:textId="77777777" w:rsidR="00FD1A89" w:rsidRDefault="00D35081">
                      <w:pPr>
                        <w:spacing w:before="120"/>
                        <w:ind w:hanging="2"/>
                      </w:pPr>
                      <w:bookmarkStart w:id="8" w:name="_Toc200485948"/>
                      <w:r>
                        <w:rPr>
                          <w:rFonts w:ascii="Arial" w:eastAsia="Arial" w:hAnsi="Arial" w:cs="Arial"/>
                          <w:b/>
                          <w:color w:val="000000"/>
                          <w:sz w:val="16"/>
                        </w:rPr>
                        <w:t xml:space="preserve">FACULTY OF </w:t>
                      </w:r>
                      <w:r>
                        <w:rPr>
                          <w:rFonts w:ascii="Arial" w:eastAsia="Arial" w:hAnsi="Arial" w:cs="Arial"/>
                          <w:b/>
                          <w:smallCaps/>
                          <w:color w:val="000000"/>
                          <w:sz w:val="16"/>
                        </w:rPr>
                        <w:t>LETTERS AND LANGUAGES</w:t>
                      </w:r>
                      <w:bookmarkEnd w:id="8"/>
                      <w:r>
                        <w:rPr>
                          <w:rFonts w:ascii="Arial" w:eastAsia="Arial" w:hAnsi="Arial" w:cs="Arial"/>
                          <w:b/>
                          <w:color w:val="000000"/>
                          <w:sz w:val="16"/>
                        </w:rPr>
                        <w:t xml:space="preserve">  </w:t>
                      </w:r>
                    </w:p>
                    <w:p w14:paraId="70F22093" w14:textId="77777777" w:rsidR="00FD1A89" w:rsidRDefault="00D35081">
                      <w:pPr>
                        <w:spacing w:before="120"/>
                        <w:ind w:hanging="2"/>
                      </w:pPr>
                      <w:bookmarkStart w:id="9" w:name="_Toc200485949"/>
                      <w:r>
                        <w:rPr>
                          <w:rFonts w:ascii="Arial" w:eastAsia="Arial" w:hAnsi="Arial" w:cs="Arial"/>
                          <w:b/>
                          <w:color w:val="000000"/>
                          <w:sz w:val="16"/>
                        </w:rPr>
                        <w:t>DEPARTMENT </w:t>
                      </w:r>
                      <w:r>
                        <w:rPr>
                          <w:rFonts w:ascii="Arial" w:eastAsia="Arial" w:hAnsi="Arial" w:cs="Arial"/>
                          <w:b/>
                          <w:smallCaps/>
                          <w:color w:val="000000"/>
                          <w:sz w:val="16"/>
                        </w:rPr>
                        <w:t>OF LETTERS AND ENGLISH LANGUAGE</w:t>
                      </w:r>
                      <w:bookmarkEnd w:id="9"/>
                    </w:p>
                    <w:p w14:paraId="13D89F11" w14:textId="77777777" w:rsidR="00FD1A89" w:rsidRDefault="00D35081">
                      <w:pPr>
                        <w:spacing w:before="120"/>
                        <w:ind w:hanging="2"/>
                      </w:pPr>
                      <w:bookmarkStart w:id="10" w:name="_Toc200485950"/>
                      <w:r>
                        <w:rPr>
                          <w:rFonts w:ascii="Arial" w:eastAsia="Arial" w:hAnsi="Arial" w:cs="Arial"/>
                          <w:b/>
                          <w:color w:val="000000"/>
                          <w:sz w:val="16"/>
                        </w:rPr>
                        <w:t>N°:………………………………………..</w:t>
                      </w:r>
                      <w:bookmarkEnd w:id="10"/>
                      <w:r>
                        <w:rPr>
                          <w:rFonts w:ascii="Arial" w:eastAsia="Arial" w:hAnsi="Arial" w:cs="Arial"/>
                          <w:b/>
                          <w:color w:val="000000"/>
                          <w:sz w:val="16"/>
                        </w:rPr>
                        <w:t xml:space="preserve">                                                                                    </w:t>
                      </w:r>
                    </w:p>
                    <w:p w14:paraId="785B05CC" w14:textId="77777777" w:rsidR="00FD1A89" w:rsidRDefault="00FD1A89">
                      <w:pPr>
                        <w:ind w:hanging="2"/>
                      </w:pPr>
                    </w:p>
                  </w:txbxContent>
                </v:textbox>
              </v:rect>
            </w:pict>
          </mc:Fallback>
        </mc:AlternateContent>
      </w:r>
      <w:r w:rsidR="00E0334A" w:rsidRPr="004573CA">
        <w:rPr>
          <w:noProof/>
          <w:lang w:val="fr-FR" w:eastAsia="fr-FR"/>
        </w:rPr>
        <mc:AlternateContent>
          <mc:Choice Requires="wps">
            <w:drawing>
              <wp:anchor distT="0" distB="0" distL="114300" distR="114300" simplePos="0" relativeHeight="251629568" behindDoc="0" locked="0" layoutInCell="1" hidden="0" allowOverlap="1" wp14:anchorId="307A1F9D" wp14:editId="53BB8666">
                <wp:simplePos x="0" y="0"/>
                <wp:positionH relativeFrom="column">
                  <wp:posOffset>4368165</wp:posOffset>
                </wp:positionH>
                <wp:positionV relativeFrom="paragraph">
                  <wp:posOffset>125095</wp:posOffset>
                </wp:positionV>
                <wp:extent cx="2755900" cy="914400"/>
                <wp:effectExtent l="0" t="0" r="25400" b="19050"/>
                <wp:wrapNone/>
                <wp:docPr id="2" name="Rectangle 2"/>
                <wp:cNvGraphicFramePr/>
                <a:graphic xmlns:a="http://schemas.openxmlformats.org/drawingml/2006/main">
                  <a:graphicData uri="http://schemas.microsoft.com/office/word/2010/wordprocessingShape">
                    <wps:wsp>
                      <wps:cNvSpPr/>
                      <wps:spPr>
                        <a:xfrm>
                          <a:off x="0" y="0"/>
                          <a:ext cx="2755900" cy="914400"/>
                        </a:xfrm>
                        <a:prstGeom prst="rect">
                          <a:avLst/>
                        </a:prstGeom>
                        <a:solidFill>
                          <a:srgbClr val="FFFFFF"/>
                        </a:solidFill>
                        <a:ln w="9525" cap="flat" cmpd="sng">
                          <a:solidFill>
                            <a:srgbClr val="FFFFFF"/>
                          </a:solidFill>
                          <a:prstDash val="solid"/>
                          <a:miter lim="800000"/>
                          <a:headEnd type="none" w="sm" len="sm"/>
                          <a:tailEnd type="none" w="sm" len="sm"/>
                        </a:ln>
                      </wps:spPr>
                      <wps:txbx>
                        <w:txbxContent>
                          <w:p w14:paraId="5B654C67" w14:textId="77777777" w:rsidR="00FD1A89" w:rsidRDefault="00D35081">
                            <w:pPr>
                              <w:spacing w:before="120"/>
                              <w:ind w:hanging="2"/>
                            </w:pPr>
                            <w:bookmarkStart w:id="8" w:name="_Toc200485951"/>
                            <w:r>
                              <w:rPr>
                                <w:rFonts w:ascii="Arial" w:eastAsia="Arial" w:hAnsi="Arial" w:cs="Arial"/>
                                <w:b/>
                                <w:smallCaps/>
                                <w:color w:val="000000"/>
                                <w:sz w:val="16"/>
                              </w:rPr>
                              <w:t>DOMAIN: FOREIGN LANGUAGES</w:t>
                            </w:r>
                            <w:bookmarkEnd w:id="8"/>
                          </w:p>
                          <w:p w14:paraId="5830E960" w14:textId="77777777" w:rsidR="00FD1A89" w:rsidRDefault="00D35081">
                            <w:pPr>
                              <w:spacing w:before="120"/>
                              <w:ind w:hanging="2"/>
                            </w:pPr>
                            <w:bookmarkStart w:id="9" w:name="_Toc200485952"/>
                            <w:r>
                              <w:rPr>
                                <w:rFonts w:ascii="Arial" w:eastAsia="Arial" w:hAnsi="Arial" w:cs="Arial"/>
                                <w:b/>
                                <w:smallCaps/>
                                <w:color w:val="000000"/>
                                <w:sz w:val="16"/>
                              </w:rPr>
                              <w:t>STREAM: ENGLISH LANGUAGE</w:t>
                            </w:r>
                            <w:bookmarkEnd w:id="9"/>
                          </w:p>
                          <w:p w14:paraId="6775FF89" w14:textId="77777777" w:rsidR="00FD1A89" w:rsidRDefault="00D35081" w:rsidP="00E0334A">
                            <w:pPr>
                              <w:spacing w:before="120"/>
                              <w:ind w:hanging="2"/>
                            </w:pPr>
                            <w:bookmarkStart w:id="10" w:name="_Toc200485953"/>
                            <w:r>
                              <w:rPr>
                                <w:rFonts w:ascii="Arial" w:eastAsia="Arial" w:hAnsi="Arial" w:cs="Arial"/>
                                <w:b/>
                                <w:smallCaps/>
                                <w:color w:val="000000"/>
                                <w:sz w:val="16"/>
                              </w:rPr>
                              <w:t xml:space="preserve">OPTION:  </w:t>
                            </w:r>
                            <w:r w:rsidR="00E0334A" w:rsidRPr="00E0334A">
                              <w:rPr>
                                <w:rFonts w:ascii="Arial" w:eastAsia="Arial" w:hAnsi="Arial" w:cs="Arial"/>
                                <w:b/>
                                <w:smallCaps/>
                                <w:color w:val="000000"/>
                                <w:sz w:val="16"/>
                              </w:rPr>
                              <w:t>DIDACTICS OF APPLIED LANGUAGES</w:t>
                            </w:r>
                            <w:r w:rsidR="00E0334A">
                              <w:rPr>
                                <w:rFonts w:ascii="Arial" w:eastAsia="Arial" w:hAnsi="Arial" w:cs="Arial"/>
                                <w:b/>
                                <w:smallCaps/>
                                <w:color w:val="000000"/>
                                <w:sz w:val="16"/>
                              </w:rPr>
                              <w:t xml:space="preserve">                                                                                                                                                                                                                                    </w:t>
                            </w:r>
                            <w:r w:rsidR="00E0334A" w:rsidRPr="00E0334A">
                              <w:rPr>
                                <w:rFonts w:ascii="Arial" w:eastAsia="Arial" w:hAnsi="Arial" w:cs="Arial"/>
                                <w:b/>
                                <w:smallCaps/>
                                <w:color w:val="000000"/>
                                <w:sz w:val="16"/>
                              </w:rPr>
                              <w:t>ONLINE</w:t>
                            </w:r>
                            <w:r w:rsidR="00E0334A">
                              <w:rPr>
                                <w:rFonts w:ascii="Arial" w:eastAsia="Arial" w:hAnsi="Arial" w:cs="Arial"/>
                                <w:b/>
                                <w:smallCaps/>
                                <w:color w:val="000000"/>
                                <w:sz w:val="16"/>
                              </w:rPr>
                              <w:t xml:space="preserve"> PROGRAMME</w:t>
                            </w:r>
                            <w:bookmarkEnd w:id="10"/>
                          </w:p>
                          <w:p w14:paraId="34D907AE" w14:textId="77777777" w:rsidR="00FD1A89" w:rsidRDefault="00FD1A89">
                            <w:pPr>
                              <w:ind w:hanging="2"/>
                            </w:pPr>
                          </w:p>
                          <w:p w14:paraId="0508810C" w14:textId="77777777" w:rsidR="00FD1A89" w:rsidRDefault="00FD1A89">
                            <w:pPr>
                              <w:ind w:hanging="2"/>
                            </w:pPr>
                          </w:p>
                        </w:txbxContent>
                      </wps:txbx>
                      <wps:bodyPr spcFirstLastPara="1" wrap="square" lIns="91425" tIns="45700" rIns="91425" bIns="4570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07A1F9D" id="Rectangle 2" o:spid="_x0000_s1027" style="position:absolute;margin-left:343.95pt;margin-top:9.85pt;width:217pt;height:1in;z-index:251629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" strokecolor="white">
                <v:stroke startarrowwidth="narrow" startarrowlength="short" endarrowwidth="narrow" endarrowlength="short"/>
                <v:textbox inset="2.53958mm,1.2694mm,2.53958mm,1.2694mm">
                  <w:txbxContent>
                    <w:p w14:paraId="5B654C67" w14:textId="77777777" w:rsidR="00FD1A89" w:rsidRDefault="00D35081">
                      <w:pPr>
                        <w:spacing w:before="120"/>
                        <w:ind w:hanging="2"/>
                      </w:pPr>
                      <w:bookmarkStart w:id="14" w:name="_Toc200485951"/>
                      <w:r>
                        <w:rPr>
                          <w:rFonts w:ascii="Arial" w:eastAsia="Arial" w:hAnsi="Arial" w:cs="Arial"/>
                          <w:b/>
                          <w:smallCaps/>
                          <w:color w:val="000000"/>
                          <w:sz w:val="16"/>
                        </w:rPr>
                        <w:t>DOMAIN: FOREIGN LANGUAGES</w:t>
                      </w:r>
                      <w:bookmarkEnd w:id="14"/>
                    </w:p>
                    <w:p w14:paraId="5830E960" w14:textId="77777777" w:rsidR="00FD1A89" w:rsidRDefault="00D35081">
                      <w:pPr>
                        <w:spacing w:before="120"/>
                        <w:ind w:hanging="2"/>
                      </w:pPr>
                      <w:bookmarkStart w:id="15" w:name="_Toc200485952"/>
                      <w:r>
                        <w:rPr>
                          <w:rFonts w:ascii="Arial" w:eastAsia="Arial" w:hAnsi="Arial" w:cs="Arial"/>
                          <w:b/>
                          <w:smallCaps/>
                          <w:color w:val="000000"/>
                          <w:sz w:val="16"/>
                        </w:rPr>
                        <w:t>STREAM: ENGLISH LANGUAGE</w:t>
                      </w:r>
                      <w:bookmarkEnd w:id="15"/>
                    </w:p>
                    <w:p w14:paraId="6775FF89" w14:textId="77777777" w:rsidR="00FD1A89" w:rsidRDefault="00D35081" w:rsidP="00E0334A">
                      <w:pPr>
                        <w:spacing w:before="120"/>
                        <w:ind w:hanging="2"/>
                      </w:pPr>
                      <w:bookmarkStart w:id="16" w:name="_Toc200485953"/>
                      <w:r>
                        <w:rPr>
                          <w:rFonts w:ascii="Arial" w:eastAsia="Arial" w:hAnsi="Arial" w:cs="Arial"/>
                          <w:b/>
                          <w:smallCaps/>
                          <w:color w:val="000000"/>
                          <w:sz w:val="16"/>
                        </w:rPr>
                        <w:t xml:space="preserve">OPTION:  </w:t>
                      </w:r>
                      <w:r w:rsidR="00E0334A" w:rsidRPr="00E0334A">
                        <w:rPr>
                          <w:rFonts w:ascii="Arial" w:eastAsia="Arial" w:hAnsi="Arial" w:cs="Arial"/>
                          <w:b/>
                          <w:smallCaps/>
                          <w:color w:val="000000"/>
                          <w:sz w:val="16"/>
                        </w:rPr>
                        <w:t>DIDACTICS OF APPLIED LANGUAGES</w:t>
                      </w:r>
                      <w:r w:rsidR="00E0334A">
                        <w:rPr>
                          <w:rFonts w:ascii="Arial" w:eastAsia="Arial" w:hAnsi="Arial" w:cs="Arial"/>
                          <w:b/>
                          <w:smallCaps/>
                          <w:color w:val="000000"/>
                          <w:sz w:val="16"/>
                        </w:rPr>
                        <w:t xml:space="preserve">                                                                                                                                                                                                                                    </w:t>
                      </w:r>
                      <w:r w:rsidR="00E0334A" w:rsidRPr="00E0334A">
                        <w:rPr>
                          <w:rFonts w:ascii="Arial" w:eastAsia="Arial" w:hAnsi="Arial" w:cs="Arial"/>
                          <w:b/>
                          <w:smallCaps/>
                          <w:color w:val="000000"/>
                          <w:sz w:val="16"/>
                        </w:rPr>
                        <w:t>ONLINE</w:t>
                      </w:r>
                      <w:r w:rsidR="00E0334A">
                        <w:rPr>
                          <w:rFonts w:ascii="Arial" w:eastAsia="Arial" w:hAnsi="Arial" w:cs="Arial"/>
                          <w:b/>
                          <w:smallCaps/>
                          <w:color w:val="000000"/>
                          <w:sz w:val="16"/>
                        </w:rPr>
                        <w:t xml:space="preserve"> PROGRAMME</w:t>
                      </w:r>
                      <w:bookmarkEnd w:id="16"/>
                    </w:p>
                    <w:p w14:paraId="34D907AE" w14:textId="77777777" w:rsidR="00FD1A89" w:rsidRDefault="00FD1A89">
                      <w:pPr>
                        <w:ind w:hanging="2"/>
                      </w:pPr>
                    </w:p>
                    <w:p w14:paraId="0508810C" w14:textId="77777777" w:rsidR="00FD1A89" w:rsidRDefault="00FD1A89">
                      <w:pPr>
                        <w:ind w:hanging="2"/>
                      </w:pPr>
                    </w:p>
                  </w:txbxContent>
                </v:textbox>
              </v:rect>
            </w:pict>
          </mc:Fallback>
        </mc:AlternateContent>
      </w:r>
      <w:r w:rsidR="00D35081" w:rsidRPr="004573CA">
        <w:rPr>
          <w:noProof/>
          <w:lang w:val="fr-FR" w:eastAsia="fr-FR"/>
        </w:rPr>
        <w:drawing>
          <wp:anchor distT="0" distB="0" distL="114300" distR="114300" simplePos="0" relativeHeight="251663360" behindDoc="0" locked="0" layoutInCell="1" hidden="0" allowOverlap="1" wp14:anchorId="38423059" wp14:editId="3BA3D69F">
            <wp:simplePos x="0" y="0"/>
            <wp:positionH relativeFrom="column">
              <wp:posOffset>3071495</wp:posOffset>
            </wp:positionH>
            <wp:positionV relativeFrom="paragraph">
              <wp:posOffset>170815</wp:posOffset>
            </wp:positionV>
            <wp:extent cx="1018540" cy="779780"/>
            <wp:effectExtent l="0" t="0" r="0" b="0"/>
            <wp:wrapSquare wrapText="bothSides" distT="0" distB="0" distL="114300" distR="114300"/>
            <wp:docPr id="4"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9"/>
                    <a:srcRect/>
                    <a:stretch>
                      <a:fillRect/>
                    </a:stretch>
                  </pic:blipFill>
                  <pic:spPr>
                    <a:xfrm>
                      <a:off x="0" y="0"/>
                      <a:ext cx="1018540" cy="779780"/>
                    </a:xfrm>
                    <a:prstGeom prst="rect">
                      <a:avLst/>
                    </a:prstGeom>
                    <a:ln/>
                  </pic:spPr>
                </pic:pic>
              </a:graphicData>
            </a:graphic>
          </wp:anchor>
        </w:drawing>
      </w:r>
      <w:bookmarkEnd w:id="4"/>
    </w:p>
    <w:p w14:paraId="2FCDA8CE" w14:textId="77777777" w:rsidR="00FD1A89" w:rsidRPr="004573CA" w:rsidRDefault="00FD1A89">
      <w:pPr>
        <w:ind w:hanging="2"/>
        <w:rPr>
          <w:lang w:val="en-GB"/>
        </w:rPr>
      </w:pPr>
    </w:p>
    <w:p w14:paraId="7FD1BFC6" w14:textId="77777777" w:rsidR="00FD1A89" w:rsidRPr="004573CA" w:rsidRDefault="00FD1A89">
      <w:pPr>
        <w:ind w:hanging="2"/>
        <w:rPr>
          <w:lang w:val="en-GB"/>
        </w:rPr>
      </w:pPr>
    </w:p>
    <w:p w14:paraId="2CB70013" w14:textId="77777777" w:rsidR="00FD1A89" w:rsidRPr="004573CA" w:rsidRDefault="00FD1A89">
      <w:pPr>
        <w:ind w:hanging="2"/>
        <w:rPr>
          <w:lang w:val="en-GB"/>
        </w:rPr>
      </w:pPr>
    </w:p>
    <w:p w14:paraId="038A9706" w14:textId="77777777" w:rsidR="00FD1A89" w:rsidRPr="004573CA" w:rsidRDefault="00FD1A89">
      <w:pPr>
        <w:ind w:hanging="2"/>
        <w:rPr>
          <w:lang w:val="en-GB"/>
        </w:rPr>
      </w:pPr>
    </w:p>
    <w:p w14:paraId="76D0648B" w14:textId="77777777" w:rsidR="00FD1A89" w:rsidRPr="004573CA" w:rsidRDefault="00FD1A89">
      <w:pPr>
        <w:ind w:hanging="2"/>
        <w:rPr>
          <w:lang w:val="en-GB"/>
        </w:rPr>
      </w:pPr>
    </w:p>
    <w:p w14:paraId="33AE1E82" w14:textId="77777777" w:rsidR="00FD1A89" w:rsidRPr="004573CA" w:rsidRDefault="00FD1A89">
      <w:pPr>
        <w:ind w:hanging="2"/>
        <w:rPr>
          <w:lang w:val="en-GB"/>
        </w:rPr>
      </w:pPr>
    </w:p>
    <w:p w14:paraId="39D53E5D" w14:textId="77777777" w:rsidR="00FD1A89" w:rsidRPr="004573CA" w:rsidRDefault="00FD1A89">
      <w:pPr>
        <w:ind w:hanging="2"/>
        <w:rPr>
          <w:lang w:val="en-GB"/>
        </w:rPr>
      </w:pPr>
    </w:p>
    <w:bookmarkStart w:id="11" w:name="_Toc200485955"/>
    <w:p w14:paraId="44C64728" w14:textId="2279741C" w:rsidR="00FD1A89" w:rsidRPr="004573CA" w:rsidRDefault="006A0C7C">
      <w:pPr>
        <w:keepNext/>
        <w:pBdr>
          <w:top w:val="nil"/>
          <w:left w:val="nil"/>
          <w:bottom w:val="nil"/>
          <w:right w:val="nil"/>
          <w:between w:val="nil"/>
        </w:pBdr>
        <w:spacing w:line="276" w:lineRule="auto"/>
        <w:ind w:hanging="2"/>
        <w:rPr>
          <w:color w:val="000000"/>
          <w:sz w:val="20"/>
          <w:szCs w:val="20"/>
          <w:lang w:val="en-GB"/>
        </w:rPr>
      </w:pPr>
      <w:r w:rsidRPr="004573CA">
        <w:rPr>
          <w:noProof/>
          <w:lang w:val="fr-FR" w:eastAsia="fr-FR"/>
        </w:rPr>
        <mc:AlternateContent>
          <mc:Choice Requires="wps">
            <w:drawing>
              <wp:anchor distT="0" distB="0" distL="114300" distR="114300" simplePos="0" relativeHeight="251670528" behindDoc="0" locked="0" layoutInCell="1" hidden="0" allowOverlap="1" wp14:anchorId="2FB9EE2F" wp14:editId="5DBEF6FD">
                <wp:simplePos x="0" y="0"/>
                <wp:positionH relativeFrom="column">
                  <wp:posOffset>418465</wp:posOffset>
                </wp:positionH>
                <wp:positionV relativeFrom="paragraph">
                  <wp:posOffset>122555</wp:posOffset>
                </wp:positionV>
                <wp:extent cx="6324600" cy="2152015"/>
                <wp:effectExtent l="19050" t="19050" r="38100" b="38735"/>
                <wp:wrapSquare wrapText="bothSides" distT="0" distB="0" distL="114300" distR="114300"/>
                <wp:docPr id="3" name="Rectangle à coins arrondis 3"/>
                <wp:cNvGraphicFramePr/>
                <a:graphic xmlns:a="http://schemas.openxmlformats.org/drawingml/2006/main">
                  <a:graphicData uri="http://schemas.microsoft.com/office/word/2010/wordprocessingShape">
                    <wps:wsp>
                      <wps:cNvSpPr/>
                      <wps:spPr>
                        <a:xfrm>
                          <a:off x="0" y="0"/>
                          <a:ext cx="6324600" cy="2152015"/>
                        </a:xfrm>
                        <a:prstGeom prst="roundRect">
                          <a:avLst>
                            <a:gd name="adj" fmla="val 16667"/>
                          </a:avLst>
                        </a:prstGeom>
                        <a:solidFill>
                          <a:srgbClr val="FFFFFF"/>
                        </a:solidFill>
                        <a:ln w="57150" cap="flat" cmpd="thickThin">
                          <a:solidFill>
                            <a:srgbClr val="000000"/>
                          </a:solidFill>
                          <a:prstDash val="solid"/>
                          <a:miter lim="800000"/>
                          <a:headEnd type="none" w="sm" len="sm"/>
                          <a:tailEnd type="none" w="sm" len="sm"/>
                        </a:ln>
                      </wps:spPr>
                      <wps:txbx>
                        <w:txbxContent>
                          <w:p w14:paraId="741B7A07" w14:textId="5870469E" w:rsidR="006A0C7C" w:rsidRDefault="00882AC2" w:rsidP="00882AC2">
                            <w:pPr>
                              <w:ind w:left="2" w:hanging="4"/>
                              <w:jc w:val="center"/>
                              <w:rPr>
                                <w:rFonts w:ascii="Arial" w:eastAsia="Arial" w:hAnsi="Arial" w:cs="Arial"/>
                                <w:b/>
                                <w:bCs/>
                                <w:color w:val="000000"/>
                                <w:sz w:val="40"/>
                              </w:rPr>
                            </w:pPr>
                            <w:bookmarkStart w:id="12" w:name="_Toc200485954"/>
                            <w:r w:rsidRPr="00882AC2">
                              <w:rPr>
                                <w:rFonts w:ascii="Arial" w:eastAsia="Arial" w:hAnsi="Arial" w:cs="Arial"/>
                                <w:b/>
                                <w:bCs/>
                                <w:color w:val="000000"/>
                                <w:sz w:val="40"/>
                              </w:rPr>
                              <w:t>Exploring the Role of Online Teacher Communities in Enhancing Summative Assessment Literacy of Middle School EFL Teachers</w:t>
                            </w:r>
                            <w:r w:rsidR="006A0C7C">
                              <w:rPr>
                                <w:rFonts w:ascii="Arial" w:eastAsia="Arial" w:hAnsi="Arial" w:cs="Arial"/>
                                <w:b/>
                                <w:bCs/>
                                <w:color w:val="000000"/>
                                <w:sz w:val="40"/>
                              </w:rPr>
                              <w:t xml:space="preserve">. </w:t>
                            </w:r>
                          </w:p>
                          <w:p w14:paraId="495028A3" w14:textId="7BE3B055" w:rsidR="00882AC2" w:rsidRPr="00882AC2" w:rsidRDefault="006A0C7C" w:rsidP="00882AC2">
                            <w:pPr>
                              <w:ind w:left="2" w:hanging="4"/>
                              <w:jc w:val="center"/>
                              <w:rPr>
                                <w:rFonts w:ascii="Arial" w:eastAsia="Arial" w:hAnsi="Arial" w:cs="Arial"/>
                                <w:b/>
                                <w:bCs/>
                                <w:color w:val="000000"/>
                                <w:sz w:val="40"/>
                              </w:rPr>
                            </w:pPr>
                            <w:r>
                              <w:rPr>
                                <w:rFonts w:ascii="Arial" w:eastAsia="Arial" w:hAnsi="Arial" w:cs="Arial"/>
                                <w:b/>
                                <w:bCs/>
                                <w:color w:val="000000"/>
                                <w:sz w:val="40"/>
                              </w:rPr>
                              <w:t>The</w:t>
                            </w:r>
                            <w:r w:rsidR="00882AC2" w:rsidRPr="00882AC2">
                              <w:rPr>
                                <w:rFonts w:ascii="Arial" w:eastAsia="Arial" w:hAnsi="Arial" w:cs="Arial"/>
                                <w:b/>
                                <w:bCs/>
                                <w:color w:val="000000"/>
                                <w:sz w:val="40"/>
                              </w:rPr>
                              <w:t xml:space="preserve"> Case of Middle School Teachers in </w:t>
                            </w:r>
                            <w:proofErr w:type="spellStart"/>
                            <w:r w:rsidR="00882AC2" w:rsidRPr="00882AC2">
                              <w:rPr>
                                <w:rFonts w:ascii="Arial" w:eastAsia="Arial" w:hAnsi="Arial" w:cs="Arial"/>
                                <w:b/>
                                <w:bCs/>
                                <w:color w:val="000000"/>
                                <w:sz w:val="40"/>
                              </w:rPr>
                              <w:t>M’sila</w:t>
                            </w:r>
                            <w:proofErr w:type="spellEnd"/>
                            <w:r w:rsidR="00882AC2" w:rsidRPr="00882AC2">
                              <w:rPr>
                                <w:rFonts w:ascii="Arial" w:eastAsia="Arial" w:hAnsi="Arial" w:cs="Arial"/>
                                <w:b/>
                                <w:bCs/>
                                <w:color w:val="000000"/>
                                <w:sz w:val="40"/>
                              </w:rPr>
                              <w:t>, Algeria.</w:t>
                            </w:r>
                            <w:bookmarkEnd w:id="12"/>
                          </w:p>
                          <w:p w14:paraId="00108098" w14:textId="77777777" w:rsidR="00FD1A89" w:rsidRDefault="00FD1A89">
                            <w:pPr>
                              <w:ind w:hanging="2"/>
                              <w:jc w:val="center"/>
                            </w:pPr>
                          </w:p>
                          <w:p w14:paraId="142201D1" w14:textId="77777777" w:rsidR="00FD1A89" w:rsidRDefault="00FD1A89">
                            <w:pPr>
                              <w:ind w:hanging="2"/>
                            </w:pPr>
                          </w:p>
                        </w:txbxContent>
                      </wps:txbx>
                      <wps:bodyPr spcFirstLastPara="1" wrap="square" lIns="91425" tIns="45700" rIns="91425" bIns="45700" anchor="t" anchorCtr="0">
                        <a:noAutofit/>
                      </wps:bodyPr>
                    </wps:wsp>
                  </a:graphicData>
                </a:graphic>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2FB9EE2F" id="Rectangle à coins arrondis 3" o:spid="_x0000_s1028" style="position:absolute;margin-left:32.95pt;margin-top:9.65pt;width:498pt;height:169.45pt;z-index:2516705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" strokeweight="4.5pt">
                <v:stroke startarrowwidth="narrow" startarrowlength="short" endarrowwidth="narrow" endarrowlength="short" linestyle="thickThin" joinstyle="miter"/>
                <v:textbox inset="2.53958mm,1.2694mm,2.53958mm,1.2694mm">
                  <w:txbxContent>
                    <w:p w14:paraId="741B7A07" w14:textId="5870469E" w:rsidR="006A0C7C" w:rsidRDefault="00882AC2" w:rsidP="00882AC2">
                      <w:pPr>
                        <w:ind w:left="2" w:hanging="4"/>
                        <w:jc w:val="center"/>
                        <w:rPr>
                          <w:rFonts w:ascii="Arial" w:eastAsia="Arial" w:hAnsi="Arial" w:cs="Arial"/>
                          <w:b/>
                          <w:bCs/>
                          <w:color w:val="000000"/>
                          <w:sz w:val="40"/>
                        </w:rPr>
                      </w:pPr>
                      <w:bookmarkStart w:id="19" w:name="_Toc200485954"/>
                      <w:r w:rsidRPr="00882AC2">
                        <w:rPr>
                          <w:rFonts w:ascii="Arial" w:eastAsia="Arial" w:hAnsi="Arial" w:cs="Arial"/>
                          <w:b/>
                          <w:bCs/>
                          <w:color w:val="000000"/>
                          <w:sz w:val="40"/>
                        </w:rPr>
                        <w:t>Exploring the Role of Online Teacher Communities in Enhancing Summative Assessment Literacy of Middle School EFL Teachers</w:t>
                      </w:r>
                      <w:r w:rsidR="006A0C7C">
                        <w:rPr>
                          <w:rFonts w:ascii="Arial" w:eastAsia="Arial" w:hAnsi="Arial" w:cs="Arial"/>
                          <w:b/>
                          <w:bCs/>
                          <w:color w:val="000000"/>
                          <w:sz w:val="40"/>
                        </w:rPr>
                        <w:t xml:space="preserve">. </w:t>
                      </w:r>
                    </w:p>
                    <w:p w14:paraId="495028A3" w14:textId="7BE3B055" w:rsidR="00882AC2" w:rsidRPr="00882AC2" w:rsidRDefault="006A0C7C" w:rsidP="00882AC2">
                      <w:pPr>
                        <w:ind w:left="2" w:hanging="4"/>
                        <w:jc w:val="center"/>
                        <w:rPr>
                          <w:rFonts w:ascii="Arial" w:eastAsia="Arial" w:hAnsi="Arial" w:cs="Arial"/>
                          <w:b/>
                          <w:bCs/>
                          <w:color w:val="000000"/>
                          <w:sz w:val="40"/>
                        </w:rPr>
                      </w:pPr>
                      <w:r>
                        <w:rPr>
                          <w:rFonts w:ascii="Arial" w:eastAsia="Arial" w:hAnsi="Arial" w:cs="Arial"/>
                          <w:b/>
                          <w:bCs/>
                          <w:color w:val="000000"/>
                          <w:sz w:val="40"/>
                        </w:rPr>
                        <w:t>The</w:t>
                      </w:r>
                      <w:r w:rsidR="00882AC2" w:rsidRPr="00882AC2">
                        <w:rPr>
                          <w:rFonts w:ascii="Arial" w:eastAsia="Arial" w:hAnsi="Arial" w:cs="Arial"/>
                          <w:b/>
                          <w:bCs/>
                          <w:color w:val="000000"/>
                          <w:sz w:val="40"/>
                        </w:rPr>
                        <w:t xml:space="preserve"> Case of Middle School Teachers in M’sila, Algeria.</w:t>
                      </w:r>
                      <w:bookmarkEnd w:id="19"/>
                    </w:p>
                    <w:p w14:paraId="00108098" w14:textId="77777777" w:rsidR="00FD1A89" w:rsidRDefault="00FD1A89">
                      <w:pPr>
                        <w:ind w:hanging="2"/>
                        <w:jc w:val="center"/>
                      </w:pPr>
                    </w:p>
                    <w:p w14:paraId="142201D1" w14:textId="77777777" w:rsidR="00FD1A89" w:rsidRDefault="00FD1A89">
                      <w:pPr>
                        <w:ind w:hanging="2"/>
                      </w:pPr>
                    </w:p>
                  </w:txbxContent>
                </v:textbox>
                <w10:wrap type="square"/>
              </v:roundrect>
            </w:pict>
          </mc:Fallback>
        </mc:AlternateContent>
      </w:r>
      <w:bookmarkEnd w:id="11"/>
      <w:r w:rsidR="00D35081" w:rsidRPr="004573CA">
        <w:rPr>
          <w:b/>
          <w:color w:val="000000"/>
          <w:sz w:val="32"/>
          <w:szCs w:val="32"/>
          <w:lang w:val="en-GB"/>
        </w:rPr>
        <w:t xml:space="preserve">                </w:t>
      </w:r>
    </w:p>
    <w:p w14:paraId="05A4AD6A" w14:textId="5A58F9F1" w:rsidR="00FD1A89" w:rsidRPr="004573CA" w:rsidRDefault="00FD1A89">
      <w:pPr>
        <w:spacing w:line="360" w:lineRule="auto"/>
        <w:ind w:left="-2"/>
        <w:jc w:val="center"/>
        <w:rPr>
          <w:sz w:val="4"/>
          <w:szCs w:val="4"/>
          <w:lang w:val="en-GB"/>
        </w:rPr>
      </w:pPr>
    </w:p>
    <w:p w14:paraId="199D73DB" w14:textId="61C49531" w:rsidR="00FD1A89" w:rsidRPr="004573CA" w:rsidRDefault="00FD1A89">
      <w:pPr>
        <w:spacing w:line="360" w:lineRule="auto"/>
        <w:ind w:left="-2"/>
        <w:jc w:val="center"/>
        <w:rPr>
          <w:sz w:val="4"/>
          <w:szCs w:val="4"/>
          <w:lang w:val="en-GB"/>
        </w:rPr>
      </w:pPr>
    </w:p>
    <w:p w14:paraId="487262D0" w14:textId="77777777" w:rsidR="00FD1A89" w:rsidRPr="004573CA" w:rsidRDefault="00FD1A89">
      <w:pPr>
        <w:spacing w:line="360" w:lineRule="auto"/>
        <w:ind w:left="-2"/>
        <w:jc w:val="center"/>
        <w:rPr>
          <w:sz w:val="4"/>
          <w:szCs w:val="4"/>
          <w:lang w:val="en-GB"/>
        </w:rPr>
      </w:pPr>
    </w:p>
    <w:p w14:paraId="67459FA0" w14:textId="77777777" w:rsidR="00FD1A89" w:rsidRPr="004573CA" w:rsidRDefault="00FD1A89">
      <w:pPr>
        <w:spacing w:line="360" w:lineRule="auto"/>
        <w:ind w:left="-2"/>
        <w:jc w:val="center"/>
        <w:rPr>
          <w:sz w:val="4"/>
          <w:szCs w:val="4"/>
          <w:lang w:val="en-GB"/>
        </w:rPr>
      </w:pPr>
    </w:p>
    <w:p w14:paraId="7509A3B3" w14:textId="1CB16A68" w:rsidR="00FD1A89" w:rsidRPr="004573CA" w:rsidRDefault="00FD1A89">
      <w:pPr>
        <w:spacing w:line="360" w:lineRule="auto"/>
        <w:ind w:left="-2"/>
        <w:jc w:val="center"/>
        <w:rPr>
          <w:sz w:val="4"/>
          <w:szCs w:val="4"/>
          <w:lang w:val="en-GB"/>
        </w:rPr>
      </w:pPr>
    </w:p>
    <w:p w14:paraId="0DD9FD6C" w14:textId="73E2BF4D" w:rsidR="00FD1A89" w:rsidRPr="004573CA" w:rsidRDefault="00FD1A89">
      <w:pPr>
        <w:ind w:hanging="2"/>
        <w:rPr>
          <w:lang w:val="en-GB"/>
        </w:rPr>
      </w:pPr>
    </w:p>
    <w:p w14:paraId="7EDBC137" w14:textId="77777777" w:rsidR="00FD1A89" w:rsidRPr="004573CA" w:rsidRDefault="00FD1A89" w:rsidP="00E568F9">
      <w:pPr>
        <w:ind w:left="1" w:hanging="3"/>
        <w:rPr>
          <w:sz w:val="32"/>
          <w:szCs w:val="32"/>
          <w:lang w:val="en-GB"/>
        </w:rPr>
      </w:pPr>
    </w:p>
    <w:p w14:paraId="4F9068E5" w14:textId="77777777" w:rsidR="00FD1A89" w:rsidRPr="004573CA" w:rsidRDefault="00FD1A89">
      <w:pPr>
        <w:ind w:left="1" w:hanging="3"/>
        <w:rPr>
          <w:sz w:val="32"/>
          <w:szCs w:val="32"/>
          <w:lang w:val="en-GB"/>
        </w:rPr>
      </w:pPr>
    </w:p>
    <w:p w14:paraId="7214F414" w14:textId="77777777" w:rsidR="00FD1A89" w:rsidRPr="004573CA" w:rsidRDefault="00FD1A89">
      <w:pPr>
        <w:ind w:left="1" w:hanging="3"/>
        <w:rPr>
          <w:sz w:val="32"/>
          <w:szCs w:val="32"/>
          <w:lang w:val="en-GB"/>
        </w:rPr>
      </w:pPr>
    </w:p>
    <w:p w14:paraId="28E489C5" w14:textId="77777777" w:rsidR="00FD1A89" w:rsidRPr="004573CA" w:rsidRDefault="00FD1A89">
      <w:pPr>
        <w:ind w:left="1" w:hanging="3"/>
        <w:rPr>
          <w:sz w:val="32"/>
          <w:szCs w:val="32"/>
          <w:lang w:val="en-GB"/>
        </w:rPr>
      </w:pPr>
    </w:p>
    <w:p w14:paraId="6286109F" w14:textId="77777777" w:rsidR="00FD1A89" w:rsidRPr="004573CA" w:rsidRDefault="00FD1A89">
      <w:pPr>
        <w:ind w:left="1" w:hanging="3"/>
        <w:rPr>
          <w:sz w:val="32"/>
          <w:szCs w:val="32"/>
          <w:lang w:val="en-GB"/>
        </w:rPr>
      </w:pPr>
    </w:p>
    <w:p w14:paraId="4C389D98" w14:textId="77777777" w:rsidR="00FD1A89" w:rsidRPr="004573CA" w:rsidRDefault="00FD1A89">
      <w:pPr>
        <w:ind w:left="1" w:hanging="3"/>
        <w:rPr>
          <w:sz w:val="32"/>
          <w:szCs w:val="32"/>
          <w:lang w:val="en-GB"/>
        </w:rPr>
      </w:pPr>
    </w:p>
    <w:p w14:paraId="3302B765" w14:textId="77777777" w:rsidR="00FD1A89" w:rsidRPr="004573CA" w:rsidRDefault="00FD1A89">
      <w:pPr>
        <w:ind w:left="1" w:hanging="3"/>
        <w:rPr>
          <w:sz w:val="32"/>
          <w:szCs w:val="32"/>
          <w:lang w:val="en-GB"/>
        </w:rPr>
      </w:pPr>
    </w:p>
    <w:p w14:paraId="0A427C1B" w14:textId="77777777" w:rsidR="00FD1A89" w:rsidRPr="004573CA" w:rsidRDefault="00FD1A89">
      <w:pPr>
        <w:ind w:left="1" w:hanging="3"/>
        <w:rPr>
          <w:sz w:val="32"/>
          <w:szCs w:val="32"/>
          <w:lang w:val="en-GB"/>
        </w:rPr>
      </w:pPr>
    </w:p>
    <w:p w14:paraId="339FC631" w14:textId="77777777" w:rsidR="00E0334A" w:rsidRDefault="00D35081" w:rsidP="00E568F9">
      <w:pPr>
        <w:spacing w:line="276" w:lineRule="auto"/>
        <w:ind w:leftChars="235" w:left="567" w:right="532" w:hanging="3"/>
        <w:jc w:val="center"/>
        <w:rPr>
          <w:b/>
          <w:sz w:val="28"/>
          <w:szCs w:val="28"/>
          <w:lang w:val="en-GB"/>
        </w:rPr>
      </w:pPr>
      <w:bookmarkStart w:id="13" w:name="_Toc200485956"/>
      <w:r w:rsidRPr="00F06C29">
        <w:rPr>
          <w:bCs/>
          <w:sz w:val="28"/>
          <w:szCs w:val="28"/>
          <w:lang w:val="en-GB"/>
        </w:rPr>
        <w:t xml:space="preserve">Dissertation Submitted to the Department of </w:t>
      </w:r>
      <w:r w:rsidR="004573CA" w:rsidRPr="00F06C29">
        <w:rPr>
          <w:bCs/>
          <w:sz w:val="28"/>
          <w:szCs w:val="28"/>
          <w:lang w:val="en-GB"/>
        </w:rPr>
        <w:t xml:space="preserve">Letters and English Language </w:t>
      </w:r>
      <w:r w:rsidRPr="00F06C29">
        <w:rPr>
          <w:bCs/>
          <w:sz w:val="28"/>
          <w:szCs w:val="28"/>
          <w:lang w:val="en-GB"/>
        </w:rPr>
        <w:t xml:space="preserve">in Partial </w:t>
      </w:r>
      <w:r w:rsidR="00F06C29" w:rsidRPr="00F06C29">
        <w:rPr>
          <w:bCs/>
          <w:sz w:val="28"/>
          <w:szCs w:val="28"/>
          <w:lang w:val="en-GB"/>
        </w:rPr>
        <w:t>Fulfilment</w:t>
      </w:r>
      <w:r w:rsidR="004573CA" w:rsidRPr="00F06C29">
        <w:rPr>
          <w:bCs/>
          <w:sz w:val="28"/>
          <w:szCs w:val="28"/>
          <w:lang w:val="en-GB"/>
        </w:rPr>
        <w:t xml:space="preserve"> </w:t>
      </w:r>
      <w:r w:rsidRPr="00F06C29">
        <w:rPr>
          <w:bCs/>
          <w:sz w:val="28"/>
          <w:szCs w:val="28"/>
          <w:lang w:val="en-GB"/>
        </w:rPr>
        <w:t>of the Requirements for the Master’s Degree</w:t>
      </w:r>
      <w:r w:rsidR="004573CA" w:rsidRPr="00F06C29">
        <w:rPr>
          <w:bCs/>
          <w:sz w:val="28"/>
          <w:szCs w:val="28"/>
          <w:lang w:val="en-GB"/>
        </w:rPr>
        <w:t xml:space="preserve"> in</w:t>
      </w:r>
      <w:bookmarkEnd w:id="13"/>
      <w:r w:rsidR="004573CA" w:rsidRPr="004573CA">
        <w:rPr>
          <w:b/>
          <w:sz w:val="28"/>
          <w:szCs w:val="28"/>
          <w:lang w:val="en-GB"/>
        </w:rPr>
        <w:t xml:space="preserve"> </w:t>
      </w:r>
    </w:p>
    <w:p w14:paraId="138309FD" w14:textId="30BFE29A" w:rsidR="00FD1A89" w:rsidRPr="004573CA" w:rsidRDefault="00E0334A" w:rsidP="00E0334A">
      <w:pPr>
        <w:spacing w:line="276" w:lineRule="auto"/>
        <w:ind w:left="1" w:hanging="3"/>
        <w:jc w:val="center"/>
        <w:rPr>
          <w:sz w:val="2"/>
          <w:szCs w:val="2"/>
          <w:lang w:val="en-GB"/>
        </w:rPr>
      </w:pPr>
      <w:bookmarkStart w:id="14" w:name="_Toc200485957"/>
      <w:r w:rsidRPr="00E0334A">
        <w:rPr>
          <w:b/>
          <w:sz w:val="28"/>
          <w:szCs w:val="28"/>
          <w:lang w:val="en-GB"/>
        </w:rPr>
        <w:t xml:space="preserve">Didactics </w:t>
      </w:r>
      <w:r w:rsidR="0079619A">
        <w:rPr>
          <w:b/>
          <w:sz w:val="28"/>
          <w:szCs w:val="28"/>
        </w:rPr>
        <w:t>and</w:t>
      </w:r>
      <w:r w:rsidRPr="00E0334A">
        <w:rPr>
          <w:b/>
          <w:sz w:val="28"/>
          <w:szCs w:val="28"/>
          <w:lang w:val="en-GB"/>
        </w:rPr>
        <w:t xml:space="preserve"> Applied Languages</w:t>
      </w:r>
      <w:r>
        <w:rPr>
          <w:b/>
          <w:sz w:val="28"/>
          <w:szCs w:val="28"/>
          <w:lang w:val="en-GB"/>
        </w:rPr>
        <w:t xml:space="preserve"> – </w:t>
      </w:r>
      <w:r w:rsidRPr="00E0334A">
        <w:rPr>
          <w:b/>
          <w:sz w:val="28"/>
          <w:szCs w:val="28"/>
          <w:lang w:val="en-GB"/>
        </w:rPr>
        <w:t>Online Programme</w:t>
      </w:r>
      <w:bookmarkEnd w:id="14"/>
    </w:p>
    <w:p w14:paraId="2522EDA1" w14:textId="77777777" w:rsidR="00FD1A89" w:rsidRPr="004573CA" w:rsidRDefault="00FD1A89">
      <w:pPr>
        <w:spacing w:line="276" w:lineRule="auto"/>
        <w:ind w:left="-2"/>
        <w:jc w:val="center"/>
        <w:rPr>
          <w:sz w:val="4"/>
          <w:szCs w:val="4"/>
          <w:lang w:val="en-GB"/>
        </w:rPr>
      </w:pPr>
    </w:p>
    <w:p w14:paraId="4802EE3D" w14:textId="77777777" w:rsidR="00FD1A89" w:rsidRPr="004573CA" w:rsidRDefault="00FD1A89">
      <w:pPr>
        <w:spacing w:line="276" w:lineRule="auto"/>
        <w:ind w:left="-2"/>
        <w:jc w:val="center"/>
        <w:rPr>
          <w:sz w:val="4"/>
          <w:szCs w:val="4"/>
          <w:lang w:val="en-GB"/>
        </w:rPr>
      </w:pPr>
    </w:p>
    <w:p w14:paraId="337A6F34" w14:textId="77777777" w:rsidR="00FD1A89" w:rsidRPr="004573CA" w:rsidRDefault="00FD1A89">
      <w:pPr>
        <w:spacing w:line="276" w:lineRule="auto"/>
        <w:ind w:left="-2"/>
        <w:jc w:val="center"/>
        <w:rPr>
          <w:sz w:val="4"/>
          <w:szCs w:val="4"/>
          <w:lang w:val="en-GB"/>
        </w:rPr>
      </w:pPr>
    </w:p>
    <w:p w14:paraId="7B08FDF2" w14:textId="77777777" w:rsidR="00FD1A89" w:rsidRPr="004573CA" w:rsidRDefault="00FD1A89">
      <w:pPr>
        <w:spacing w:line="276" w:lineRule="auto"/>
        <w:ind w:left="-2"/>
        <w:jc w:val="center"/>
        <w:rPr>
          <w:sz w:val="4"/>
          <w:szCs w:val="4"/>
          <w:lang w:val="en-GB"/>
        </w:rPr>
      </w:pPr>
    </w:p>
    <w:p w14:paraId="230327E0" w14:textId="77777777" w:rsidR="00FD1A89" w:rsidRPr="004573CA" w:rsidRDefault="00FD1A89">
      <w:pPr>
        <w:spacing w:line="276" w:lineRule="auto"/>
        <w:ind w:left="-2"/>
        <w:jc w:val="center"/>
        <w:rPr>
          <w:sz w:val="4"/>
          <w:szCs w:val="4"/>
          <w:lang w:val="en-GB"/>
        </w:rPr>
      </w:pPr>
    </w:p>
    <w:p w14:paraId="4B1D72B3" w14:textId="77777777" w:rsidR="00FD1A89" w:rsidRPr="004573CA" w:rsidRDefault="00FD1A89">
      <w:pPr>
        <w:spacing w:line="276" w:lineRule="auto"/>
        <w:ind w:left="-2"/>
        <w:jc w:val="center"/>
        <w:rPr>
          <w:sz w:val="4"/>
          <w:szCs w:val="4"/>
          <w:lang w:val="en-GB"/>
        </w:rPr>
      </w:pPr>
    </w:p>
    <w:p w14:paraId="43C60AF4" w14:textId="77777777" w:rsidR="00FD1A89" w:rsidRPr="004573CA" w:rsidRDefault="00FD1A89">
      <w:pPr>
        <w:spacing w:line="276" w:lineRule="auto"/>
        <w:ind w:left="-2"/>
        <w:jc w:val="center"/>
        <w:rPr>
          <w:sz w:val="4"/>
          <w:szCs w:val="4"/>
          <w:lang w:val="en-GB"/>
        </w:rPr>
      </w:pPr>
    </w:p>
    <w:p w14:paraId="1F9F08E3" w14:textId="77777777" w:rsidR="00FD1A89" w:rsidRPr="004573CA" w:rsidRDefault="00FD1A89">
      <w:pPr>
        <w:spacing w:line="276" w:lineRule="auto"/>
        <w:ind w:left="-2"/>
        <w:jc w:val="center"/>
        <w:rPr>
          <w:sz w:val="4"/>
          <w:szCs w:val="4"/>
          <w:lang w:val="en-GB"/>
        </w:rPr>
      </w:pPr>
    </w:p>
    <w:p w14:paraId="3324A290" w14:textId="77777777" w:rsidR="00FD1A89" w:rsidRPr="004573CA" w:rsidRDefault="00FD1A89">
      <w:pPr>
        <w:spacing w:line="276" w:lineRule="auto"/>
        <w:ind w:left="-2"/>
        <w:jc w:val="center"/>
        <w:rPr>
          <w:sz w:val="4"/>
          <w:szCs w:val="4"/>
          <w:lang w:val="en-GB"/>
        </w:rPr>
      </w:pPr>
    </w:p>
    <w:p w14:paraId="1F7D4DB3" w14:textId="77777777" w:rsidR="00FD1A89" w:rsidRPr="004573CA" w:rsidRDefault="00FD1A89">
      <w:pPr>
        <w:spacing w:line="276" w:lineRule="auto"/>
        <w:ind w:left="-2"/>
        <w:jc w:val="center"/>
        <w:rPr>
          <w:sz w:val="4"/>
          <w:szCs w:val="4"/>
          <w:lang w:val="en-GB"/>
        </w:rPr>
      </w:pPr>
    </w:p>
    <w:p w14:paraId="251A8846" w14:textId="77777777" w:rsidR="00FD1A89" w:rsidRPr="004573CA" w:rsidRDefault="00FD1A89">
      <w:pPr>
        <w:spacing w:line="276" w:lineRule="auto"/>
        <w:ind w:left="-2"/>
        <w:jc w:val="center"/>
        <w:rPr>
          <w:sz w:val="4"/>
          <w:szCs w:val="4"/>
          <w:lang w:val="en-GB"/>
        </w:rPr>
      </w:pPr>
    </w:p>
    <w:p w14:paraId="05EA9A68" w14:textId="77777777" w:rsidR="00FD1A89" w:rsidRDefault="00D35081">
      <w:pPr>
        <w:ind w:left="1" w:hanging="3"/>
        <w:jc w:val="center"/>
        <w:rPr>
          <w:b/>
          <w:sz w:val="32"/>
          <w:szCs w:val="32"/>
          <w:lang w:val="en-GB"/>
        </w:rPr>
      </w:pPr>
      <w:bookmarkStart w:id="15" w:name="_Toc200485958"/>
      <w:r w:rsidRPr="004573CA">
        <w:rPr>
          <w:b/>
          <w:sz w:val="32"/>
          <w:szCs w:val="32"/>
          <w:lang w:val="en-GB"/>
        </w:rPr>
        <w:t>Candidates:</w:t>
      </w:r>
      <w:bookmarkEnd w:id="15"/>
    </w:p>
    <w:p w14:paraId="06D8204D" w14:textId="44625796" w:rsidR="001D167A" w:rsidRPr="004573CA" w:rsidRDefault="00E10507">
      <w:pPr>
        <w:ind w:left="1" w:hanging="3"/>
        <w:jc w:val="center"/>
        <w:rPr>
          <w:sz w:val="32"/>
          <w:szCs w:val="32"/>
          <w:lang w:val="en-GB"/>
        </w:rPr>
      </w:pPr>
      <w:r>
        <w:rPr>
          <w:b/>
          <w:sz w:val="32"/>
          <w:szCs w:val="32"/>
          <w:lang w:val="en-GB"/>
        </w:rPr>
        <w:t>Ms. BENLAMRI Sabrina</w:t>
      </w:r>
    </w:p>
    <w:p w14:paraId="34144526" w14:textId="77777777" w:rsidR="005F4510" w:rsidRDefault="005F4510" w:rsidP="0079619A">
      <w:pPr>
        <w:ind w:left="1" w:hanging="3"/>
        <w:jc w:val="center"/>
        <w:rPr>
          <w:b/>
          <w:sz w:val="32"/>
          <w:szCs w:val="32"/>
          <w:lang w:val="en-GB"/>
        </w:rPr>
      </w:pPr>
      <w:bookmarkStart w:id="16" w:name="_Toc200485959"/>
      <w:r>
        <w:rPr>
          <w:b/>
          <w:sz w:val="32"/>
          <w:szCs w:val="32"/>
          <w:lang w:val="en-GB"/>
        </w:rPr>
        <w:t xml:space="preserve">Ms. BOUCHLALEG </w:t>
      </w:r>
      <w:proofErr w:type="spellStart"/>
      <w:r>
        <w:rPr>
          <w:b/>
          <w:sz w:val="32"/>
          <w:szCs w:val="32"/>
          <w:lang w:val="en-GB"/>
        </w:rPr>
        <w:t>Warda</w:t>
      </w:r>
      <w:proofErr w:type="spellEnd"/>
    </w:p>
    <w:bookmarkEnd w:id="16"/>
    <w:p w14:paraId="14324B5F" w14:textId="36786909" w:rsidR="00FD1A89" w:rsidRDefault="00FD1A89" w:rsidP="0079619A">
      <w:pPr>
        <w:ind w:left="1" w:hanging="3"/>
        <w:jc w:val="center"/>
        <w:rPr>
          <w:b/>
          <w:sz w:val="32"/>
          <w:szCs w:val="32"/>
          <w:lang w:val="en-GB"/>
        </w:rPr>
      </w:pPr>
    </w:p>
    <w:p w14:paraId="30F19D4C" w14:textId="0E1E8195" w:rsidR="00E45420" w:rsidRDefault="00E45420" w:rsidP="001D167A">
      <w:pPr>
        <w:ind w:left="1" w:hanging="3"/>
        <w:rPr>
          <w:b/>
          <w:sz w:val="32"/>
          <w:szCs w:val="32"/>
          <w:lang w:val="en-GB"/>
        </w:rPr>
      </w:pPr>
    </w:p>
    <w:p w14:paraId="6465BC2F" w14:textId="77777777" w:rsidR="00FD1A89" w:rsidRPr="004573CA" w:rsidRDefault="00FD1A89" w:rsidP="00E45420">
      <w:pPr>
        <w:rPr>
          <w:sz w:val="32"/>
          <w:szCs w:val="32"/>
          <w:lang w:val="en-GB"/>
        </w:rPr>
      </w:pPr>
    </w:p>
    <w:p w14:paraId="2DF14F7C" w14:textId="77777777" w:rsidR="00FD1A89" w:rsidRPr="004573CA" w:rsidRDefault="00D35081">
      <w:pPr>
        <w:ind w:left="1" w:hanging="3"/>
        <w:jc w:val="center"/>
        <w:rPr>
          <w:sz w:val="32"/>
          <w:szCs w:val="32"/>
          <w:lang w:val="en-GB"/>
        </w:rPr>
      </w:pPr>
      <w:bookmarkStart w:id="17" w:name="_Toc200485960"/>
      <w:r w:rsidRPr="004573CA">
        <w:rPr>
          <w:b/>
          <w:sz w:val="32"/>
          <w:szCs w:val="32"/>
          <w:lang w:val="en-GB"/>
        </w:rPr>
        <w:t>Board of Examiners</w:t>
      </w:r>
      <w:bookmarkEnd w:id="17"/>
    </w:p>
    <w:p w14:paraId="1D831DEB" w14:textId="77777777" w:rsidR="00FD1A89" w:rsidRPr="004573CA" w:rsidRDefault="00FD1A89">
      <w:pPr>
        <w:ind w:left="1" w:hanging="3"/>
        <w:rPr>
          <w:sz w:val="32"/>
          <w:szCs w:val="32"/>
          <w:lang w:val="en-GB"/>
        </w:rPr>
      </w:pPr>
    </w:p>
    <w:p w14:paraId="4A1F79FE" w14:textId="77777777" w:rsidR="00FD1A89" w:rsidRPr="004573CA" w:rsidRDefault="00FD1A89">
      <w:pPr>
        <w:ind w:left="1" w:hanging="3"/>
        <w:rPr>
          <w:sz w:val="32"/>
          <w:szCs w:val="32"/>
          <w:lang w:val="en-GB"/>
        </w:rPr>
      </w:pPr>
    </w:p>
    <w:tbl>
      <w:tblPr>
        <w:tblStyle w:val="a"/>
        <w:tblW w:w="9922" w:type="dxa"/>
        <w:tblInd w:w="8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464"/>
        <w:gridCol w:w="4474"/>
        <w:gridCol w:w="1984"/>
      </w:tblGrid>
      <w:tr w:rsidR="00FD1A89" w:rsidRPr="004573CA" w14:paraId="2AC32E1E" w14:textId="77777777" w:rsidTr="00E568F9">
        <w:tc>
          <w:tcPr>
            <w:tcW w:w="3464" w:type="dxa"/>
            <w:vAlign w:val="center"/>
          </w:tcPr>
          <w:p w14:paraId="3497D2E6" w14:textId="73D48BB8" w:rsidR="00FD1A89" w:rsidRPr="004E4E04" w:rsidRDefault="00E9702A">
            <w:pPr>
              <w:pBdr>
                <w:top w:val="nil"/>
                <w:left w:val="nil"/>
                <w:bottom w:val="nil"/>
                <w:right w:val="nil"/>
                <w:between w:val="nil"/>
              </w:pBdr>
              <w:spacing w:line="276" w:lineRule="auto"/>
              <w:ind w:left="1" w:hanging="3"/>
              <w:rPr>
                <w:color w:val="000000"/>
                <w:sz w:val="30"/>
                <w:szCs w:val="30"/>
              </w:rPr>
            </w:pPr>
            <w:bookmarkStart w:id="18" w:name="_Toc200485961"/>
            <w:proofErr w:type="spellStart"/>
            <w:r>
              <w:rPr>
                <w:rFonts w:ascii="Times" w:eastAsia="Times" w:hAnsi="Times" w:cs="Times"/>
                <w:color w:val="000000"/>
                <w:sz w:val="30"/>
                <w:szCs w:val="30"/>
                <w:lang w:val="en-GB"/>
              </w:rPr>
              <w:t>Dr</w:t>
            </w:r>
            <w:r w:rsidR="00D35081" w:rsidRPr="004573CA">
              <w:rPr>
                <w:rFonts w:ascii="Times" w:eastAsia="Times" w:hAnsi="Times" w:cs="Times"/>
                <w:color w:val="000000"/>
                <w:sz w:val="30"/>
                <w:szCs w:val="30"/>
                <w:lang w:val="en-GB"/>
              </w:rPr>
              <w:t>.</w:t>
            </w:r>
            <w:bookmarkEnd w:id="18"/>
            <w:proofErr w:type="spellEnd"/>
            <w:r>
              <w:rPr>
                <w:rFonts w:ascii="Times" w:eastAsia="Times" w:hAnsi="Times" w:cs="Times"/>
                <w:color w:val="000000"/>
                <w:sz w:val="30"/>
                <w:szCs w:val="30"/>
                <w:lang w:val="en-GB"/>
              </w:rPr>
              <w:t xml:space="preserve"> </w:t>
            </w:r>
            <w:r w:rsidR="004E4E04">
              <w:rPr>
                <w:rFonts w:ascii="Times" w:eastAsia="Times" w:hAnsi="Times" w:cs="Times"/>
                <w:color w:val="000000"/>
                <w:sz w:val="30"/>
                <w:szCs w:val="30"/>
                <w:lang w:val="en-GB"/>
              </w:rPr>
              <w:t>DJ</w:t>
            </w:r>
            <w:r w:rsidR="004E4E04">
              <w:rPr>
                <w:rFonts w:ascii="Times" w:eastAsia="Times" w:hAnsi="Times" w:cs="Times"/>
                <w:color w:val="000000"/>
                <w:sz w:val="30"/>
                <w:szCs w:val="30"/>
              </w:rPr>
              <w:t xml:space="preserve">AALAB </w:t>
            </w:r>
            <w:proofErr w:type="spellStart"/>
            <w:r w:rsidR="004E4E04">
              <w:rPr>
                <w:rFonts w:ascii="Times" w:eastAsia="Times" w:hAnsi="Times" w:cs="Times"/>
                <w:color w:val="000000"/>
                <w:sz w:val="30"/>
                <w:szCs w:val="30"/>
              </w:rPr>
              <w:t>Ilhem</w:t>
            </w:r>
            <w:proofErr w:type="spellEnd"/>
          </w:p>
        </w:tc>
        <w:tc>
          <w:tcPr>
            <w:tcW w:w="4474" w:type="dxa"/>
            <w:vAlign w:val="center"/>
          </w:tcPr>
          <w:p w14:paraId="3F82A24A" w14:textId="77777777" w:rsidR="00FD1A89" w:rsidRPr="004573CA" w:rsidRDefault="00D35081">
            <w:pPr>
              <w:pBdr>
                <w:top w:val="nil"/>
                <w:left w:val="nil"/>
                <w:bottom w:val="nil"/>
                <w:right w:val="nil"/>
                <w:between w:val="nil"/>
              </w:pBdr>
              <w:spacing w:line="276" w:lineRule="auto"/>
              <w:ind w:left="1" w:hanging="3"/>
              <w:rPr>
                <w:color w:val="000000"/>
                <w:sz w:val="30"/>
                <w:szCs w:val="30"/>
                <w:lang w:val="en-GB"/>
              </w:rPr>
            </w:pPr>
            <w:bookmarkStart w:id="19" w:name="_Toc200485962"/>
            <w:r w:rsidRPr="004573CA">
              <w:rPr>
                <w:color w:val="000000"/>
                <w:sz w:val="30"/>
                <w:szCs w:val="30"/>
                <w:lang w:val="en-GB"/>
              </w:rPr>
              <w:t xml:space="preserve">University </w:t>
            </w:r>
            <w:r w:rsidRPr="004573CA">
              <w:rPr>
                <w:rFonts w:ascii="Times" w:eastAsia="Times" w:hAnsi="Times" w:cs="Times"/>
                <w:color w:val="000000"/>
                <w:sz w:val="30"/>
                <w:szCs w:val="30"/>
                <w:lang w:val="en-GB"/>
              </w:rPr>
              <w:t xml:space="preserve">of </w:t>
            </w:r>
            <w:proofErr w:type="spellStart"/>
            <w:r w:rsidRPr="004573CA">
              <w:rPr>
                <w:rFonts w:ascii="Times" w:eastAsia="Times" w:hAnsi="Times" w:cs="Times"/>
                <w:color w:val="000000"/>
                <w:sz w:val="30"/>
                <w:szCs w:val="30"/>
                <w:lang w:val="en-GB"/>
              </w:rPr>
              <w:t>M’sila</w:t>
            </w:r>
            <w:bookmarkEnd w:id="19"/>
            <w:proofErr w:type="spellEnd"/>
          </w:p>
        </w:tc>
        <w:tc>
          <w:tcPr>
            <w:tcW w:w="1984" w:type="dxa"/>
            <w:vAlign w:val="center"/>
          </w:tcPr>
          <w:p w14:paraId="1198B778" w14:textId="77777777" w:rsidR="00FD1A89" w:rsidRPr="004573CA" w:rsidRDefault="00D35081">
            <w:pPr>
              <w:pBdr>
                <w:top w:val="nil"/>
                <w:left w:val="nil"/>
                <w:bottom w:val="nil"/>
                <w:right w:val="nil"/>
                <w:between w:val="nil"/>
              </w:pBdr>
              <w:spacing w:line="276" w:lineRule="auto"/>
              <w:ind w:left="1" w:hanging="3"/>
              <w:rPr>
                <w:color w:val="000000"/>
                <w:sz w:val="30"/>
                <w:szCs w:val="30"/>
                <w:lang w:val="en-GB"/>
              </w:rPr>
            </w:pPr>
            <w:bookmarkStart w:id="20" w:name="_Toc200485963"/>
            <w:r w:rsidRPr="004573CA">
              <w:rPr>
                <w:color w:val="000000"/>
                <w:sz w:val="30"/>
                <w:szCs w:val="30"/>
                <w:lang w:val="en-GB"/>
              </w:rPr>
              <w:t>Chairperson</w:t>
            </w:r>
            <w:bookmarkEnd w:id="20"/>
          </w:p>
        </w:tc>
      </w:tr>
      <w:tr w:rsidR="00FD1A89" w:rsidRPr="004573CA" w14:paraId="70C45351" w14:textId="77777777" w:rsidTr="00E568F9">
        <w:trPr>
          <w:trHeight w:val="400"/>
        </w:trPr>
        <w:tc>
          <w:tcPr>
            <w:tcW w:w="3464" w:type="dxa"/>
            <w:vAlign w:val="center"/>
          </w:tcPr>
          <w:p w14:paraId="1CCCFF3B" w14:textId="026FED93" w:rsidR="00FD1A89" w:rsidRPr="004573CA" w:rsidRDefault="00E9702A">
            <w:pPr>
              <w:pBdr>
                <w:top w:val="nil"/>
                <w:left w:val="nil"/>
                <w:bottom w:val="nil"/>
                <w:right w:val="nil"/>
                <w:between w:val="nil"/>
              </w:pBdr>
              <w:spacing w:line="276" w:lineRule="auto"/>
              <w:ind w:left="1" w:hanging="3"/>
              <w:rPr>
                <w:color w:val="000000"/>
                <w:sz w:val="30"/>
                <w:szCs w:val="30"/>
                <w:lang w:val="en-GB"/>
              </w:rPr>
            </w:pPr>
            <w:bookmarkStart w:id="21" w:name="_Toc200485964"/>
            <w:proofErr w:type="spellStart"/>
            <w:r>
              <w:rPr>
                <w:rFonts w:ascii="Times" w:eastAsia="Times" w:hAnsi="Times" w:cs="Times"/>
                <w:color w:val="000000"/>
                <w:sz w:val="30"/>
                <w:szCs w:val="30"/>
                <w:lang w:val="en-GB"/>
              </w:rPr>
              <w:t>Dr</w:t>
            </w:r>
            <w:r w:rsidR="00D35081" w:rsidRPr="004573CA">
              <w:rPr>
                <w:rFonts w:ascii="Times" w:eastAsia="Times" w:hAnsi="Times" w:cs="Times"/>
                <w:color w:val="000000"/>
                <w:sz w:val="30"/>
                <w:szCs w:val="30"/>
                <w:lang w:val="en-GB"/>
              </w:rPr>
              <w:t>.</w:t>
            </w:r>
            <w:proofErr w:type="spellEnd"/>
            <w:r w:rsidR="00D35081" w:rsidRPr="004573CA">
              <w:rPr>
                <w:rFonts w:ascii="Times" w:eastAsia="Times" w:hAnsi="Times" w:cs="Times"/>
                <w:color w:val="000000"/>
                <w:sz w:val="30"/>
                <w:szCs w:val="30"/>
                <w:lang w:val="en-GB"/>
              </w:rPr>
              <w:t xml:space="preserve"> </w:t>
            </w:r>
            <w:r w:rsidR="00AE2F96">
              <w:rPr>
                <w:rFonts w:ascii="Times" w:eastAsia="Times" w:hAnsi="Times" w:cs="Times"/>
                <w:color w:val="000000"/>
                <w:sz w:val="30"/>
                <w:szCs w:val="30"/>
                <w:lang w:val="en-GB"/>
              </w:rPr>
              <w:t>C</w:t>
            </w:r>
            <w:r w:rsidR="004E4E04">
              <w:rPr>
                <w:rFonts w:ascii="Times" w:eastAsia="Times" w:hAnsi="Times" w:cs="Times"/>
                <w:color w:val="000000"/>
                <w:sz w:val="30"/>
                <w:szCs w:val="30"/>
                <w:lang w:val="en-GB"/>
              </w:rPr>
              <w:t>HERIET</w:t>
            </w:r>
            <w:r w:rsidR="00AE2F96">
              <w:rPr>
                <w:rFonts w:ascii="Times" w:eastAsia="Times" w:hAnsi="Times" w:cs="Times"/>
                <w:color w:val="000000"/>
                <w:sz w:val="30"/>
                <w:szCs w:val="30"/>
                <w:lang w:val="en-GB"/>
              </w:rPr>
              <w:t xml:space="preserve"> </w:t>
            </w:r>
            <w:proofErr w:type="spellStart"/>
            <w:r w:rsidR="00AE2F96">
              <w:rPr>
                <w:rFonts w:ascii="Times" w:eastAsia="Times" w:hAnsi="Times" w:cs="Times"/>
                <w:color w:val="000000"/>
                <w:sz w:val="30"/>
                <w:szCs w:val="30"/>
                <w:lang w:val="en-GB"/>
              </w:rPr>
              <w:t>Imene</w:t>
            </w:r>
            <w:bookmarkEnd w:id="21"/>
            <w:proofErr w:type="spellEnd"/>
          </w:p>
        </w:tc>
        <w:tc>
          <w:tcPr>
            <w:tcW w:w="4474" w:type="dxa"/>
            <w:vAlign w:val="center"/>
          </w:tcPr>
          <w:p w14:paraId="7F683519" w14:textId="77777777" w:rsidR="00FD1A89" w:rsidRPr="004573CA" w:rsidRDefault="00D35081">
            <w:pPr>
              <w:pBdr>
                <w:top w:val="nil"/>
                <w:left w:val="nil"/>
                <w:bottom w:val="nil"/>
                <w:right w:val="nil"/>
                <w:between w:val="nil"/>
              </w:pBdr>
              <w:spacing w:line="276" w:lineRule="auto"/>
              <w:ind w:left="1" w:hanging="3"/>
              <w:rPr>
                <w:color w:val="000000"/>
                <w:sz w:val="30"/>
                <w:szCs w:val="30"/>
                <w:lang w:val="en-GB"/>
              </w:rPr>
            </w:pPr>
            <w:bookmarkStart w:id="22" w:name="_Toc200485965"/>
            <w:r w:rsidRPr="004573CA">
              <w:rPr>
                <w:color w:val="000000"/>
                <w:sz w:val="30"/>
                <w:szCs w:val="30"/>
                <w:lang w:val="en-GB"/>
              </w:rPr>
              <w:t xml:space="preserve">University of </w:t>
            </w:r>
            <w:proofErr w:type="spellStart"/>
            <w:r w:rsidRPr="004573CA">
              <w:rPr>
                <w:color w:val="000000"/>
                <w:sz w:val="30"/>
                <w:szCs w:val="30"/>
                <w:lang w:val="en-GB"/>
              </w:rPr>
              <w:t>M’sila</w:t>
            </w:r>
            <w:bookmarkEnd w:id="22"/>
            <w:proofErr w:type="spellEnd"/>
          </w:p>
        </w:tc>
        <w:tc>
          <w:tcPr>
            <w:tcW w:w="1984" w:type="dxa"/>
            <w:vAlign w:val="center"/>
          </w:tcPr>
          <w:p w14:paraId="5BCA08E6" w14:textId="77777777" w:rsidR="00FD1A89" w:rsidRPr="004573CA" w:rsidRDefault="00D35081">
            <w:pPr>
              <w:pBdr>
                <w:top w:val="nil"/>
                <w:left w:val="nil"/>
                <w:bottom w:val="nil"/>
                <w:right w:val="nil"/>
                <w:between w:val="nil"/>
              </w:pBdr>
              <w:spacing w:line="276" w:lineRule="auto"/>
              <w:ind w:left="1" w:hanging="3"/>
              <w:rPr>
                <w:color w:val="000000"/>
                <w:sz w:val="30"/>
                <w:szCs w:val="30"/>
                <w:lang w:val="en-GB"/>
              </w:rPr>
            </w:pPr>
            <w:bookmarkStart w:id="23" w:name="_Toc200485966"/>
            <w:r w:rsidRPr="004573CA">
              <w:rPr>
                <w:color w:val="000000"/>
                <w:sz w:val="30"/>
                <w:szCs w:val="30"/>
                <w:lang w:val="en-GB"/>
              </w:rPr>
              <w:t>Supervisor</w:t>
            </w:r>
            <w:bookmarkEnd w:id="23"/>
          </w:p>
        </w:tc>
      </w:tr>
      <w:tr w:rsidR="00FD1A89" w:rsidRPr="004573CA" w14:paraId="7021E2D3" w14:textId="77777777" w:rsidTr="00E568F9">
        <w:tc>
          <w:tcPr>
            <w:tcW w:w="3464" w:type="dxa"/>
            <w:vAlign w:val="center"/>
          </w:tcPr>
          <w:p w14:paraId="36BD3C9E" w14:textId="195C5FD1" w:rsidR="00FD1A89" w:rsidRPr="004573CA" w:rsidRDefault="00E9702A">
            <w:pPr>
              <w:pBdr>
                <w:top w:val="nil"/>
                <w:left w:val="nil"/>
                <w:bottom w:val="nil"/>
                <w:right w:val="nil"/>
                <w:between w:val="nil"/>
              </w:pBdr>
              <w:spacing w:line="276" w:lineRule="auto"/>
              <w:ind w:left="1" w:hanging="3"/>
              <w:rPr>
                <w:color w:val="000000"/>
                <w:sz w:val="30"/>
                <w:szCs w:val="30"/>
                <w:lang w:val="en-GB"/>
              </w:rPr>
            </w:pPr>
            <w:bookmarkStart w:id="24" w:name="_Toc200485967"/>
            <w:proofErr w:type="spellStart"/>
            <w:r>
              <w:rPr>
                <w:rFonts w:ascii="Times" w:eastAsia="Times" w:hAnsi="Times" w:cs="Times"/>
                <w:color w:val="000000"/>
                <w:sz w:val="30"/>
                <w:szCs w:val="30"/>
                <w:lang w:val="en-GB"/>
              </w:rPr>
              <w:t>D</w:t>
            </w:r>
            <w:r w:rsidR="00D35081" w:rsidRPr="004573CA">
              <w:rPr>
                <w:rFonts w:ascii="Times" w:eastAsia="Times" w:hAnsi="Times" w:cs="Times"/>
                <w:color w:val="000000"/>
                <w:sz w:val="30"/>
                <w:szCs w:val="30"/>
                <w:lang w:val="en-GB"/>
              </w:rPr>
              <w:t>r.</w:t>
            </w:r>
            <w:bookmarkEnd w:id="24"/>
            <w:proofErr w:type="spellEnd"/>
            <w:r>
              <w:rPr>
                <w:rFonts w:ascii="Times" w:eastAsia="Times" w:hAnsi="Times" w:cs="Times"/>
                <w:color w:val="000000"/>
                <w:sz w:val="30"/>
                <w:szCs w:val="30"/>
                <w:lang w:val="en-GB"/>
              </w:rPr>
              <w:t xml:space="preserve"> </w:t>
            </w:r>
            <w:r w:rsidR="004E4E04">
              <w:rPr>
                <w:rFonts w:ascii="Times" w:eastAsia="Times" w:hAnsi="Times" w:cs="Times"/>
                <w:color w:val="000000"/>
                <w:sz w:val="30"/>
                <w:szCs w:val="30"/>
                <w:lang w:val="en-GB"/>
              </w:rPr>
              <w:t>LADJEL</w:t>
            </w:r>
            <w:r>
              <w:rPr>
                <w:rFonts w:ascii="Times" w:eastAsia="Times" w:hAnsi="Times" w:cs="Times"/>
                <w:color w:val="000000"/>
                <w:sz w:val="30"/>
                <w:szCs w:val="30"/>
                <w:lang w:val="en-GB"/>
              </w:rPr>
              <w:t xml:space="preserve"> </w:t>
            </w:r>
            <w:proofErr w:type="spellStart"/>
            <w:r w:rsidR="004E4E04">
              <w:rPr>
                <w:rFonts w:ascii="Times" w:eastAsia="Times" w:hAnsi="Times" w:cs="Times"/>
                <w:color w:val="000000"/>
                <w:sz w:val="30"/>
                <w:szCs w:val="30"/>
                <w:lang w:val="en-GB"/>
              </w:rPr>
              <w:t>Karima</w:t>
            </w:r>
            <w:proofErr w:type="spellEnd"/>
          </w:p>
        </w:tc>
        <w:tc>
          <w:tcPr>
            <w:tcW w:w="4474" w:type="dxa"/>
            <w:vAlign w:val="center"/>
          </w:tcPr>
          <w:p w14:paraId="14CB4C59" w14:textId="77777777" w:rsidR="00FD1A89" w:rsidRPr="004573CA" w:rsidRDefault="00D35081">
            <w:pPr>
              <w:pBdr>
                <w:top w:val="nil"/>
                <w:left w:val="nil"/>
                <w:bottom w:val="nil"/>
                <w:right w:val="nil"/>
                <w:between w:val="nil"/>
              </w:pBdr>
              <w:spacing w:line="276" w:lineRule="auto"/>
              <w:ind w:left="1" w:hanging="3"/>
              <w:rPr>
                <w:color w:val="000000"/>
                <w:sz w:val="30"/>
                <w:szCs w:val="30"/>
                <w:lang w:val="en-GB"/>
              </w:rPr>
            </w:pPr>
            <w:bookmarkStart w:id="25" w:name="_Toc200485968"/>
            <w:r w:rsidRPr="004573CA">
              <w:rPr>
                <w:color w:val="000000"/>
                <w:sz w:val="30"/>
                <w:szCs w:val="30"/>
                <w:lang w:val="en-GB"/>
              </w:rPr>
              <w:t xml:space="preserve">University of </w:t>
            </w:r>
            <w:proofErr w:type="spellStart"/>
            <w:r w:rsidRPr="004573CA">
              <w:rPr>
                <w:color w:val="000000"/>
                <w:sz w:val="30"/>
                <w:szCs w:val="30"/>
                <w:lang w:val="en-GB"/>
              </w:rPr>
              <w:t>M’sila</w:t>
            </w:r>
            <w:bookmarkEnd w:id="25"/>
            <w:proofErr w:type="spellEnd"/>
          </w:p>
        </w:tc>
        <w:tc>
          <w:tcPr>
            <w:tcW w:w="1984" w:type="dxa"/>
            <w:vAlign w:val="center"/>
          </w:tcPr>
          <w:p w14:paraId="563CA8BB" w14:textId="77777777" w:rsidR="00FD1A89" w:rsidRPr="004573CA" w:rsidRDefault="00D35081">
            <w:pPr>
              <w:pBdr>
                <w:top w:val="nil"/>
                <w:left w:val="nil"/>
                <w:bottom w:val="nil"/>
                <w:right w:val="nil"/>
                <w:between w:val="nil"/>
              </w:pBdr>
              <w:spacing w:line="276" w:lineRule="auto"/>
              <w:ind w:left="1" w:hanging="3"/>
              <w:rPr>
                <w:color w:val="000000"/>
                <w:sz w:val="30"/>
                <w:szCs w:val="30"/>
                <w:lang w:val="en-GB"/>
              </w:rPr>
            </w:pPr>
            <w:bookmarkStart w:id="26" w:name="_Toc200485969"/>
            <w:r w:rsidRPr="004573CA">
              <w:rPr>
                <w:color w:val="000000"/>
                <w:sz w:val="30"/>
                <w:szCs w:val="30"/>
                <w:lang w:val="en-GB"/>
              </w:rPr>
              <w:t>Examiner</w:t>
            </w:r>
            <w:bookmarkEnd w:id="26"/>
          </w:p>
        </w:tc>
      </w:tr>
    </w:tbl>
    <w:p w14:paraId="7A6EC515" w14:textId="77777777" w:rsidR="00FD1A89" w:rsidRPr="004573CA" w:rsidRDefault="00FD1A89" w:rsidP="0071427D">
      <w:pPr>
        <w:spacing w:before="120" w:line="276" w:lineRule="auto"/>
        <w:rPr>
          <w:sz w:val="28"/>
          <w:szCs w:val="28"/>
          <w:lang w:val="en-GB"/>
        </w:rPr>
      </w:pPr>
    </w:p>
    <w:p w14:paraId="73176B15" w14:textId="77777777" w:rsidR="00737138" w:rsidRDefault="00D35081" w:rsidP="00F06C29">
      <w:pPr>
        <w:spacing w:before="120" w:line="480" w:lineRule="auto"/>
        <w:ind w:left="1" w:hanging="3"/>
        <w:jc w:val="center"/>
        <w:rPr>
          <w:b/>
          <w:sz w:val="28"/>
          <w:szCs w:val="28"/>
          <w:lang w:val="en-GB"/>
        </w:rPr>
        <w:sectPr w:rsidR="00737138" w:rsidSect="007C3B06">
          <w:headerReference w:type="even" r:id="rId10"/>
          <w:headerReference w:type="default" r:id="rId11"/>
          <w:footerReference w:type="even" r:id="rId12"/>
          <w:footerReference w:type="default" r:id="rId13"/>
          <w:headerReference w:type="first" r:id="rId14"/>
          <w:footerReference w:type="first" r:id="rId15"/>
          <w:pgSz w:w="11907" w:h="16840"/>
          <w:pgMar w:top="301" w:right="301" w:bottom="301" w:left="301" w:header="0" w:footer="0" w:gutter="0"/>
          <w:pgBorders w:offsetFrom="page">
            <w:top w:val="twistedLines1" w:sz="18" w:space="24" w:color="auto"/>
            <w:left w:val="twistedLines1" w:sz="18" w:space="24" w:color="auto"/>
            <w:bottom w:val="twistedLines1" w:sz="18" w:space="24" w:color="auto"/>
            <w:right w:val="twistedLines1" w:sz="18" w:space="24" w:color="auto"/>
          </w:pgBorders>
          <w:pgNumType w:start="1"/>
          <w:cols w:space="720"/>
          <w:titlePg/>
          <w:docGrid w:linePitch="326"/>
        </w:sectPr>
      </w:pPr>
      <w:bookmarkStart w:id="27" w:name="_Toc200485970"/>
      <w:r w:rsidRPr="004573CA">
        <w:rPr>
          <w:b/>
          <w:sz w:val="28"/>
          <w:szCs w:val="28"/>
          <w:lang w:val="en-GB"/>
        </w:rPr>
        <w:t>202</w:t>
      </w:r>
      <w:r w:rsidR="00F06C29">
        <w:rPr>
          <w:b/>
          <w:sz w:val="28"/>
          <w:szCs w:val="28"/>
          <w:lang w:val="en-GB"/>
        </w:rPr>
        <w:t>5</w:t>
      </w:r>
      <w:bookmarkEnd w:id="27"/>
    </w:p>
    <w:p w14:paraId="45D7E489" w14:textId="26334336" w:rsidR="00737138" w:rsidRPr="002D5A9B" w:rsidRDefault="00737138" w:rsidP="00AB445D">
      <w:pPr>
        <w:pStyle w:val="Titre1"/>
        <w:jc w:val="center"/>
      </w:pPr>
      <w:bookmarkStart w:id="28" w:name="_Toc200485971"/>
      <w:r w:rsidRPr="002D5A9B">
        <w:lastRenderedPageBreak/>
        <w:t>Dedication</w:t>
      </w:r>
      <w:bookmarkEnd w:id="28"/>
      <w:r w:rsidR="00C613CB">
        <w:t>s</w:t>
      </w:r>
    </w:p>
    <w:p w14:paraId="06672A13" w14:textId="77777777" w:rsidR="00737138" w:rsidRDefault="00737138" w:rsidP="00693421">
      <w:pPr>
        <w:spacing w:line="480" w:lineRule="auto"/>
        <w:ind w:hanging="2"/>
        <w:jc w:val="center"/>
        <w:rPr>
          <w:rFonts w:asciiTheme="majorBidi" w:hAnsiTheme="majorBidi" w:cstheme="majorBidi"/>
          <w:b/>
          <w:bCs/>
        </w:rPr>
      </w:pPr>
    </w:p>
    <w:p w14:paraId="2744CC3D" w14:textId="155BFAC2" w:rsidR="00C613CB" w:rsidRDefault="00C613CB" w:rsidP="00C613CB">
      <w:pPr>
        <w:spacing w:line="480" w:lineRule="auto"/>
        <w:ind w:left="-2" w:firstLineChars="236" w:firstLine="566"/>
        <w:jc w:val="center"/>
        <w:rPr>
          <w:rFonts w:asciiTheme="majorBidi" w:hAnsiTheme="majorBidi" w:cstheme="majorBidi"/>
        </w:rPr>
      </w:pPr>
      <w:bookmarkStart w:id="29" w:name="_Toc200485972"/>
      <w:r>
        <w:rPr>
          <w:rFonts w:asciiTheme="majorBidi" w:hAnsiTheme="majorBidi" w:cstheme="majorBidi"/>
        </w:rPr>
        <w:t>In the name of Allah, the most Gracious, the most Merciful</w:t>
      </w:r>
    </w:p>
    <w:p w14:paraId="38A286E8" w14:textId="227F0475" w:rsidR="00C613CB" w:rsidRDefault="00C613CB" w:rsidP="00993C5E">
      <w:pPr>
        <w:spacing w:line="480" w:lineRule="auto"/>
        <w:ind w:left="-2" w:firstLineChars="236" w:firstLine="566"/>
        <w:jc w:val="both"/>
        <w:rPr>
          <w:rFonts w:asciiTheme="majorBidi" w:hAnsiTheme="majorBidi" w:cstheme="majorBidi"/>
        </w:rPr>
      </w:pPr>
      <w:r>
        <w:rPr>
          <w:rFonts w:asciiTheme="majorBidi" w:hAnsiTheme="majorBidi" w:cstheme="majorBidi"/>
        </w:rPr>
        <w:t>I am honored to dedicate t</w:t>
      </w:r>
      <w:r w:rsidR="000D5FA7">
        <w:rPr>
          <w:rFonts w:asciiTheme="majorBidi" w:hAnsiTheme="majorBidi" w:cstheme="majorBidi"/>
        </w:rPr>
        <w:t xml:space="preserve">his dissertation </w:t>
      </w:r>
      <w:r w:rsidR="009A6818">
        <w:rPr>
          <w:rFonts w:asciiTheme="majorBidi" w:hAnsiTheme="majorBidi" w:cstheme="majorBidi"/>
        </w:rPr>
        <w:t xml:space="preserve">to all those who </w:t>
      </w:r>
      <w:r w:rsidR="00693421">
        <w:rPr>
          <w:rFonts w:asciiTheme="majorBidi" w:hAnsiTheme="majorBidi" w:cstheme="majorBidi"/>
        </w:rPr>
        <w:t xml:space="preserve">supported </w:t>
      </w:r>
      <w:r>
        <w:rPr>
          <w:rFonts w:asciiTheme="majorBidi" w:hAnsiTheme="majorBidi" w:cstheme="majorBidi"/>
        </w:rPr>
        <w:t>me</w:t>
      </w:r>
      <w:r w:rsidR="00693421">
        <w:rPr>
          <w:rFonts w:asciiTheme="majorBidi" w:hAnsiTheme="majorBidi" w:cstheme="majorBidi"/>
        </w:rPr>
        <w:t xml:space="preserve"> to complete </w:t>
      </w:r>
      <w:r>
        <w:rPr>
          <w:rFonts w:asciiTheme="majorBidi" w:hAnsiTheme="majorBidi" w:cstheme="majorBidi"/>
        </w:rPr>
        <w:t>my</w:t>
      </w:r>
      <w:r w:rsidR="00693421">
        <w:rPr>
          <w:rFonts w:asciiTheme="majorBidi" w:hAnsiTheme="majorBidi" w:cstheme="majorBidi"/>
        </w:rPr>
        <w:t xml:space="preserve"> humble work. To </w:t>
      </w:r>
      <w:r>
        <w:rPr>
          <w:rFonts w:asciiTheme="majorBidi" w:hAnsiTheme="majorBidi" w:cstheme="majorBidi"/>
        </w:rPr>
        <w:t>my beloved</w:t>
      </w:r>
      <w:r w:rsidR="00693421">
        <w:rPr>
          <w:rFonts w:asciiTheme="majorBidi" w:hAnsiTheme="majorBidi" w:cstheme="majorBidi"/>
        </w:rPr>
        <w:t xml:space="preserve"> parents</w:t>
      </w:r>
      <w:r>
        <w:rPr>
          <w:rFonts w:asciiTheme="majorBidi" w:hAnsiTheme="majorBidi" w:cstheme="majorBidi"/>
        </w:rPr>
        <w:t xml:space="preserve">, BENLAMRI Nadir and BENLAMRI </w:t>
      </w:r>
      <w:proofErr w:type="spellStart"/>
      <w:r>
        <w:rPr>
          <w:rFonts w:asciiTheme="majorBidi" w:hAnsiTheme="majorBidi" w:cstheme="majorBidi"/>
        </w:rPr>
        <w:t>Warda</w:t>
      </w:r>
      <w:proofErr w:type="spellEnd"/>
      <w:r>
        <w:rPr>
          <w:rFonts w:asciiTheme="majorBidi" w:hAnsiTheme="majorBidi" w:cstheme="majorBidi"/>
        </w:rPr>
        <w:t>,</w:t>
      </w:r>
      <w:r w:rsidR="00693421">
        <w:rPr>
          <w:rFonts w:asciiTheme="majorBidi" w:hAnsiTheme="majorBidi" w:cstheme="majorBidi"/>
        </w:rPr>
        <w:t xml:space="preserve"> for their endless love</w:t>
      </w:r>
      <w:r w:rsidR="001D2F6D">
        <w:rPr>
          <w:rFonts w:asciiTheme="majorBidi" w:hAnsiTheme="majorBidi" w:cstheme="majorBidi"/>
        </w:rPr>
        <w:t xml:space="preserve">, </w:t>
      </w:r>
      <w:r w:rsidR="00693421">
        <w:rPr>
          <w:rFonts w:asciiTheme="majorBidi" w:hAnsiTheme="majorBidi" w:cstheme="majorBidi"/>
        </w:rPr>
        <w:t>pray</w:t>
      </w:r>
      <w:r w:rsidR="001D2F6D">
        <w:rPr>
          <w:rFonts w:asciiTheme="majorBidi" w:hAnsiTheme="majorBidi" w:cstheme="majorBidi"/>
        </w:rPr>
        <w:t xml:space="preserve"> and the strength to realize </w:t>
      </w:r>
      <w:r>
        <w:rPr>
          <w:rFonts w:asciiTheme="majorBidi" w:hAnsiTheme="majorBidi" w:cstheme="majorBidi"/>
        </w:rPr>
        <w:t>my</w:t>
      </w:r>
      <w:r w:rsidR="001D2F6D">
        <w:rPr>
          <w:rFonts w:asciiTheme="majorBidi" w:hAnsiTheme="majorBidi" w:cstheme="majorBidi"/>
        </w:rPr>
        <w:t xml:space="preserve"> dreams</w:t>
      </w:r>
      <w:r w:rsidR="00693421">
        <w:rPr>
          <w:rFonts w:asciiTheme="majorBidi" w:hAnsiTheme="majorBidi" w:cstheme="majorBidi"/>
        </w:rPr>
        <w:t>, siblings, family</w:t>
      </w:r>
      <w:r w:rsidR="0039241D">
        <w:rPr>
          <w:rFonts w:asciiTheme="majorBidi" w:hAnsiTheme="majorBidi" w:cstheme="majorBidi"/>
        </w:rPr>
        <w:t>, colleagues</w:t>
      </w:r>
      <w:r w:rsidR="00693421">
        <w:rPr>
          <w:rFonts w:asciiTheme="majorBidi" w:hAnsiTheme="majorBidi" w:cstheme="majorBidi"/>
        </w:rPr>
        <w:t xml:space="preserve"> and supervisor. </w:t>
      </w:r>
    </w:p>
    <w:p w14:paraId="3EC5C743" w14:textId="6DA3F5D6" w:rsidR="00737138" w:rsidRDefault="00693421" w:rsidP="00993C5E">
      <w:pPr>
        <w:spacing w:line="480" w:lineRule="auto"/>
        <w:ind w:left="-2" w:firstLineChars="236" w:firstLine="566"/>
        <w:jc w:val="both"/>
        <w:rPr>
          <w:rFonts w:asciiTheme="majorBidi" w:hAnsiTheme="majorBidi" w:cstheme="majorBidi"/>
        </w:rPr>
      </w:pPr>
      <w:r>
        <w:rPr>
          <w:rFonts w:asciiTheme="majorBidi" w:hAnsiTheme="majorBidi" w:cstheme="majorBidi"/>
        </w:rPr>
        <w:t>A special dedication to my husband</w:t>
      </w:r>
      <w:r w:rsidR="00C613CB">
        <w:rPr>
          <w:rFonts w:asciiTheme="majorBidi" w:hAnsiTheme="majorBidi" w:cstheme="majorBidi"/>
        </w:rPr>
        <w:t>, LEBOUAZDA Ibrahim,</w:t>
      </w:r>
      <w:r>
        <w:rPr>
          <w:rFonts w:asciiTheme="majorBidi" w:hAnsiTheme="majorBidi" w:cstheme="majorBidi"/>
        </w:rPr>
        <w:t xml:space="preserve"> whose patience and encouragement made this possible, and my children, </w:t>
      </w:r>
      <w:proofErr w:type="spellStart"/>
      <w:r>
        <w:rPr>
          <w:rFonts w:asciiTheme="majorBidi" w:hAnsiTheme="majorBidi" w:cstheme="majorBidi"/>
        </w:rPr>
        <w:t>Mouataz</w:t>
      </w:r>
      <w:proofErr w:type="spellEnd"/>
      <w:r>
        <w:rPr>
          <w:rFonts w:asciiTheme="majorBidi" w:hAnsiTheme="majorBidi" w:cstheme="majorBidi"/>
        </w:rPr>
        <w:t xml:space="preserve"> and </w:t>
      </w:r>
      <w:proofErr w:type="spellStart"/>
      <w:r>
        <w:rPr>
          <w:rFonts w:asciiTheme="majorBidi" w:hAnsiTheme="majorBidi" w:cstheme="majorBidi"/>
        </w:rPr>
        <w:t>Meyssam</w:t>
      </w:r>
      <w:proofErr w:type="spellEnd"/>
      <w:r>
        <w:rPr>
          <w:rFonts w:asciiTheme="majorBidi" w:hAnsiTheme="majorBidi" w:cstheme="majorBidi"/>
        </w:rPr>
        <w:t xml:space="preserve">, </w:t>
      </w:r>
      <w:r w:rsidR="001167F3">
        <w:rPr>
          <w:rFonts w:asciiTheme="majorBidi" w:hAnsiTheme="majorBidi" w:cstheme="majorBidi"/>
        </w:rPr>
        <w:t>the source of</w:t>
      </w:r>
      <w:r w:rsidR="002F24D4">
        <w:rPr>
          <w:rFonts w:asciiTheme="majorBidi" w:hAnsiTheme="majorBidi" w:cstheme="majorBidi"/>
        </w:rPr>
        <w:t xml:space="preserve"> endless</w:t>
      </w:r>
      <w:r w:rsidR="001167F3">
        <w:rPr>
          <w:rFonts w:asciiTheme="majorBidi" w:hAnsiTheme="majorBidi" w:cstheme="majorBidi"/>
        </w:rPr>
        <w:t xml:space="preserve"> joy.  To all those who believe in the power of learning and hard work.</w:t>
      </w:r>
      <w:bookmarkEnd w:id="29"/>
    </w:p>
    <w:p w14:paraId="13BECD30" w14:textId="176FE515" w:rsidR="00C613CB" w:rsidRDefault="00C613CB" w:rsidP="00C613CB">
      <w:pPr>
        <w:spacing w:line="480" w:lineRule="auto"/>
        <w:ind w:left="-2" w:firstLineChars="236" w:firstLine="566"/>
        <w:jc w:val="right"/>
        <w:rPr>
          <w:rFonts w:asciiTheme="majorBidi" w:hAnsiTheme="majorBidi" w:cstheme="majorBidi"/>
        </w:rPr>
      </w:pPr>
      <w:r>
        <w:rPr>
          <w:rFonts w:asciiTheme="majorBidi" w:hAnsiTheme="majorBidi" w:cstheme="majorBidi"/>
        </w:rPr>
        <w:t>By Ms. BENLAMRI Sabrina</w:t>
      </w:r>
    </w:p>
    <w:p w14:paraId="2950ABAA" w14:textId="77777777" w:rsidR="003304AD" w:rsidRDefault="003304AD" w:rsidP="00C613CB">
      <w:pPr>
        <w:spacing w:line="480" w:lineRule="auto"/>
        <w:ind w:left="-2" w:firstLineChars="236" w:firstLine="566"/>
        <w:jc w:val="right"/>
        <w:rPr>
          <w:rFonts w:asciiTheme="majorBidi" w:hAnsiTheme="majorBidi" w:cstheme="majorBidi"/>
        </w:rPr>
      </w:pPr>
    </w:p>
    <w:p w14:paraId="295DDB27" w14:textId="77777777" w:rsidR="00C613CB" w:rsidRDefault="00C613CB" w:rsidP="00C613CB">
      <w:pPr>
        <w:spacing w:line="480" w:lineRule="auto"/>
        <w:ind w:left="-2" w:firstLineChars="236" w:firstLine="566"/>
        <w:jc w:val="right"/>
        <w:rPr>
          <w:rFonts w:asciiTheme="majorBidi" w:hAnsiTheme="majorBidi" w:cstheme="majorBidi"/>
        </w:rPr>
      </w:pPr>
    </w:p>
    <w:p w14:paraId="619B1BC9" w14:textId="77777777" w:rsidR="00C613CB" w:rsidRDefault="00C613CB" w:rsidP="00C613CB">
      <w:pPr>
        <w:spacing w:line="480" w:lineRule="auto"/>
        <w:ind w:left="-2" w:firstLineChars="236" w:firstLine="566"/>
        <w:jc w:val="right"/>
        <w:rPr>
          <w:rFonts w:asciiTheme="majorBidi" w:hAnsiTheme="majorBidi" w:cstheme="majorBidi"/>
        </w:rPr>
      </w:pPr>
    </w:p>
    <w:p w14:paraId="4AD70506" w14:textId="77777777" w:rsidR="00113048" w:rsidRDefault="00113048" w:rsidP="00C613CB">
      <w:pPr>
        <w:spacing w:line="480" w:lineRule="auto"/>
        <w:ind w:left="-2" w:firstLineChars="236" w:firstLine="566"/>
        <w:jc w:val="right"/>
        <w:rPr>
          <w:rFonts w:asciiTheme="majorBidi" w:hAnsiTheme="majorBidi" w:cstheme="majorBidi"/>
        </w:rPr>
      </w:pPr>
    </w:p>
    <w:p w14:paraId="3746B086" w14:textId="77777777" w:rsidR="00113048" w:rsidRDefault="00113048" w:rsidP="00C613CB">
      <w:pPr>
        <w:spacing w:line="480" w:lineRule="auto"/>
        <w:ind w:left="-2" w:firstLineChars="236" w:firstLine="566"/>
        <w:jc w:val="right"/>
        <w:rPr>
          <w:rFonts w:asciiTheme="majorBidi" w:hAnsiTheme="majorBidi" w:cstheme="majorBidi"/>
        </w:rPr>
      </w:pPr>
    </w:p>
    <w:p w14:paraId="3C54CE99" w14:textId="77777777" w:rsidR="00113048" w:rsidRDefault="00113048" w:rsidP="00C613CB">
      <w:pPr>
        <w:spacing w:line="480" w:lineRule="auto"/>
        <w:ind w:left="-2" w:firstLineChars="236" w:firstLine="566"/>
        <w:jc w:val="right"/>
        <w:rPr>
          <w:rFonts w:asciiTheme="majorBidi" w:hAnsiTheme="majorBidi" w:cstheme="majorBidi"/>
        </w:rPr>
      </w:pPr>
    </w:p>
    <w:p w14:paraId="71B41C87" w14:textId="77777777" w:rsidR="00113048" w:rsidRDefault="00113048" w:rsidP="00C613CB">
      <w:pPr>
        <w:spacing w:line="480" w:lineRule="auto"/>
        <w:ind w:left="-2" w:firstLineChars="236" w:firstLine="566"/>
        <w:jc w:val="right"/>
        <w:rPr>
          <w:rFonts w:asciiTheme="majorBidi" w:hAnsiTheme="majorBidi" w:cstheme="majorBidi"/>
        </w:rPr>
      </w:pPr>
    </w:p>
    <w:p w14:paraId="04E19197" w14:textId="77777777" w:rsidR="00113048" w:rsidRDefault="00113048" w:rsidP="00C613CB">
      <w:pPr>
        <w:spacing w:line="480" w:lineRule="auto"/>
        <w:ind w:left="-2" w:firstLineChars="236" w:firstLine="566"/>
        <w:jc w:val="right"/>
        <w:rPr>
          <w:rFonts w:asciiTheme="majorBidi" w:hAnsiTheme="majorBidi" w:cstheme="majorBidi"/>
        </w:rPr>
      </w:pPr>
    </w:p>
    <w:p w14:paraId="41BFC95A" w14:textId="77777777" w:rsidR="00113048" w:rsidRDefault="00113048" w:rsidP="00C613CB">
      <w:pPr>
        <w:spacing w:line="480" w:lineRule="auto"/>
        <w:ind w:left="-2" w:firstLineChars="236" w:firstLine="566"/>
        <w:jc w:val="right"/>
        <w:rPr>
          <w:rFonts w:asciiTheme="majorBidi" w:hAnsiTheme="majorBidi" w:cstheme="majorBidi"/>
        </w:rPr>
      </w:pPr>
    </w:p>
    <w:p w14:paraId="0B5EFDB6" w14:textId="77777777" w:rsidR="00113048" w:rsidRDefault="00113048" w:rsidP="00C613CB">
      <w:pPr>
        <w:spacing w:line="480" w:lineRule="auto"/>
        <w:ind w:left="-2" w:firstLineChars="236" w:firstLine="566"/>
        <w:jc w:val="right"/>
        <w:rPr>
          <w:rFonts w:asciiTheme="majorBidi" w:hAnsiTheme="majorBidi" w:cstheme="majorBidi"/>
        </w:rPr>
      </w:pPr>
    </w:p>
    <w:p w14:paraId="3969EDFA" w14:textId="77777777" w:rsidR="00113048" w:rsidRDefault="00113048" w:rsidP="00C613CB">
      <w:pPr>
        <w:spacing w:line="480" w:lineRule="auto"/>
        <w:ind w:left="-2" w:firstLineChars="236" w:firstLine="566"/>
        <w:jc w:val="right"/>
        <w:rPr>
          <w:rFonts w:asciiTheme="majorBidi" w:hAnsiTheme="majorBidi" w:cstheme="majorBidi"/>
        </w:rPr>
      </w:pPr>
    </w:p>
    <w:p w14:paraId="0EE75047" w14:textId="77777777" w:rsidR="00113048" w:rsidRDefault="00113048" w:rsidP="00C613CB">
      <w:pPr>
        <w:spacing w:line="480" w:lineRule="auto"/>
        <w:ind w:left="-2" w:firstLineChars="236" w:firstLine="566"/>
        <w:jc w:val="right"/>
        <w:rPr>
          <w:rFonts w:asciiTheme="majorBidi" w:hAnsiTheme="majorBidi" w:cstheme="majorBidi"/>
        </w:rPr>
      </w:pPr>
    </w:p>
    <w:p w14:paraId="08B299CF" w14:textId="77777777" w:rsidR="00113048" w:rsidRPr="002D5A9B" w:rsidRDefault="00113048" w:rsidP="00113048">
      <w:pPr>
        <w:pStyle w:val="Titre1"/>
        <w:jc w:val="center"/>
      </w:pPr>
      <w:r w:rsidRPr="002D5A9B">
        <w:lastRenderedPageBreak/>
        <w:t>Dedication</w:t>
      </w:r>
      <w:r>
        <w:t>s</w:t>
      </w:r>
    </w:p>
    <w:p w14:paraId="271A2008" w14:textId="5937931A" w:rsidR="00C613CB" w:rsidRDefault="003304AD" w:rsidP="003304AD">
      <w:pPr>
        <w:spacing w:line="480" w:lineRule="auto"/>
        <w:ind w:firstLine="567"/>
        <w:jc w:val="both"/>
        <w:rPr>
          <w:rFonts w:asciiTheme="majorBidi" w:hAnsiTheme="majorBidi" w:cstheme="majorBidi"/>
        </w:rPr>
      </w:pPr>
      <w:r w:rsidRPr="003304AD">
        <w:rPr>
          <w:rFonts w:asciiTheme="majorBidi" w:hAnsiTheme="majorBidi" w:cstheme="majorBidi"/>
        </w:rPr>
        <w:t xml:space="preserve">This thesis </w:t>
      </w:r>
      <w:proofErr w:type="gramStart"/>
      <w:r w:rsidRPr="003304AD">
        <w:rPr>
          <w:rFonts w:asciiTheme="majorBidi" w:hAnsiTheme="majorBidi" w:cstheme="majorBidi"/>
        </w:rPr>
        <w:t>is dedicated</w:t>
      </w:r>
      <w:proofErr w:type="gramEnd"/>
      <w:r w:rsidRPr="003304AD">
        <w:rPr>
          <w:rFonts w:asciiTheme="majorBidi" w:hAnsiTheme="majorBidi" w:cstheme="majorBidi"/>
        </w:rPr>
        <w:t xml:space="preserve"> to all those who provided the support needed to bring this work to completion, family, colleagues, our university instructors of didactics and applied languages, and our supervisor who provided essential guidance during this research.</w:t>
      </w:r>
    </w:p>
    <w:p w14:paraId="3998A48B" w14:textId="77777777" w:rsidR="003304AD" w:rsidRDefault="003304AD" w:rsidP="003304AD">
      <w:pPr>
        <w:spacing w:line="480" w:lineRule="auto"/>
        <w:ind w:firstLine="567"/>
        <w:jc w:val="both"/>
        <w:rPr>
          <w:rFonts w:asciiTheme="majorBidi" w:hAnsiTheme="majorBidi" w:cstheme="majorBidi"/>
        </w:rPr>
      </w:pPr>
    </w:p>
    <w:p w14:paraId="3A19E5CE" w14:textId="6C61C8B2" w:rsidR="003304AD" w:rsidRPr="000D5FA7" w:rsidRDefault="003304AD" w:rsidP="003304AD">
      <w:pPr>
        <w:spacing w:line="480" w:lineRule="auto"/>
        <w:ind w:firstLine="567"/>
        <w:jc w:val="right"/>
        <w:rPr>
          <w:rFonts w:asciiTheme="majorBidi" w:hAnsiTheme="majorBidi" w:cstheme="majorBidi"/>
        </w:rPr>
      </w:pPr>
      <w:r>
        <w:rPr>
          <w:rFonts w:asciiTheme="majorBidi" w:hAnsiTheme="majorBidi" w:cstheme="majorBidi"/>
        </w:rPr>
        <w:t xml:space="preserve">By Ms. BOUCHLALEG </w:t>
      </w:r>
      <w:proofErr w:type="spellStart"/>
      <w:r>
        <w:rPr>
          <w:rFonts w:asciiTheme="majorBidi" w:hAnsiTheme="majorBidi" w:cstheme="majorBidi"/>
        </w:rPr>
        <w:t>Warda</w:t>
      </w:r>
      <w:proofErr w:type="spellEnd"/>
    </w:p>
    <w:p w14:paraId="7FBB957D" w14:textId="77777777" w:rsidR="00737138" w:rsidRDefault="00737138" w:rsidP="003304AD">
      <w:pPr>
        <w:spacing w:line="480" w:lineRule="auto"/>
        <w:ind w:hanging="2"/>
        <w:jc w:val="both"/>
        <w:rPr>
          <w:rFonts w:asciiTheme="majorBidi" w:hAnsiTheme="majorBidi" w:cstheme="majorBidi"/>
          <w:b/>
          <w:bCs/>
        </w:rPr>
      </w:pPr>
    </w:p>
    <w:p w14:paraId="1CC7AF72" w14:textId="77777777" w:rsidR="00737138" w:rsidRDefault="00737138" w:rsidP="00693421">
      <w:pPr>
        <w:spacing w:line="480" w:lineRule="auto"/>
        <w:ind w:hanging="2"/>
        <w:jc w:val="center"/>
        <w:rPr>
          <w:rFonts w:asciiTheme="majorBidi" w:hAnsiTheme="majorBidi" w:cstheme="majorBidi"/>
          <w:b/>
          <w:bCs/>
        </w:rPr>
      </w:pPr>
    </w:p>
    <w:p w14:paraId="761F31D5" w14:textId="77777777" w:rsidR="00737138" w:rsidRDefault="00737138" w:rsidP="00737138">
      <w:pPr>
        <w:ind w:hanging="2"/>
        <w:jc w:val="center"/>
        <w:rPr>
          <w:rFonts w:asciiTheme="majorBidi" w:hAnsiTheme="majorBidi" w:cstheme="majorBidi"/>
          <w:b/>
          <w:bCs/>
        </w:rPr>
      </w:pPr>
    </w:p>
    <w:p w14:paraId="4E0BF192" w14:textId="77777777" w:rsidR="00113048" w:rsidRDefault="00113048" w:rsidP="00737138">
      <w:pPr>
        <w:ind w:hanging="2"/>
        <w:jc w:val="center"/>
        <w:rPr>
          <w:rFonts w:asciiTheme="majorBidi" w:hAnsiTheme="majorBidi" w:cstheme="majorBidi"/>
          <w:b/>
          <w:bCs/>
        </w:rPr>
      </w:pPr>
    </w:p>
    <w:p w14:paraId="05FA514F" w14:textId="77777777" w:rsidR="00113048" w:rsidRDefault="00113048" w:rsidP="00737138">
      <w:pPr>
        <w:ind w:hanging="2"/>
        <w:jc w:val="center"/>
        <w:rPr>
          <w:rFonts w:asciiTheme="majorBidi" w:hAnsiTheme="majorBidi" w:cstheme="majorBidi"/>
          <w:b/>
          <w:bCs/>
        </w:rPr>
      </w:pPr>
    </w:p>
    <w:p w14:paraId="082BEFDD" w14:textId="77777777" w:rsidR="00113048" w:rsidRDefault="00113048" w:rsidP="00737138">
      <w:pPr>
        <w:ind w:hanging="2"/>
        <w:jc w:val="center"/>
        <w:rPr>
          <w:rFonts w:asciiTheme="majorBidi" w:hAnsiTheme="majorBidi" w:cstheme="majorBidi"/>
          <w:b/>
          <w:bCs/>
        </w:rPr>
      </w:pPr>
    </w:p>
    <w:p w14:paraId="753F020F" w14:textId="77777777" w:rsidR="00113048" w:rsidRDefault="00113048" w:rsidP="00737138">
      <w:pPr>
        <w:ind w:hanging="2"/>
        <w:jc w:val="center"/>
        <w:rPr>
          <w:rFonts w:asciiTheme="majorBidi" w:hAnsiTheme="majorBidi" w:cstheme="majorBidi"/>
          <w:b/>
          <w:bCs/>
        </w:rPr>
      </w:pPr>
    </w:p>
    <w:p w14:paraId="4047B818" w14:textId="77777777" w:rsidR="00113048" w:rsidRDefault="00113048" w:rsidP="00737138">
      <w:pPr>
        <w:ind w:hanging="2"/>
        <w:jc w:val="center"/>
        <w:rPr>
          <w:rFonts w:asciiTheme="majorBidi" w:hAnsiTheme="majorBidi" w:cstheme="majorBidi"/>
          <w:b/>
          <w:bCs/>
        </w:rPr>
      </w:pPr>
    </w:p>
    <w:p w14:paraId="11FE9AD8" w14:textId="77777777" w:rsidR="00113048" w:rsidRDefault="00113048" w:rsidP="00737138">
      <w:pPr>
        <w:ind w:hanging="2"/>
        <w:jc w:val="center"/>
        <w:rPr>
          <w:rFonts w:asciiTheme="majorBidi" w:hAnsiTheme="majorBidi" w:cstheme="majorBidi"/>
          <w:b/>
          <w:bCs/>
        </w:rPr>
      </w:pPr>
    </w:p>
    <w:p w14:paraId="295050DB" w14:textId="77777777" w:rsidR="00113048" w:rsidRDefault="00113048" w:rsidP="00737138">
      <w:pPr>
        <w:ind w:hanging="2"/>
        <w:jc w:val="center"/>
        <w:rPr>
          <w:rFonts w:asciiTheme="majorBidi" w:hAnsiTheme="majorBidi" w:cstheme="majorBidi"/>
          <w:b/>
          <w:bCs/>
        </w:rPr>
      </w:pPr>
    </w:p>
    <w:p w14:paraId="2A87E882" w14:textId="77777777" w:rsidR="00113048" w:rsidRDefault="00113048" w:rsidP="00737138">
      <w:pPr>
        <w:ind w:hanging="2"/>
        <w:jc w:val="center"/>
        <w:rPr>
          <w:rFonts w:asciiTheme="majorBidi" w:hAnsiTheme="majorBidi" w:cstheme="majorBidi"/>
          <w:b/>
          <w:bCs/>
        </w:rPr>
      </w:pPr>
    </w:p>
    <w:p w14:paraId="12DA0456" w14:textId="77777777" w:rsidR="00113048" w:rsidRDefault="00113048" w:rsidP="00737138">
      <w:pPr>
        <w:ind w:hanging="2"/>
        <w:jc w:val="center"/>
        <w:rPr>
          <w:rFonts w:asciiTheme="majorBidi" w:hAnsiTheme="majorBidi" w:cstheme="majorBidi"/>
          <w:b/>
          <w:bCs/>
        </w:rPr>
      </w:pPr>
    </w:p>
    <w:p w14:paraId="009C26B5" w14:textId="77777777" w:rsidR="00113048" w:rsidRDefault="00113048" w:rsidP="00737138">
      <w:pPr>
        <w:ind w:hanging="2"/>
        <w:jc w:val="center"/>
        <w:rPr>
          <w:rFonts w:asciiTheme="majorBidi" w:hAnsiTheme="majorBidi" w:cstheme="majorBidi"/>
          <w:b/>
          <w:bCs/>
        </w:rPr>
      </w:pPr>
    </w:p>
    <w:p w14:paraId="7C034312" w14:textId="77777777" w:rsidR="00113048" w:rsidRDefault="00113048" w:rsidP="00737138">
      <w:pPr>
        <w:ind w:hanging="2"/>
        <w:jc w:val="center"/>
        <w:rPr>
          <w:rFonts w:asciiTheme="majorBidi" w:hAnsiTheme="majorBidi" w:cstheme="majorBidi"/>
          <w:b/>
          <w:bCs/>
        </w:rPr>
      </w:pPr>
    </w:p>
    <w:p w14:paraId="0A537185" w14:textId="77777777" w:rsidR="00113048" w:rsidRDefault="00113048" w:rsidP="00737138">
      <w:pPr>
        <w:ind w:hanging="2"/>
        <w:jc w:val="center"/>
        <w:rPr>
          <w:rFonts w:asciiTheme="majorBidi" w:hAnsiTheme="majorBidi" w:cstheme="majorBidi"/>
          <w:b/>
          <w:bCs/>
        </w:rPr>
      </w:pPr>
    </w:p>
    <w:p w14:paraId="530D5138" w14:textId="77777777" w:rsidR="00113048" w:rsidRDefault="00113048" w:rsidP="00737138">
      <w:pPr>
        <w:ind w:hanging="2"/>
        <w:jc w:val="center"/>
        <w:rPr>
          <w:rFonts w:asciiTheme="majorBidi" w:hAnsiTheme="majorBidi" w:cstheme="majorBidi"/>
          <w:b/>
          <w:bCs/>
        </w:rPr>
      </w:pPr>
    </w:p>
    <w:p w14:paraId="132F9104" w14:textId="77777777" w:rsidR="00113048" w:rsidRDefault="00113048" w:rsidP="00737138">
      <w:pPr>
        <w:ind w:hanging="2"/>
        <w:jc w:val="center"/>
        <w:rPr>
          <w:rFonts w:asciiTheme="majorBidi" w:hAnsiTheme="majorBidi" w:cstheme="majorBidi"/>
          <w:b/>
          <w:bCs/>
        </w:rPr>
      </w:pPr>
    </w:p>
    <w:p w14:paraId="461D4C59" w14:textId="77777777" w:rsidR="00113048" w:rsidRDefault="00113048" w:rsidP="00737138">
      <w:pPr>
        <w:ind w:hanging="2"/>
        <w:jc w:val="center"/>
        <w:rPr>
          <w:rFonts w:asciiTheme="majorBidi" w:hAnsiTheme="majorBidi" w:cstheme="majorBidi"/>
          <w:b/>
          <w:bCs/>
        </w:rPr>
      </w:pPr>
    </w:p>
    <w:p w14:paraId="38E7A4C0" w14:textId="77777777" w:rsidR="00113048" w:rsidRDefault="00113048" w:rsidP="00737138">
      <w:pPr>
        <w:ind w:hanging="2"/>
        <w:jc w:val="center"/>
        <w:rPr>
          <w:rFonts w:asciiTheme="majorBidi" w:hAnsiTheme="majorBidi" w:cstheme="majorBidi"/>
          <w:b/>
          <w:bCs/>
        </w:rPr>
      </w:pPr>
    </w:p>
    <w:p w14:paraId="362EA9C0" w14:textId="77777777" w:rsidR="00113048" w:rsidRDefault="00113048" w:rsidP="00737138">
      <w:pPr>
        <w:ind w:hanging="2"/>
        <w:jc w:val="center"/>
        <w:rPr>
          <w:rFonts w:asciiTheme="majorBidi" w:hAnsiTheme="majorBidi" w:cstheme="majorBidi"/>
          <w:b/>
          <w:bCs/>
        </w:rPr>
      </w:pPr>
    </w:p>
    <w:p w14:paraId="3A976E4A" w14:textId="77777777" w:rsidR="00113048" w:rsidRDefault="00113048" w:rsidP="00737138">
      <w:pPr>
        <w:ind w:hanging="2"/>
        <w:jc w:val="center"/>
        <w:rPr>
          <w:rFonts w:asciiTheme="majorBidi" w:hAnsiTheme="majorBidi" w:cstheme="majorBidi"/>
          <w:b/>
          <w:bCs/>
        </w:rPr>
      </w:pPr>
    </w:p>
    <w:p w14:paraId="5C547E62" w14:textId="77777777" w:rsidR="00113048" w:rsidRDefault="00113048" w:rsidP="00737138">
      <w:pPr>
        <w:ind w:hanging="2"/>
        <w:jc w:val="center"/>
        <w:rPr>
          <w:rFonts w:asciiTheme="majorBidi" w:hAnsiTheme="majorBidi" w:cstheme="majorBidi"/>
          <w:b/>
          <w:bCs/>
        </w:rPr>
      </w:pPr>
    </w:p>
    <w:p w14:paraId="6CA06A69" w14:textId="77777777" w:rsidR="00113048" w:rsidRDefault="00113048" w:rsidP="00737138">
      <w:pPr>
        <w:ind w:hanging="2"/>
        <w:jc w:val="center"/>
        <w:rPr>
          <w:rFonts w:asciiTheme="majorBidi" w:hAnsiTheme="majorBidi" w:cstheme="majorBidi"/>
          <w:b/>
          <w:bCs/>
        </w:rPr>
      </w:pPr>
    </w:p>
    <w:p w14:paraId="025D9F7C" w14:textId="77777777" w:rsidR="00113048" w:rsidRDefault="00113048" w:rsidP="00737138">
      <w:pPr>
        <w:ind w:hanging="2"/>
        <w:jc w:val="center"/>
        <w:rPr>
          <w:rFonts w:asciiTheme="majorBidi" w:hAnsiTheme="majorBidi" w:cstheme="majorBidi"/>
          <w:b/>
          <w:bCs/>
        </w:rPr>
      </w:pPr>
    </w:p>
    <w:p w14:paraId="3640B7C7" w14:textId="77777777" w:rsidR="00113048" w:rsidRDefault="00113048" w:rsidP="00737138">
      <w:pPr>
        <w:ind w:hanging="2"/>
        <w:jc w:val="center"/>
        <w:rPr>
          <w:rFonts w:asciiTheme="majorBidi" w:hAnsiTheme="majorBidi" w:cstheme="majorBidi"/>
          <w:b/>
          <w:bCs/>
        </w:rPr>
      </w:pPr>
    </w:p>
    <w:p w14:paraId="340B82CE" w14:textId="77777777" w:rsidR="00113048" w:rsidRDefault="00113048" w:rsidP="00737138">
      <w:pPr>
        <w:ind w:hanging="2"/>
        <w:jc w:val="center"/>
        <w:rPr>
          <w:rFonts w:asciiTheme="majorBidi" w:hAnsiTheme="majorBidi" w:cstheme="majorBidi"/>
          <w:b/>
          <w:bCs/>
        </w:rPr>
      </w:pPr>
    </w:p>
    <w:p w14:paraId="7B73CD1D" w14:textId="77777777" w:rsidR="00737138" w:rsidRDefault="00737138" w:rsidP="00737138">
      <w:pPr>
        <w:ind w:hanging="2"/>
        <w:jc w:val="center"/>
        <w:rPr>
          <w:rFonts w:asciiTheme="majorBidi" w:hAnsiTheme="majorBidi" w:cstheme="majorBidi"/>
          <w:b/>
          <w:bCs/>
        </w:rPr>
      </w:pPr>
    </w:p>
    <w:p w14:paraId="638BA8D1" w14:textId="77777777" w:rsidR="00737138" w:rsidRDefault="00737138" w:rsidP="00737138">
      <w:pPr>
        <w:ind w:hanging="2"/>
        <w:jc w:val="center"/>
        <w:rPr>
          <w:rFonts w:asciiTheme="majorBidi" w:hAnsiTheme="majorBidi" w:cstheme="majorBidi"/>
          <w:b/>
          <w:bCs/>
        </w:rPr>
      </w:pPr>
    </w:p>
    <w:p w14:paraId="2529CDA9" w14:textId="77777777" w:rsidR="00737138" w:rsidRDefault="00737138" w:rsidP="00737138">
      <w:pPr>
        <w:ind w:hanging="2"/>
        <w:jc w:val="center"/>
        <w:rPr>
          <w:rFonts w:asciiTheme="majorBidi" w:hAnsiTheme="majorBidi" w:cstheme="majorBidi"/>
          <w:b/>
          <w:bCs/>
        </w:rPr>
      </w:pPr>
    </w:p>
    <w:p w14:paraId="1CF2FE52" w14:textId="77777777" w:rsidR="00737138" w:rsidRDefault="00737138" w:rsidP="00737138">
      <w:pPr>
        <w:ind w:hanging="2"/>
        <w:jc w:val="center"/>
        <w:rPr>
          <w:rFonts w:asciiTheme="majorBidi" w:hAnsiTheme="majorBidi" w:cstheme="majorBidi"/>
          <w:b/>
          <w:bCs/>
        </w:rPr>
      </w:pPr>
    </w:p>
    <w:p w14:paraId="4C9AC745" w14:textId="77777777" w:rsidR="00737138" w:rsidRDefault="00737138" w:rsidP="00737138">
      <w:pPr>
        <w:ind w:hanging="2"/>
        <w:jc w:val="center"/>
        <w:rPr>
          <w:rFonts w:asciiTheme="majorBidi" w:hAnsiTheme="majorBidi" w:cstheme="majorBidi"/>
          <w:b/>
          <w:bCs/>
        </w:rPr>
      </w:pPr>
    </w:p>
    <w:p w14:paraId="47066CB2" w14:textId="2935DB3D" w:rsidR="00737138" w:rsidRPr="00291E2B" w:rsidRDefault="00737138" w:rsidP="00AA5DBF">
      <w:pPr>
        <w:pStyle w:val="Titre1"/>
      </w:pPr>
      <w:bookmarkStart w:id="30" w:name="_Toc200485973"/>
      <w:r w:rsidRPr="00C74032">
        <w:lastRenderedPageBreak/>
        <w:t>Acknowledgement</w:t>
      </w:r>
      <w:bookmarkEnd w:id="30"/>
    </w:p>
    <w:p w14:paraId="7397FBD3" w14:textId="77777777" w:rsidR="00F970FC" w:rsidRDefault="001D167A" w:rsidP="00D86BB4">
      <w:pPr>
        <w:spacing w:line="480" w:lineRule="auto"/>
        <w:ind w:left="-2" w:firstLineChars="236" w:firstLine="566"/>
        <w:jc w:val="both"/>
        <w:rPr>
          <w:rFonts w:asciiTheme="majorBidi" w:hAnsiTheme="majorBidi" w:cstheme="majorBidi"/>
        </w:rPr>
      </w:pPr>
      <w:bookmarkStart w:id="31" w:name="_Toc200485974"/>
      <w:r w:rsidRPr="001D167A">
        <w:rPr>
          <w:rFonts w:asciiTheme="majorBidi" w:hAnsiTheme="majorBidi" w:cstheme="majorBidi"/>
        </w:rPr>
        <w:t>We w</w:t>
      </w:r>
      <w:r>
        <w:rPr>
          <w:rFonts w:asciiTheme="majorBidi" w:hAnsiTheme="majorBidi" w:cstheme="majorBidi"/>
        </w:rPr>
        <w:t xml:space="preserve">ould like to express our deepest gratitude to our supervisor, Dr. </w:t>
      </w:r>
      <w:proofErr w:type="spellStart"/>
      <w:r w:rsidR="00E35C2D">
        <w:rPr>
          <w:rFonts w:asciiTheme="majorBidi" w:hAnsiTheme="majorBidi" w:cstheme="majorBidi"/>
        </w:rPr>
        <w:t>Cheriet</w:t>
      </w:r>
      <w:proofErr w:type="spellEnd"/>
      <w:r w:rsidR="00E35C2D">
        <w:rPr>
          <w:rFonts w:asciiTheme="majorBidi" w:hAnsiTheme="majorBidi" w:cstheme="majorBidi"/>
        </w:rPr>
        <w:t xml:space="preserve"> </w:t>
      </w:r>
      <w:proofErr w:type="spellStart"/>
      <w:r w:rsidR="00E35C2D">
        <w:rPr>
          <w:rFonts w:asciiTheme="majorBidi" w:hAnsiTheme="majorBidi" w:cstheme="majorBidi"/>
        </w:rPr>
        <w:t>Imene</w:t>
      </w:r>
      <w:proofErr w:type="spellEnd"/>
      <w:r>
        <w:rPr>
          <w:rFonts w:asciiTheme="majorBidi" w:hAnsiTheme="majorBidi" w:cstheme="majorBidi"/>
        </w:rPr>
        <w:t>, for her expert supervision, fruitful guidance, valuable recommendations</w:t>
      </w:r>
      <w:r w:rsidR="00BC58C5">
        <w:rPr>
          <w:rFonts w:asciiTheme="majorBidi" w:hAnsiTheme="majorBidi" w:cstheme="majorBidi"/>
        </w:rPr>
        <w:t xml:space="preserve"> and persistent motivation throughout this research.</w:t>
      </w:r>
      <w:bookmarkStart w:id="32" w:name="_Toc200485975"/>
      <w:bookmarkEnd w:id="31"/>
      <w:r w:rsidR="00F970FC">
        <w:rPr>
          <w:rFonts w:asciiTheme="majorBidi" w:hAnsiTheme="majorBidi" w:cstheme="majorBidi"/>
        </w:rPr>
        <w:t xml:space="preserve"> </w:t>
      </w:r>
    </w:p>
    <w:p w14:paraId="7CA0DCE4" w14:textId="4F7415D4" w:rsidR="00D86BB4" w:rsidRDefault="00BC58C5" w:rsidP="00D86BB4">
      <w:pPr>
        <w:spacing w:line="480" w:lineRule="auto"/>
        <w:ind w:left="-2" w:firstLineChars="236" w:firstLine="566"/>
        <w:jc w:val="both"/>
        <w:rPr>
          <w:rFonts w:asciiTheme="majorBidi" w:hAnsiTheme="majorBidi" w:cstheme="majorBidi"/>
        </w:rPr>
      </w:pPr>
      <w:r>
        <w:rPr>
          <w:rFonts w:asciiTheme="majorBidi" w:hAnsiTheme="majorBidi" w:cstheme="majorBidi"/>
        </w:rPr>
        <w:t xml:space="preserve">Special thanks to the </w:t>
      </w:r>
      <w:r w:rsidR="00910777">
        <w:rPr>
          <w:rFonts w:asciiTheme="majorBidi" w:hAnsiTheme="majorBidi" w:cstheme="majorBidi"/>
        </w:rPr>
        <w:t>H</w:t>
      </w:r>
      <w:r>
        <w:rPr>
          <w:rFonts w:asciiTheme="majorBidi" w:hAnsiTheme="majorBidi" w:cstheme="majorBidi"/>
        </w:rPr>
        <w:t xml:space="preserve">ead of the </w:t>
      </w:r>
      <w:r w:rsidR="00910777">
        <w:rPr>
          <w:rFonts w:asciiTheme="majorBidi" w:hAnsiTheme="majorBidi" w:cstheme="majorBidi"/>
        </w:rPr>
        <w:t>D</w:t>
      </w:r>
      <w:r>
        <w:rPr>
          <w:rFonts w:asciiTheme="majorBidi" w:hAnsiTheme="majorBidi" w:cstheme="majorBidi"/>
        </w:rPr>
        <w:t xml:space="preserve">epartment, Dr. </w:t>
      </w:r>
      <w:proofErr w:type="spellStart"/>
      <w:r>
        <w:rPr>
          <w:rFonts w:asciiTheme="majorBidi" w:hAnsiTheme="majorBidi" w:cstheme="majorBidi"/>
        </w:rPr>
        <w:t>Hamoudi</w:t>
      </w:r>
      <w:proofErr w:type="spellEnd"/>
      <w:r>
        <w:rPr>
          <w:rFonts w:asciiTheme="majorBidi" w:hAnsiTheme="majorBidi" w:cstheme="majorBidi"/>
        </w:rPr>
        <w:t xml:space="preserve"> </w:t>
      </w:r>
      <w:proofErr w:type="spellStart"/>
      <w:r>
        <w:rPr>
          <w:rFonts w:asciiTheme="majorBidi" w:hAnsiTheme="majorBidi" w:cstheme="majorBidi"/>
        </w:rPr>
        <w:t>Aboubaker</w:t>
      </w:r>
      <w:proofErr w:type="spellEnd"/>
      <w:r>
        <w:rPr>
          <w:rFonts w:asciiTheme="majorBidi" w:hAnsiTheme="majorBidi" w:cstheme="majorBidi"/>
        </w:rPr>
        <w:t xml:space="preserve">, </w:t>
      </w:r>
      <w:r w:rsidR="00A2779D">
        <w:rPr>
          <w:rFonts w:asciiTheme="majorBidi" w:hAnsiTheme="majorBidi" w:cstheme="majorBidi"/>
        </w:rPr>
        <w:t xml:space="preserve">for his continuous efforts </w:t>
      </w:r>
      <w:r>
        <w:rPr>
          <w:rFonts w:asciiTheme="majorBidi" w:hAnsiTheme="majorBidi" w:cstheme="majorBidi"/>
        </w:rPr>
        <w:t>to make Didactics Online Program effective and successful.</w:t>
      </w:r>
      <w:bookmarkStart w:id="33" w:name="_Toc200485976"/>
      <w:bookmarkEnd w:id="32"/>
    </w:p>
    <w:p w14:paraId="190DDE58" w14:textId="77777777" w:rsidR="00D86BB4" w:rsidRDefault="00097CF6" w:rsidP="00D86BB4">
      <w:pPr>
        <w:spacing w:line="480" w:lineRule="auto"/>
        <w:ind w:left="-2" w:firstLineChars="236" w:firstLine="566"/>
        <w:jc w:val="both"/>
        <w:rPr>
          <w:rFonts w:asciiTheme="majorBidi" w:hAnsiTheme="majorBidi" w:cstheme="majorBidi"/>
        </w:rPr>
      </w:pPr>
      <w:r>
        <w:rPr>
          <w:rFonts w:asciiTheme="majorBidi" w:hAnsiTheme="majorBidi" w:cstheme="majorBidi"/>
        </w:rPr>
        <w:t xml:space="preserve">We would also acknowledge our colleague and delegate, Mr. </w:t>
      </w:r>
      <w:proofErr w:type="spellStart"/>
      <w:r>
        <w:rPr>
          <w:rFonts w:asciiTheme="majorBidi" w:hAnsiTheme="majorBidi" w:cstheme="majorBidi"/>
        </w:rPr>
        <w:t>Bachir</w:t>
      </w:r>
      <w:proofErr w:type="spellEnd"/>
      <w:r>
        <w:rPr>
          <w:rFonts w:asciiTheme="majorBidi" w:hAnsiTheme="majorBidi" w:cstheme="majorBidi"/>
        </w:rPr>
        <w:t xml:space="preserve"> </w:t>
      </w:r>
      <w:proofErr w:type="spellStart"/>
      <w:r>
        <w:rPr>
          <w:rFonts w:asciiTheme="majorBidi" w:hAnsiTheme="majorBidi" w:cstheme="majorBidi"/>
        </w:rPr>
        <w:t>Haouache</w:t>
      </w:r>
      <w:proofErr w:type="spellEnd"/>
      <w:r>
        <w:rPr>
          <w:rFonts w:asciiTheme="majorBidi" w:hAnsiTheme="majorBidi" w:cstheme="majorBidi"/>
        </w:rPr>
        <w:t>, for his dedication, help and motivation throughout the two years.</w:t>
      </w:r>
      <w:bookmarkStart w:id="34" w:name="_Toc200485977"/>
      <w:bookmarkEnd w:id="33"/>
    </w:p>
    <w:p w14:paraId="683C796F" w14:textId="77777777" w:rsidR="00D86BB4" w:rsidRDefault="00BC58C5" w:rsidP="00D86BB4">
      <w:pPr>
        <w:spacing w:line="480" w:lineRule="auto"/>
        <w:ind w:left="-2" w:firstLineChars="236" w:firstLine="566"/>
        <w:jc w:val="both"/>
        <w:rPr>
          <w:rFonts w:asciiTheme="majorBidi" w:hAnsiTheme="majorBidi" w:cstheme="majorBidi"/>
        </w:rPr>
      </w:pPr>
      <w:r>
        <w:rPr>
          <w:rFonts w:asciiTheme="majorBidi" w:hAnsiTheme="majorBidi" w:cstheme="majorBidi"/>
        </w:rPr>
        <w:t>Our sincere thanks to the jury members who devoted their time to read</w:t>
      </w:r>
      <w:r w:rsidR="0066398F">
        <w:rPr>
          <w:rFonts w:asciiTheme="majorBidi" w:hAnsiTheme="majorBidi" w:cstheme="majorBidi"/>
        </w:rPr>
        <w:t xml:space="preserve"> and assess this work and </w:t>
      </w:r>
      <w:proofErr w:type="gramStart"/>
      <w:r w:rsidR="00A52829">
        <w:rPr>
          <w:rFonts w:asciiTheme="majorBidi" w:hAnsiTheme="majorBidi" w:cstheme="majorBidi"/>
        </w:rPr>
        <w:t xml:space="preserve">to </w:t>
      </w:r>
      <w:r w:rsidR="0066398F">
        <w:rPr>
          <w:rFonts w:asciiTheme="majorBidi" w:hAnsiTheme="majorBidi" w:cstheme="majorBidi"/>
        </w:rPr>
        <w:t>thoughtfully offer</w:t>
      </w:r>
      <w:proofErr w:type="gramEnd"/>
      <w:r w:rsidR="0066398F">
        <w:rPr>
          <w:rFonts w:asciiTheme="majorBidi" w:hAnsiTheme="majorBidi" w:cstheme="majorBidi"/>
        </w:rPr>
        <w:t xml:space="preserve"> constructive feedback.</w:t>
      </w:r>
      <w:bookmarkStart w:id="35" w:name="_Toc200485978"/>
      <w:bookmarkEnd w:id="34"/>
    </w:p>
    <w:p w14:paraId="37D58C65" w14:textId="4335361B" w:rsidR="00D86BB4" w:rsidRDefault="005E36E5" w:rsidP="00D86BB4">
      <w:pPr>
        <w:spacing w:line="480" w:lineRule="auto"/>
        <w:ind w:left="-2" w:firstLineChars="236" w:firstLine="566"/>
        <w:jc w:val="both"/>
        <w:rPr>
          <w:rFonts w:asciiTheme="majorBidi" w:hAnsiTheme="majorBidi" w:cstheme="majorBidi"/>
        </w:rPr>
      </w:pPr>
      <w:r>
        <w:rPr>
          <w:rFonts w:asciiTheme="majorBidi" w:hAnsiTheme="majorBidi" w:cstheme="majorBidi"/>
        </w:rPr>
        <w:t xml:space="preserve">In addition, </w:t>
      </w:r>
      <w:r w:rsidR="009D2274">
        <w:rPr>
          <w:rFonts w:asciiTheme="majorBidi" w:hAnsiTheme="majorBidi" w:cstheme="majorBidi"/>
        </w:rPr>
        <w:t>we</w:t>
      </w:r>
      <w:r w:rsidR="00A52829">
        <w:rPr>
          <w:rFonts w:asciiTheme="majorBidi" w:hAnsiTheme="majorBidi" w:cstheme="majorBidi"/>
        </w:rPr>
        <w:t xml:space="preserve"> are grateful to the inspector of English and the administrator of District 4 Online Community, </w:t>
      </w:r>
      <w:r>
        <w:rPr>
          <w:rFonts w:asciiTheme="majorBidi" w:hAnsiTheme="majorBidi" w:cstheme="majorBidi"/>
        </w:rPr>
        <w:t>Mr. O</w:t>
      </w:r>
      <w:r w:rsidR="004239F7">
        <w:rPr>
          <w:rFonts w:asciiTheme="majorBidi" w:hAnsiTheme="majorBidi" w:cstheme="majorBidi"/>
        </w:rPr>
        <w:t>THMANI KAMEL</w:t>
      </w:r>
      <w:r w:rsidR="00A52829">
        <w:rPr>
          <w:rFonts w:asciiTheme="majorBidi" w:hAnsiTheme="majorBidi" w:cstheme="majorBidi"/>
        </w:rPr>
        <w:t xml:space="preserve">, </w:t>
      </w:r>
      <w:r w:rsidR="00910447">
        <w:rPr>
          <w:rFonts w:asciiTheme="majorBidi" w:hAnsiTheme="majorBidi" w:cstheme="majorBidi"/>
        </w:rPr>
        <w:t xml:space="preserve">for his insightful knowledge and expertise, </w:t>
      </w:r>
      <w:r w:rsidR="00A52829">
        <w:rPr>
          <w:rFonts w:asciiTheme="majorBidi" w:hAnsiTheme="majorBidi" w:cstheme="majorBidi"/>
        </w:rPr>
        <w:t>and all the participants who made this study possible</w:t>
      </w:r>
      <w:r>
        <w:rPr>
          <w:rFonts w:asciiTheme="majorBidi" w:hAnsiTheme="majorBidi" w:cstheme="majorBidi"/>
        </w:rPr>
        <w:t>.</w:t>
      </w:r>
      <w:bookmarkStart w:id="36" w:name="_Toc200485979"/>
      <w:bookmarkEnd w:id="35"/>
    </w:p>
    <w:p w14:paraId="0D721EC3" w14:textId="7C432B00" w:rsidR="005E36E5" w:rsidRDefault="0088678F" w:rsidP="00D86BB4">
      <w:pPr>
        <w:spacing w:line="480" w:lineRule="auto"/>
        <w:ind w:left="-2" w:firstLineChars="236" w:firstLine="566"/>
        <w:jc w:val="both"/>
        <w:rPr>
          <w:rFonts w:asciiTheme="majorBidi" w:hAnsiTheme="majorBidi" w:cstheme="majorBidi"/>
        </w:rPr>
      </w:pPr>
      <w:r>
        <w:rPr>
          <w:rFonts w:asciiTheme="majorBidi" w:hAnsiTheme="majorBidi" w:cstheme="majorBidi"/>
        </w:rPr>
        <w:t xml:space="preserve">To conclude, </w:t>
      </w:r>
      <w:r w:rsidR="00097CF6">
        <w:rPr>
          <w:rFonts w:asciiTheme="majorBidi" w:hAnsiTheme="majorBidi" w:cstheme="majorBidi"/>
        </w:rPr>
        <w:t xml:space="preserve">we would thank all the staff at the Faculty of Letters and Languages Department of English of </w:t>
      </w:r>
      <w:proofErr w:type="spellStart"/>
      <w:r w:rsidR="00097CF6">
        <w:rPr>
          <w:rFonts w:asciiTheme="majorBidi" w:hAnsiTheme="majorBidi" w:cstheme="majorBidi"/>
        </w:rPr>
        <w:t>M’sila</w:t>
      </w:r>
      <w:proofErr w:type="spellEnd"/>
      <w:r w:rsidR="00097CF6">
        <w:rPr>
          <w:rFonts w:asciiTheme="majorBidi" w:hAnsiTheme="majorBidi" w:cstheme="majorBidi"/>
        </w:rPr>
        <w:t xml:space="preserve"> University.</w:t>
      </w:r>
      <w:bookmarkEnd w:id="36"/>
    </w:p>
    <w:p w14:paraId="3B698757" w14:textId="77777777" w:rsidR="005E36E5" w:rsidRDefault="005E36E5" w:rsidP="00D86BB4">
      <w:pPr>
        <w:ind w:hanging="2"/>
        <w:jc w:val="both"/>
        <w:rPr>
          <w:rFonts w:asciiTheme="majorBidi" w:hAnsiTheme="majorBidi" w:cstheme="majorBidi"/>
        </w:rPr>
      </w:pPr>
    </w:p>
    <w:p w14:paraId="7DA8BFC2" w14:textId="77777777" w:rsidR="0066398F" w:rsidRPr="001D167A" w:rsidRDefault="0066398F" w:rsidP="00D86BB4">
      <w:pPr>
        <w:ind w:hanging="2"/>
        <w:jc w:val="both"/>
        <w:rPr>
          <w:rFonts w:asciiTheme="majorBidi" w:hAnsiTheme="majorBidi" w:cstheme="majorBidi"/>
        </w:rPr>
      </w:pPr>
    </w:p>
    <w:p w14:paraId="6988DEAA" w14:textId="77777777" w:rsidR="00737138" w:rsidRDefault="00737138" w:rsidP="001C4461">
      <w:pPr>
        <w:spacing w:line="480" w:lineRule="auto"/>
        <w:ind w:hanging="2"/>
        <w:rPr>
          <w:rFonts w:asciiTheme="majorBidi" w:hAnsiTheme="majorBidi" w:cstheme="majorBidi"/>
          <w:b/>
          <w:bCs/>
        </w:rPr>
      </w:pPr>
    </w:p>
    <w:p w14:paraId="42D320A2" w14:textId="77777777" w:rsidR="00737138" w:rsidRDefault="00737138" w:rsidP="00737138">
      <w:pPr>
        <w:ind w:hanging="2"/>
        <w:jc w:val="center"/>
        <w:rPr>
          <w:rFonts w:asciiTheme="majorBidi" w:hAnsiTheme="majorBidi" w:cstheme="majorBidi"/>
          <w:b/>
          <w:bCs/>
        </w:rPr>
      </w:pPr>
    </w:p>
    <w:p w14:paraId="3897D0E0" w14:textId="77777777" w:rsidR="00737138" w:rsidRDefault="00737138" w:rsidP="00737138">
      <w:pPr>
        <w:ind w:hanging="2"/>
        <w:jc w:val="center"/>
        <w:rPr>
          <w:rFonts w:asciiTheme="majorBidi" w:hAnsiTheme="majorBidi" w:cstheme="majorBidi"/>
          <w:b/>
          <w:bCs/>
        </w:rPr>
      </w:pPr>
    </w:p>
    <w:p w14:paraId="3334FC0A" w14:textId="77777777" w:rsidR="00737138" w:rsidRDefault="00737138" w:rsidP="00737138">
      <w:pPr>
        <w:ind w:hanging="2"/>
        <w:jc w:val="center"/>
        <w:rPr>
          <w:rFonts w:asciiTheme="majorBidi" w:hAnsiTheme="majorBidi" w:cstheme="majorBidi"/>
          <w:b/>
          <w:bCs/>
        </w:rPr>
      </w:pPr>
    </w:p>
    <w:p w14:paraId="12B5DD3C" w14:textId="77777777" w:rsidR="00737138" w:rsidRDefault="00737138" w:rsidP="00737138">
      <w:pPr>
        <w:ind w:hanging="2"/>
        <w:jc w:val="center"/>
        <w:rPr>
          <w:rFonts w:asciiTheme="majorBidi" w:hAnsiTheme="majorBidi" w:cstheme="majorBidi"/>
          <w:b/>
          <w:bCs/>
        </w:rPr>
      </w:pPr>
    </w:p>
    <w:p w14:paraId="65F4F2DA" w14:textId="77777777" w:rsidR="00737138" w:rsidRDefault="00737138" w:rsidP="00737138">
      <w:pPr>
        <w:ind w:hanging="2"/>
        <w:jc w:val="center"/>
        <w:rPr>
          <w:rFonts w:asciiTheme="majorBidi" w:hAnsiTheme="majorBidi" w:cstheme="majorBidi"/>
          <w:b/>
          <w:bCs/>
        </w:rPr>
      </w:pPr>
    </w:p>
    <w:p w14:paraId="01158DE9" w14:textId="77777777" w:rsidR="00737138" w:rsidRDefault="00737138" w:rsidP="00737138">
      <w:pPr>
        <w:ind w:hanging="2"/>
        <w:jc w:val="center"/>
        <w:rPr>
          <w:rFonts w:asciiTheme="majorBidi" w:hAnsiTheme="majorBidi" w:cstheme="majorBidi"/>
          <w:b/>
          <w:bCs/>
        </w:rPr>
      </w:pPr>
    </w:p>
    <w:p w14:paraId="47E767A6" w14:textId="77777777" w:rsidR="009449EA" w:rsidRDefault="009449EA" w:rsidP="00737138">
      <w:pPr>
        <w:ind w:hanging="2"/>
        <w:jc w:val="center"/>
        <w:rPr>
          <w:rFonts w:asciiTheme="majorBidi" w:hAnsiTheme="majorBidi" w:cstheme="majorBidi"/>
          <w:b/>
          <w:bCs/>
        </w:rPr>
      </w:pPr>
    </w:p>
    <w:p w14:paraId="347D00DE" w14:textId="77777777" w:rsidR="009449EA" w:rsidRDefault="009449EA" w:rsidP="00737138">
      <w:pPr>
        <w:ind w:hanging="2"/>
        <w:jc w:val="center"/>
        <w:rPr>
          <w:rFonts w:asciiTheme="majorBidi" w:hAnsiTheme="majorBidi" w:cstheme="majorBidi"/>
          <w:b/>
          <w:bCs/>
        </w:rPr>
      </w:pPr>
    </w:p>
    <w:p w14:paraId="32F1C8A9" w14:textId="77777777" w:rsidR="00737138" w:rsidRDefault="00737138" w:rsidP="00737138">
      <w:pPr>
        <w:ind w:hanging="2"/>
        <w:jc w:val="center"/>
        <w:rPr>
          <w:rFonts w:asciiTheme="majorBidi" w:hAnsiTheme="majorBidi" w:cstheme="majorBidi"/>
          <w:b/>
          <w:bCs/>
        </w:rPr>
      </w:pPr>
    </w:p>
    <w:p w14:paraId="00ABCAE6" w14:textId="77777777" w:rsidR="00737138" w:rsidRDefault="00737138" w:rsidP="00737138">
      <w:pPr>
        <w:ind w:hanging="2"/>
        <w:jc w:val="center"/>
        <w:rPr>
          <w:rFonts w:asciiTheme="majorBidi" w:hAnsiTheme="majorBidi" w:cstheme="majorBidi"/>
          <w:b/>
          <w:bCs/>
        </w:rPr>
      </w:pPr>
    </w:p>
    <w:p w14:paraId="59938DD1" w14:textId="77777777" w:rsidR="00737138" w:rsidRDefault="00737138" w:rsidP="00737138">
      <w:pPr>
        <w:ind w:hanging="2"/>
        <w:jc w:val="center"/>
        <w:rPr>
          <w:rFonts w:asciiTheme="majorBidi" w:hAnsiTheme="majorBidi" w:cstheme="majorBidi"/>
          <w:b/>
          <w:bCs/>
        </w:rPr>
      </w:pPr>
    </w:p>
    <w:p w14:paraId="3ED3E136" w14:textId="77777777" w:rsidR="00C6701B" w:rsidRDefault="00C6701B" w:rsidP="002629FD">
      <w:pPr>
        <w:rPr>
          <w:rFonts w:asciiTheme="majorBidi" w:hAnsiTheme="majorBidi" w:cstheme="majorBidi"/>
          <w:b/>
          <w:bCs/>
        </w:rPr>
      </w:pPr>
    </w:p>
    <w:p w14:paraId="7B88F024" w14:textId="77777777" w:rsidR="00737138" w:rsidRPr="00C74032" w:rsidRDefault="00737138" w:rsidP="00AA5DBF">
      <w:pPr>
        <w:pStyle w:val="Titre1"/>
      </w:pPr>
      <w:bookmarkStart w:id="37" w:name="_Toc200485980"/>
      <w:r w:rsidRPr="00C74032">
        <w:lastRenderedPageBreak/>
        <w:t>ABSTRACT</w:t>
      </w:r>
      <w:bookmarkEnd w:id="37"/>
    </w:p>
    <w:p w14:paraId="4F718492" w14:textId="53442AEB" w:rsidR="00737138" w:rsidRPr="00F16740" w:rsidRDefault="00737138" w:rsidP="009449EA">
      <w:pPr>
        <w:spacing w:line="480" w:lineRule="auto"/>
        <w:ind w:hanging="567"/>
        <w:jc w:val="lowKashida"/>
        <w:rPr>
          <w:rFonts w:ascii="Calibri" w:eastAsia="Calibri" w:hAnsi="Calibri" w:cs="Arial"/>
        </w:rPr>
      </w:pPr>
      <w:r w:rsidRPr="00F16740">
        <w:rPr>
          <w:rFonts w:eastAsia="Calibri"/>
          <w:rtl/>
        </w:rPr>
        <w:t xml:space="preserve">         </w:t>
      </w:r>
      <w:bookmarkStart w:id="38" w:name="_Toc200485981"/>
      <w:r w:rsidR="00A2779D">
        <w:rPr>
          <w:rFonts w:eastAsia="Calibri"/>
        </w:rPr>
        <w:t xml:space="preserve"> </w:t>
      </w:r>
      <w:r w:rsidRPr="00F16740">
        <w:rPr>
          <w:rFonts w:eastAsia="Calibri"/>
        </w:rPr>
        <w:t>Online teacher communities (OTCs) have emerged as effective digital spaces for enhancing EFL teacher’s professional development and assessment practices particularly in an era shaped by a trend of the leveraging of technological tools that redefine educational norms.</w:t>
      </w:r>
      <w:r w:rsidRPr="00F16740">
        <w:rPr>
          <w:rFonts w:ascii="Calibri" w:eastAsia="Calibri" w:hAnsi="Calibri" w:cs="Arial"/>
        </w:rPr>
        <w:t xml:space="preserve"> </w:t>
      </w:r>
      <w:r w:rsidRPr="00F16740">
        <w:rPr>
          <w:rFonts w:eastAsia="Calibri"/>
        </w:rPr>
        <w:t xml:space="preserve">This study aims to explore the role of OTCs in enhancing Algerian EFL middle school teachers’ summative assessment literacy. It also examines the process by which these teachers transform online interactions into more reflective assessment practices. Descriptive method </w:t>
      </w:r>
      <w:proofErr w:type="gramStart"/>
      <w:r w:rsidRPr="00F16740">
        <w:rPr>
          <w:rFonts w:eastAsia="Calibri"/>
        </w:rPr>
        <w:t>is utilized</w:t>
      </w:r>
      <w:proofErr w:type="gramEnd"/>
      <w:r w:rsidRPr="00F16740">
        <w:rPr>
          <w:rFonts w:eastAsia="Calibri"/>
        </w:rPr>
        <w:t xml:space="preserve"> to answer the main research question and sub questions. The data were collected </w:t>
      </w:r>
      <w:proofErr w:type="gramStart"/>
      <w:r w:rsidRPr="00F16740">
        <w:rPr>
          <w:rFonts w:eastAsia="Calibri"/>
        </w:rPr>
        <w:t>through the use of</w:t>
      </w:r>
      <w:proofErr w:type="gramEnd"/>
      <w:r w:rsidRPr="00F16740">
        <w:rPr>
          <w:rFonts w:eastAsia="Calibri"/>
        </w:rPr>
        <w:t xml:space="preserve"> triangulation of instruments. The observation of the Facebook group </w:t>
      </w:r>
      <w:bookmarkStart w:id="39" w:name="_Hlk200344840"/>
      <w:r w:rsidRPr="00F16740">
        <w:rPr>
          <w:rFonts w:eastAsia="Calibri"/>
        </w:rPr>
        <w:t>“District 4 Teacher Corner”</w:t>
      </w:r>
      <w:bookmarkEnd w:id="39"/>
      <w:r w:rsidRPr="00F16740">
        <w:rPr>
          <w:rFonts w:eastAsia="Calibri"/>
        </w:rPr>
        <w:t xml:space="preserve">, semi-structured interviews of six EFL teachers and their inspector, and a questionnaire administered to over 50 </w:t>
      </w:r>
      <w:bookmarkStart w:id="40" w:name="_Hlk200240721"/>
      <w:r w:rsidR="00E7221E">
        <w:rPr>
          <w:rFonts w:eastAsia="Calibri"/>
        </w:rPr>
        <w:t>teacher</w:t>
      </w:r>
      <w:r w:rsidRPr="00F16740">
        <w:rPr>
          <w:rFonts w:eastAsia="Calibri"/>
        </w:rPr>
        <w:t xml:space="preserve">s. All of which were conveniently selected to conduct this study. The findings reveal how OTCs </w:t>
      </w:r>
      <w:bookmarkEnd w:id="40"/>
      <w:r w:rsidRPr="00F16740">
        <w:rPr>
          <w:rFonts w:eastAsia="Calibri"/>
        </w:rPr>
        <w:t xml:space="preserve">effectively </w:t>
      </w:r>
      <w:proofErr w:type="gramStart"/>
      <w:r w:rsidRPr="00F16740">
        <w:rPr>
          <w:rFonts w:eastAsia="Calibri"/>
        </w:rPr>
        <w:t>impact</w:t>
      </w:r>
      <w:proofErr w:type="gramEnd"/>
      <w:r w:rsidRPr="00F16740">
        <w:rPr>
          <w:rFonts w:eastAsia="Calibri"/>
        </w:rPr>
        <w:t xml:space="preserve"> EFL teacher professional growth particularly in areas like assessment methods. </w:t>
      </w:r>
      <w:r w:rsidR="00B5303E">
        <w:rPr>
          <w:rFonts w:eastAsia="Calibri"/>
        </w:rPr>
        <w:t>They</w:t>
      </w:r>
      <w:r w:rsidRPr="00F16740">
        <w:rPr>
          <w:rFonts w:eastAsia="Calibri"/>
        </w:rPr>
        <w:t xml:space="preserve"> indicated that OTCs enhance teacher’s assessment knowledge, foster reflective collaboration, improve practical assessment skills, and boost digital literacy. However, challenges like technological barriers and inconsistent engagement hindered their full potential. This study recommends integrating OTCs to enhance teacher’s assessment practices through peer collaboration, mentorship, and action research. Besides, educational stakeholders should formalize OTCs with structured guidance from inspectors and incorporate </w:t>
      </w:r>
      <w:proofErr w:type="gramStart"/>
      <w:r w:rsidRPr="00F16740">
        <w:rPr>
          <w:rFonts w:eastAsia="Calibri"/>
        </w:rPr>
        <w:t>teachers</w:t>
      </w:r>
      <w:proofErr w:type="gramEnd"/>
      <w:r w:rsidRPr="00F16740">
        <w:rPr>
          <w:rFonts w:eastAsia="Calibri"/>
        </w:rPr>
        <w:t xml:space="preserve"> feedback into curriculum design.</w:t>
      </w:r>
      <w:bookmarkEnd w:id="38"/>
      <w:r w:rsidRPr="00F16740">
        <w:rPr>
          <w:rFonts w:eastAsia="Calibri"/>
        </w:rPr>
        <w:t xml:space="preserve">  </w:t>
      </w:r>
    </w:p>
    <w:p w14:paraId="50F7B9AB" w14:textId="77777777" w:rsidR="00737138" w:rsidRDefault="00737138" w:rsidP="00737138">
      <w:pPr>
        <w:spacing w:line="480" w:lineRule="auto"/>
        <w:ind w:hanging="2"/>
        <w:jc w:val="lowKashida"/>
        <w:rPr>
          <w:rFonts w:eastAsia="Calibri"/>
          <w:i/>
          <w:iCs/>
        </w:rPr>
      </w:pPr>
      <w:bookmarkStart w:id="41" w:name="_Toc200485982"/>
      <w:r w:rsidRPr="00F16740">
        <w:rPr>
          <w:rFonts w:eastAsia="Calibri"/>
          <w:b/>
          <w:bCs/>
        </w:rPr>
        <w:t>Key words:</w:t>
      </w:r>
      <w:r w:rsidRPr="00F16740">
        <w:rPr>
          <w:rFonts w:eastAsia="Calibri"/>
        </w:rPr>
        <w:t xml:space="preserve"> online teacher communities (OTCs), summative assessment literacy</w:t>
      </w:r>
      <w:r>
        <w:rPr>
          <w:rFonts w:eastAsia="Calibri"/>
        </w:rPr>
        <w:t xml:space="preserve"> </w:t>
      </w:r>
      <w:r w:rsidRPr="00F16740">
        <w:rPr>
          <w:rFonts w:eastAsia="Calibri"/>
        </w:rPr>
        <w:t>(</w:t>
      </w:r>
      <w:r>
        <w:rPr>
          <w:rFonts w:eastAsia="Calibri"/>
        </w:rPr>
        <w:t>SAL</w:t>
      </w:r>
      <w:r w:rsidRPr="00F16740">
        <w:rPr>
          <w:rFonts w:eastAsia="Calibri"/>
        </w:rPr>
        <w:t>), teacher professional development, reflective practice</w:t>
      </w:r>
      <w:bookmarkEnd w:id="41"/>
      <w:r w:rsidRPr="00F16740">
        <w:rPr>
          <w:rFonts w:eastAsia="Calibri"/>
          <w:i/>
          <w:iCs/>
        </w:rPr>
        <w:t xml:space="preserve"> </w:t>
      </w:r>
    </w:p>
    <w:p w14:paraId="6B3CD1D1" w14:textId="77777777" w:rsidR="005D2905" w:rsidRPr="00F16740" w:rsidRDefault="005D2905" w:rsidP="00737138">
      <w:pPr>
        <w:spacing w:line="480" w:lineRule="auto"/>
        <w:ind w:hanging="2"/>
        <w:jc w:val="lowKashida"/>
        <w:rPr>
          <w:rFonts w:eastAsia="Calibri"/>
          <w:i/>
          <w:iCs/>
        </w:rPr>
      </w:pPr>
    </w:p>
    <w:p w14:paraId="4A9AACC9" w14:textId="77777777" w:rsidR="00737138" w:rsidRDefault="00737138" w:rsidP="00737138">
      <w:pPr>
        <w:ind w:hanging="2"/>
        <w:rPr>
          <w:rFonts w:asciiTheme="majorBidi" w:hAnsiTheme="majorBidi" w:cstheme="majorBidi"/>
          <w:b/>
          <w:bCs/>
        </w:rPr>
      </w:pPr>
    </w:p>
    <w:p w14:paraId="2F8582A3" w14:textId="77777777" w:rsidR="000E1CA4" w:rsidRDefault="000E1CA4" w:rsidP="00737138">
      <w:pPr>
        <w:ind w:hanging="2"/>
        <w:rPr>
          <w:rFonts w:asciiTheme="majorBidi" w:hAnsiTheme="majorBidi" w:cstheme="majorBidi"/>
          <w:b/>
          <w:bCs/>
        </w:rPr>
      </w:pPr>
    </w:p>
    <w:p w14:paraId="2AE388CB" w14:textId="77777777" w:rsidR="00737138" w:rsidRDefault="00737138" w:rsidP="00737138">
      <w:pPr>
        <w:ind w:hanging="2"/>
        <w:jc w:val="center"/>
        <w:rPr>
          <w:rFonts w:asciiTheme="majorBidi" w:hAnsiTheme="majorBidi" w:cstheme="majorBidi"/>
          <w:b/>
          <w:bCs/>
        </w:rPr>
      </w:pPr>
    </w:p>
    <w:p w14:paraId="76038B31" w14:textId="77777777" w:rsidR="00737138" w:rsidRDefault="00737138" w:rsidP="00737138">
      <w:pPr>
        <w:ind w:hanging="2"/>
        <w:jc w:val="center"/>
        <w:rPr>
          <w:rFonts w:asciiTheme="majorBidi" w:hAnsiTheme="majorBidi" w:cstheme="majorBidi"/>
          <w:b/>
          <w:bCs/>
        </w:rPr>
      </w:pPr>
    </w:p>
    <w:p w14:paraId="00FFC087" w14:textId="77777777" w:rsidR="00737138" w:rsidRDefault="00737138" w:rsidP="00737138">
      <w:pPr>
        <w:ind w:hanging="2"/>
        <w:rPr>
          <w:rFonts w:asciiTheme="majorBidi" w:hAnsiTheme="majorBidi" w:cstheme="majorBidi"/>
          <w:b/>
          <w:bCs/>
        </w:rPr>
      </w:pPr>
    </w:p>
    <w:p w14:paraId="6E89B9E8" w14:textId="77777777" w:rsidR="00737138" w:rsidRPr="00C74032" w:rsidRDefault="00737138" w:rsidP="00AA5DBF">
      <w:pPr>
        <w:pStyle w:val="Titre1"/>
      </w:pPr>
      <w:bookmarkStart w:id="42" w:name="_Toc200485983"/>
      <w:r w:rsidRPr="00C74032">
        <w:lastRenderedPageBreak/>
        <w:t>List of Abbreviations</w:t>
      </w:r>
      <w:bookmarkEnd w:id="42"/>
    </w:p>
    <w:p w14:paraId="34ADE255" w14:textId="77777777" w:rsidR="00737138" w:rsidRPr="00756E9C" w:rsidRDefault="00737138" w:rsidP="00C6701B">
      <w:pPr>
        <w:spacing w:line="480" w:lineRule="auto"/>
        <w:ind w:hanging="2"/>
        <w:rPr>
          <w:rFonts w:asciiTheme="majorBidi" w:hAnsiTheme="majorBidi" w:cstheme="majorBidi"/>
        </w:rPr>
      </w:pPr>
      <w:bookmarkStart w:id="43" w:name="_Toc200485984"/>
      <w:r w:rsidRPr="00756E9C">
        <w:rPr>
          <w:rFonts w:asciiTheme="majorBidi" w:hAnsiTheme="majorBidi" w:cstheme="majorBidi"/>
          <w:b/>
          <w:bCs/>
        </w:rPr>
        <w:t xml:space="preserve">CPD: </w:t>
      </w:r>
      <w:r w:rsidRPr="00756E9C">
        <w:rPr>
          <w:rFonts w:asciiTheme="majorBidi" w:hAnsiTheme="majorBidi" w:cstheme="majorBidi"/>
        </w:rPr>
        <w:t>Continuous Professional Development</w:t>
      </w:r>
      <w:bookmarkEnd w:id="43"/>
    </w:p>
    <w:p w14:paraId="0DD0AF39" w14:textId="77777777" w:rsidR="00737138" w:rsidRPr="00756E9C" w:rsidRDefault="00737138" w:rsidP="00756E9C">
      <w:pPr>
        <w:spacing w:line="480" w:lineRule="auto"/>
        <w:ind w:hanging="2"/>
        <w:rPr>
          <w:rFonts w:asciiTheme="majorBidi" w:hAnsiTheme="majorBidi" w:cstheme="majorBidi"/>
        </w:rPr>
      </w:pPr>
      <w:bookmarkStart w:id="44" w:name="_Toc200485985"/>
      <w:r w:rsidRPr="00756E9C">
        <w:rPr>
          <w:rFonts w:asciiTheme="majorBidi" w:hAnsiTheme="majorBidi" w:cstheme="majorBidi"/>
          <w:b/>
          <w:bCs/>
        </w:rPr>
        <w:t xml:space="preserve">PD: </w:t>
      </w:r>
      <w:r w:rsidRPr="00756E9C">
        <w:rPr>
          <w:rFonts w:asciiTheme="majorBidi" w:hAnsiTheme="majorBidi" w:cstheme="majorBidi"/>
        </w:rPr>
        <w:t>Professional Development</w:t>
      </w:r>
      <w:bookmarkEnd w:id="44"/>
    </w:p>
    <w:p w14:paraId="19DED71B" w14:textId="77777777" w:rsidR="00737138" w:rsidRPr="00756E9C" w:rsidRDefault="00737138" w:rsidP="00756E9C">
      <w:pPr>
        <w:spacing w:line="480" w:lineRule="auto"/>
        <w:ind w:hanging="2"/>
        <w:rPr>
          <w:rFonts w:asciiTheme="majorBidi" w:hAnsiTheme="majorBidi" w:cstheme="majorBidi"/>
        </w:rPr>
      </w:pPr>
      <w:bookmarkStart w:id="45" w:name="_Toc200485986"/>
      <w:r w:rsidRPr="00756E9C">
        <w:rPr>
          <w:rFonts w:asciiTheme="majorBidi" w:hAnsiTheme="majorBidi" w:cstheme="majorBidi"/>
          <w:b/>
          <w:bCs/>
        </w:rPr>
        <w:t xml:space="preserve">EFL: </w:t>
      </w:r>
      <w:r w:rsidRPr="00756E9C">
        <w:rPr>
          <w:rFonts w:asciiTheme="majorBidi" w:hAnsiTheme="majorBidi" w:cstheme="majorBidi"/>
        </w:rPr>
        <w:t>English as a Foreign Language</w:t>
      </w:r>
      <w:bookmarkEnd w:id="45"/>
    </w:p>
    <w:p w14:paraId="14EEDF88" w14:textId="77777777" w:rsidR="00737138" w:rsidRPr="00756E9C" w:rsidRDefault="00737138" w:rsidP="00756E9C">
      <w:pPr>
        <w:spacing w:line="480" w:lineRule="auto"/>
        <w:ind w:hanging="2"/>
        <w:rPr>
          <w:rFonts w:asciiTheme="majorBidi" w:hAnsiTheme="majorBidi" w:cstheme="majorBidi"/>
        </w:rPr>
      </w:pPr>
      <w:bookmarkStart w:id="46" w:name="_Toc200485987"/>
      <w:r w:rsidRPr="00756E9C">
        <w:rPr>
          <w:rFonts w:asciiTheme="majorBidi" w:hAnsiTheme="majorBidi" w:cstheme="majorBidi"/>
          <w:b/>
          <w:bCs/>
        </w:rPr>
        <w:t xml:space="preserve">OTLCs: </w:t>
      </w:r>
      <w:r w:rsidRPr="00756E9C">
        <w:rPr>
          <w:rFonts w:asciiTheme="majorBidi" w:hAnsiTheme="majorBidi" w:cstheme="majorBidi"/>
        </w:rPr>
        <w:t>Online Teacher Learning Communities</w:t>
      </w:r>
      <w:bookmarkEnd w:id="46"/>
    </w:p>
    <w:p w14:paraId="2B022B24" w14:textId="77777777" w:rsidR="00737138" w:rsidRPr="00756E9C" w:rsidRDefault="00737138" w:rsidP="00756E9C">
      <w:pPr>
        <w:spacing w:line="480" w:lineRule="auto"/>
        <w:ind w:hanging="2"/>
        <w:rPr>
          <w:rFonts w:asciiTheme="majorBidi" w:hAnsiTheme="majorBidi" w:cstheme="majorBidi"/>
          <w:b/>
          <w:bCs/>
        </w:rPr>
      </w:pPr>
      <w:bookmarkStart w:id="47" w:name="_Toc200485988"/>
      <w:r w:rsidRPr="00756E9C">
        <w:rPr>
          <w:rFonts w:asciiTheme="majorBidi" w:hAnsiTheme="majorBidi" w:cstheme="majorBidi"/>
          <w:b/>
          <w:bCs/>
        </w:rPr>
        <w:t xml:space="preserve">OTCs: </w:t>
      </w:r>
      <w:r w:rsidRPr="00756E9C">
        <w:rPr>
          <w:rFonts w:asciiTheme="majorBidi" w:hAnsiTheme="majorBidi" w:cstheme="majorBidi"/>
        </w:rPr>
        <w:t>Online Teacher Communities</w:t>
      </w:r>
      <w:bookmarkEnd w:id="47"/>
    </w:p>
    <w:p w14:paraId="0D3DC98A" w14:textId="77777777" w:rsidR="00737138" w:rsidRPr="00756E9C" w:rsidRDefault="00737138" w:rsidP="00756E9C">
      <w:pPr>
        <w:spacing w:line="480" w:lineRule="auto"/>
        <w:ind w:hanging="2"/>
        <w:rPr>
          <w:rFonts w:asciiTheme="majorBidi" w:hAnsiTheme="majorBidi" w:cstheme="majorBidi"/>
        </w:rPr>
      </w:pPr>
      <w:bookmarkStart w:id="48" w:name="_Toc200485989"/>
      <w:r w:rsidRPr="00756E9C">
        <w:rPr>
          <w:rFonts w:asciiTheme="majorBidi" w:hAnsiTheme="majorBidi" w:cstheme="majorBidi"/>
          <w:b/>
          <w:bCs/>
        </w:rPr>
        <w:t xml:space="preserve">CAR: </w:t>
      </w:r>
      <w:r w:rsidRPr="00756E9C">
        <w:rPr>
          <w:rFonts w:asciiTheme="majorBidi" w:hAnsiTheme="majorBidi" w:cstheme="majorBidi"/>
        </w:rPr>
        <w:t>Collaborative Action Research</w:t>
      </w:r>
      <w:bookmarkEnd w:id="48"/>
    </w:p>
    <w:p w14:paraId="16697539" w14:textId="77777777" w:rsidR="00737138" w:rsidRPr="00756E9C" w:rsidRDefault="00737138" w:rsidP="00756E9C">
      <w:pPr>
        <w:spacing w:line="480" w:lineRule="auto"/>
        <w:ind w:hanging="2"/>
        <w:rPr>
          <w:rFonts w:asciiTheme="majorBidi" w:hAnsiTheme="majorBidi" w:cstheme="majorBidi"/>
        </w:rPr>
      </w:pPr>
      <w:bookmarkStart w:id="49" w:name="_Toc200485990"/>
      <w:r w:rsidRPr="00756E9C">
        <w:rPr>
          <w:rFonts w:asciiTheme="majorBidi" w:hAnsiTheme="majorBidi" w:cstheme="majorBidi"/>
          <w:b/>
          <w:bCs/>
        </w:rPr>
        <w:t xml:space="preserve">PLCs: </w:t>
      </w:r>
      <w:r w:rsidRPr="00756E9C">
        <w:rPr>
          <w:rFonts w:asciiTheme="majorBidi" w:hAnsiTheme="majorBidi" w:cstheme="majorBidi"/>
        </w:rPr>
        <w:t>Professional Learning Communities</w:t>
      </w:r>
      <w:bookmarkEnd w:id="49"/>
    </w:p>
    <w:p w14:paraId="66C2C720" w14:textId="77777777" w:rsidR="00737138" w:rsidRPr="00756E9C" w:rsidRDefault="00737138" w:rsidP="00756E9C">
      <w:pPr>
        <w:spacing w:line="480" w:lineRule="auto"/>
        <w:ind w:hanging="2"/>
        <w:rPr>
          <w:rFonts w:asciiTheme="majorBidi" w:hAnsiTheme="majorBidi" w:cstheme="majorBidi"/>
        </w:rPr>
      </w:pPr>
      <w:bookmarkStart w:id="50" w:name="_Toc200485991"/>
      <w:r w:rsidRPr="00756E9C">
        <w:rPr>
          <w:rFonts w:asciiTheme="majorBidi" w:hAnsiTheme="majorBidi" w:cstheme="majorBidi"/>
          <w:b/>
          <w:bCs/>
        </w:rPr>
        <w:t xml:space="preserve">SA: </w:t>
      </w:r>
      <w:r w:rsidRPr="00756E9C">
        <w:rPr>
          <w:rFonts w:asciiTheme="majorBidi" w:hAnsiTheme="majorBidi" w:cstheme="majorBidi"/>
        </w:rPr>
        <w:t>Summative Assessment</w:t>
      </w:r>
      <w:bookmarkEnd w:id="50"/>
    </w:p>
    <w:p w14:paraId="595DF209" w14:textId="77777777" w:rsidR="00737138" w:rsidRPr="00756E9C" w:rsidRDefault="00737138" w:rsidP="00756E9C">
      <w:pPr>
        <w:spacing w:line="480" w:lineRule="auto"/>
        <w:ind w:hanging="2"/>
        <w:rPr>
          <w:rFonts w:asciiTheme="majorBidi" w:hAnsiTheme="majorBidi" w:cstheme="majorBidi"/>
        </w:rPr>
      </w:pPr>
      <w:bookmarkStart w:id="51" w:name="_Toc200485992"/>
      <w:r w:rsidRPr="00756E9C">
        <w:rPr>
          <w:rFonts w:asciiTheme="majorBidi" w:hAnsiTheme="majorBidi" w:cstheme="majorBidi"/>
          <w:b/>
          <w:bCs/>
        </w:rPr>
        <w:t xml:space="preserve">SAL: </w:t>
      </w:r>
      <w:r w:rsidRPr="00756E9C">
        <w:rPr>
          <w:rFonts w:asciiTheme="majorBidi" w:hAnsiTheme="majorBidi" w:cstheme="majorBidi"/>
        </w:rPr>
        <w:t>Summative Assessment Literacy</w:t>
      </w:r>
      <w:bookmarkEnd w:id="51"/>
    </w:p>
    <w:p w14:paraId="041B3431" w14:textId="77777777" w:rsidR="00737138" w:rsidRPr="00756E9C" w:rsidRDefault="00737138" w:rsidP="00756E9C">
      <w:pPr>
        <w:spacing w:line="480" w:lineRule="auto"/>
        <w:ind w:hanging="2"/>
        <w:rPr>
          <w:rFonts w:asciiTheme="majorBidi" w:hAnsiTheme="majorBidi" w:cstheme="majorBidi"/>
        </w:rPr>
      </w:pPr>
      <w:bookmarkStart w:id="52" w:name="_Toc200485993"/>
      <w:r w:rsidRPr="00756E9C">
        <w:rPr>
          <w:rFonts w:asciiTheme="majorBidi" w:hAnsiTheme="majorBidi" w:cstheme="majorBidi"/>
          <w:b/>
          <w:bCs/>
        </w:rPr>
        <w:t xml:space="preserve">CBM: </w:t>
      </w:r>
      <w:r w:rsidRPr="00756E9C">
        <w:rPr>
          <w:rFonts w:asciiTheme="majorBidi" w:hAnsiTheme="majorBidi" w:cstheme="majorBidi"/>
        </w:rPr>
        <w:t>Curriculum-Based Measurement</w:t>
      </w:r>
      <w:bookmarkEnd w:id="52"/>
    </w:p>
    <w:p w14:paraId="22ADE503" w14:textId="77777777" w:rsidR="00737138" w:rsidRPr="00756E9C" w:rsidRDefault="00737138" w:rsidP="00756E9C">
      <w:pPr>
        <w:spacing w:line="480" w:lineRule="auto"/>
        <w:ind w:hanging="2"/>
        <w:rPr>
          <w:rFonts w:asciiTheme="majorBidi" w:hAnsiTheme="majorBidi" w:cstheme="majorBidi"/>
        </w:rPr>
      </w:pPr>
      <w:bookmarkStart w:id="53" w:name="_Toc200485994"/>
      <w:proofErr w:type="spellStart"/>
      <w:r w:rsidRPr="00756E9C">
        <w:rPr>
          <w:rFonts w:asciiTheme="majorBidi" w:hAnsiTheme="majorBidi" w:cstheme="majorBidi"/>
          <w:b/>
          <w:bCs/>
        </w:rPr>
        <w:t>AaL</w:t>
      </w:r>
      <w:proofErr w:type="spellEnd"/>
      <w:r w:rsidRPr="00756E9C">
        <w:rPr>
          <w:rFonts w:asciiTheme="majorBidi" w:hAnsiTheme="majorBidi" w:cstheme="majorBidi"/>
          <w:b/>
          <w:bCs/>
        </w:rPr>
        <w:t xml:space="preserve">: </w:t>
      </w:r>
      <w:r w:rsidRPr="00756E9C">
        <w:rPr>
          <w:rFonts w:asciiTheme="majorBidi" w:hAnsiTheme="majorBidi" w:cstheme="majorBidi"/>
        </w:rPr>
        <w:t>Assessment as Learning</w:t>
      </w:r>
      <w:bookmarkEnd w:id="53"/>
    </w:p>
    <w:p w14:paraId="04377A30" w14:textId="77777777" w:rsidR="00737138" w:rsidRPr="00756E9C" w:rsidRDefault="00737138" w:rsidP="00756E9C">
      <w:pPr>
        <w:spacing w:line="480" w:lineRule="auto"/>
        <w:ind w:hanging="2"/>
        <w:rPr>
          <w:rFonts w:asciiTheme="majorBidi" w:hAnsiTheme="majorBidi" w:cstheme="majorBidi"/>
        </w:rPr>
      </w:pPr>
      <w:bookmarkStart w:id="54" w:name="_Toc200485995"/>
      <w:proofErr w:type="spellStart"/>
      <w:r w:rsidRPr="00756E9C">
        <w:rPr>
          <w:rFonts w:asciiTheme="majorBidi" w:hAnsiTheme="majorBidi" w:cstheme="majorBidi"/>
          <w:b/>
          <w:bCs/>
        </w:rPr>
        <w:t>CoP</w:t>
      </w:r>
      <w:proofErr w:type="spellEnd"/>
      <w:r w:rsidRPr="00756E9C">
        <w:rPr>
          <w:rFonts w:asciiTheme="majorBidi" w:hAnsiTheme="majorBidi" w:cstheme="majorBidi"/>
          <w:b/>
          <w:bCs/>
        </w:rPr>
        <w:t xml:space="preserve">: </w:t>
      </w:r>
      <w:r w:rsidRPr="00756E9C">
        <w:rPr>
          <w:rFonts w:asciiTheme="majorBidi" w:hAnsiTheme="majorBidi" w:cstheme="majorBidi"/>
        </w:rPr>
        <w:t>Community of Practice</w:t>
      </w:r>
      <w:bookmarkEnd w:id="54"/>
    </w:p>
    <w:p w14:paraId="5F572B99" w14:textId="62475168" w:rsidR="00737138" w:rsidRPr="00756E9C" w:rsidRDefault="00737138" w:rsidP="00756E9C">
      <w:pPr>
        <w:spacing w:line="480" w:lineRule="auto"/>
        <w:ind w:hanging="2"/>
        <w:rPr>
          <w:rFonts w:asciiTheme="majorBidi" w:hAnsiTheme="majorBidi" w:cstheme="majorBidi"/>
        </w:rPr>
      </w:pPr>
      <w:bookmarkStart w:id="55" w:name="_Toc200485996"/>
      <w:r w:rsidRPr="00756E9C">
        <w:rPr>
          <w:rFonts w:asciiTheme="majorBidi" w:hAnsiTheme="majorBidi" w:cstheme="majorBidi"/>
          <w:b/>
          <w:bCs/>
        </w:rPr>
        <w:t xml:space="preserve">SL:  </w:t>
      </w:r>
      <w:r w:rsidRPr="00756E9C">
        <w:rPr>
          <w:rFonts w:asciiTheme="majorBidi" w:hAnsiTheme="majorBidi" w:cstheme="majorBidi"/>
        </w:rPr>
        <w:t>Situated Learning</w:t>
      </w:r>
      <w:bookmarkEnd w:id="55"/>
      <w:r w:rsidRPr="00756E9C">
        <w:rPr>
          <w:rFonts w:asciiTheme="majorBidi" w:hAnsiTheme="majorBidi" w:cstheme="majorBidi"/>
        </w:rPr>
        <w:t xml:space="preserve"> </w:t>
      </w:r>
    </w:p>
    <w:p w14:paraId="2E307436" w14:textId="77777777" w:rsidR="00737138" w:rsidRPr="00756E9C" w:rsidRDefault="00737138" w:rsidP="00756E9C">
      <w:pPr>
        <w:spacing w:line="480" w:lineRule="auto"/>
        <w:ind w:hanging="2"/>
        <w:rPr>
          <w:rFonts w:asciiTheme="majorBidi" w:hAnsiTheme="majorBidi" w:cstheme="majorBidi"/>
        </w:rPr>
      </w:pPr>
      <w:bookmarkStart w:id="56" w:name="_Toc200485997"/>
      <w:r w:rsidRPr="00756E9C">
        <w:rPr>
          <w:rFonts w:asciiTheme="majorBidi" w:hAnsiTheme="majorBidi" w:cstheme="majorBidi"/>
          <w:b/>
          <w:bCs/>
        </w:rPr>
        <w:t xml:space="preserve">LPP: </w:t>
      </w:r>
      <w:r w:rsidRPr="00756E9C">
        <w:rPr>
          <w:rFonts w:asciiTheme="majorBidi" w:hAnsiTheme="majorBidi" w:cstheme="majorBidi"/>
        </w:rPr>
        <w:t>Legitimate Peripheral Participation</w:t>
      </w:r>
      <w:bookmarkEnd w:id="56"/>
    </w:p>
    <w:p w14:paraId="13E6F71D" w14:textId="182E8ADD" w:rsidR="00737138" w:rsidRPr="00756E9C" w:rsidRDefault="00737138" w:rsidP="00756E9C">
      <w:pPr>
        <w:spacing w:line="480" w:lineRule="auto"/>
        <w:ind w:hanging="2"/>
        <w:rPr>
          <w:rFonts w:asciiTheme="majorBidi" w:hAnsiTheme="majorBidi" w:cstheme="majorBidi"/>
        </w:rPr>
      </w:pPr>
      <w:bookmarkStart w:id="57" w:name="_Toc200485998"/>
      <w:r w:rsidRPr="00756E9C">
        <w:rPr>
          <w:rFonts w:asciiTheme="majorBidi" w:hAnsiTheme="majorBidi" w:cstheme="majorBidi"/>
          <w:b/>
          <w:bCs/>
        </w:rPr>
        <w:t xml:space="preserve">SC:  </w:t>
      </w:r>
      <w:r w:rsidRPr="00756E9C">
        <w:rPr>
          <w:rFonts w:asciiTheme="majorBidi" w:hAnsiTheme="majorBidi" w:cstheme="majorBidi"/>
        </w:rPr>
        <w:t>Social Constructivism</w:t>
      </w:r>
      <w:bookmarkEnd w:id="57"/>
      <w:r w:rsidRPr="00756E9C">
        <w:rPr>
          <w:rFonts w:asciiTheme="majorBidi" w:hAnsiTheme="majorBidi" w:cstheme="majorBidi"/>
        </w:rPr>
        <w:t xml:space="preserve"> </w:t>
      </w:r>
    </w:p>
    <w:p w14:paraId="3E4A2DC6" w14:textId="5394EB6F" w:rsidR="00737138" w:rsidRPr="00756E9C" w:rsidRDefault="00737138" w:rsidP="0023089D">
      <w:pPr>
        <w:spacing w:line="480" w:lineRule="auto"/>
        <w:ind w:hanging="2"/>
        <w:rPr>
          <w:rFonts w:asciiTheme="majorBidi" w:hAnsiTheme="majorBidi" w:cstheme="majorBidi"/>
        </w:rPr>
      </w:pPr>
      <w:bookmarkStart w:id="58" w:name="_Toc200485999"/>
      <w:proofErr w:type="spellStart"/>
      <w:r w:rsidRPr="00756E9C">
        <w:rPr>
          <w:rFonts w:asciiTheme="majorBidi" w:hAnsiTheme="majorBidi" w:cstheme="majorBidi"/>
          <w:b/>
          <w:bCs/>
        </w:rPr>
        <w:t>CoI</w:t>
      </w:r>
      <w:proofErr w:type="spellEnd"/>
      <w:r w:rsidRPr="00756E9C">
        <w:rPr>
          <w:rFonts w:asciiTheme="majorBidi" w:hAnsiTheme="majorBidi" w:cstheme="majorBidi"/>
          <w:b/>
          <w:bCs/>
        </w:rPr>
        <w:t xml:space="preserve">: </w:t>
      </w:r>
      <w:r w:rsidRPr="00756E9C">
        <w:rPr>
          <w:rFonts w:asciiTheme="majorBidi" w:hAnsiTheme="majorBidi" w:cstheme="majorBidi"/>
        </w:rPr>
        <w:t>Community of Inquiry</w:t>
      </w:r>
      <w:bookmarkEnd w:id="58"/>
    </w:p>
    <w:p w14:paraId="3ECAE537" w14:textId="77777777" w:rsidR="00737138" w:rsidRPr="00756E9C" w:rsidRDefault="00737138" w:rsidP="00756E9C">
      <w:pPr>
        <w:spacing w:line="480" w:lineRule="auto"/>
        <w:ind w:hanging="2"/>
        <w:rPr>
          <w:rFonts w:asciiTheme="majorBidi" w:hAnsiTheme="majorBidi" w:cstheme="majorBidi"/>
        </w:rPr>
      </w:pPr>
      <w:bookmarkStart w:id="59" w:name="_Toc200486000"/>
      <w:r w:rsidRPr="00756E9C">
        <w:rPr>
          <w:rFonts w:asciiTheme="majorBidi" w:hAnsiTheme="majorBidi" w:cstheme="majorBidi"/>
          <w:b/>
          <w:bCs/>
        </w:rPr>
        <w:t xml:space="preserve">AT: </w:t>
      </w:r>
      <w:r w:rsidRPr="00756E9C">
        <w:rPr>
          <w:rFonts w:asciiTheme="majorBidi" w:hAnsiTheme="majorBidi" w:cstheme="majorBidi"/>
        </w:rPr>
        <w:t>Activity Theory</w:t>
      </w:r>
      <w:bookmarkEnd w:id="59"/>
    </w:p>
    <w:p w14:paraId="08C8321F" w14:textId="77777777" w:rsidR="00737138" w:rsidRPr="00756E9C" w:rsidRDefault="00737138" w:rsidP="00756E9C">
      <w:pPr>
        <w:spacing w:line="480" w:lineRule="auto"/>
        <w:ind w:hanging="2"/>
        <w:rPr>
          <w:rFonts w:asciiTheme="majorBidi" w:hAnsiTheme="majorBidi" w:cstheme="majorBidi"/>
        </w:rPr>
      </w:pPr>
      <w:bookmarkStart w:id="60" w:name="_Toc200486001"/>
      <w:r w:rsidRPr="00756E9C">
        <w:rPr>
          <w:rFonts w:asciiTheme="majorBidi" w:hAnsiTheme="majorBidi" w:cstheme="majorBidi"/>
          <w:b/>
          <w:bCs/>
        </w:rPr>
        <w:t xml:space="preserve">TLT: </w:t>
      </w:r>
      <w:r w:rsidRPr="00756E9C">
        <w:rPr>
          <w:rFonts w:asciiTheme="majorBidi" w:hAnsiTheme="majorBidi" w:cstheme="majorBidi"/>
        </w:rPr>
        <w:t>Transformative Learning Theory</w:t>
      </w:r>
      <w:bookmarkEnd w:id="60"/>
    </w:p>
    <w:p w14:paraId="03377927" w14:textId="77777777" w:rsidR="00737138" w:rsidRPr="00756E9C" w:rsidRDefault="00737138" w:rsidP="00756E9C">
      <w:pPr>
        <w:spacing w:line="480" w:lineRule="auto"/>
        <w:ind w:hanging="2"/>
        <w:rPr>
          <w:rFonts w:asciiTheme="majorBidi" w:hAnsiTheme="majorBidi" w:cstheme="majorBidi"/>
        </w:rPr>
      </w:pPr>
    </w:p>
    <w:p w14:paraId="3766B122" w14:textId="77777777" w:rsidR="00737138" w:rsidRPr="006A2C58" w:rsidRDefault="00737138" w:rsidP="00756E9C">
      <w:pPr>
        <w:rPr>
          <w:rFonts w:asciiTheme="majorBidi" w:hAnsiTheme="majorBidi" w:cstheme="majorBidi"/>
          <w:b/>
          <w:bCs/>
        </w:rPr>
      </w:pPr>
    </w:p>
    <w:p w14:paraId="79A641A9" w14:textId="77777777" w:rsidR="00737138" w:rsidRPr="006A2C58" w:rsidRDefault="00737138" w:rsidP="00737138">
      <w:pPr>
        <w:ind w:hanging="2"/>
        <w:jc w:val="center"/>
        <w:rPr>
          <w:rFonts w:asciiTheme="majorBidi" w:hAnsiTheme="majorBidi" w:cstheme="majorBidi"/>
          <w:b/>
          <w:bCs/>
        </w:rPr>
      </w:pPr>
    </w:p>
    <w:p w14:paraId="7A31E834" w14:textId="77777777" w:rsidR="00737138" w:rsidRDefault="00737138" w:rsidP="00737138">
      <w:pPr>
        <w:ind w:hanging="2"/>
        <w:jc w:val="center"/>
        <w:rPr>
          <w:rFonts w:asciiTheme="majorBidi" w:hAnsiTheme="majorBidi" w:cstheme="majorBidi"/>
          <w:b/>
          <w:bCs/>
        </w:rPr>
      </w:pPr>
    </w:p>
    <w:p w14:paraId="2850EABC" w14:textId="77777777" w:rsidR="00C26093" w:rsidRDefault="00C26093" w:rsidP="00737138">
      <w:pPr>
        <w:ind w:hanging="2"/>
        <w:jc w:val="center"/>
        <w:rPr>
          <w:rFonts w:asciiTheme="majorBidi" w:hAnsiTheme="majorBidi" w:cstheme="majorBidi"/>
          <w:b/>
          <w:bCs/>
        </w:rPr>
      </w:pPr>
    </w:p>
    <w:p w14:paraId="0627A66E" w14:textId="77777777" w:rsidR="00C26093" w:rsidRDefault="00C26093" w:rsidP="00737138">
      <w:pPr>
        <w:ind w:hanging="2"/>
        <w:jc w:val="center"/>
        <w:rPr>
          <w:rFonts w:asciiTheme="majorBidi" w:hAnsiTheme="majorBidi" w:cstheme="majorBidi"/>
          <w:b/>
          <w:bCs/>
        </w:rPr>
      </w:pPr>
    </w:p>
    <w:p w14:paraId="3FB43419" w14:textId="77777777" w:rsidR="00C26093" w:rsidRDefault="00C26093" w:rsidP="00737138">
      <w:pPr>
        <w:ind w:hanging="2"/>
        <w:jc w:val="center"/>
        <w:rPr>
          <w:rFonts w:asciiTheme="majorBidi" w:hAnsiTheme="majorBidi" w:cstheme="majorBidi"/>
          <w:b/>
          <w:bCs/>
        </w:rPr>
      </w:pPr>
    </w:p>
    <w:p w14:paraId="437426B7" w14:textId="77777777" w:rsidR="00C26093" w:rsidRDefault="00C26093" w:rsidP="00737138">
      <w:pPr>
        <w:ind w:hanging="2"/>
        <w:jc w:val="center"/>
        <w:rPr>
          <w:rFonts w:asciiTheme="majorBidi" w:hAnsiTheme="majorBidi" w:cstheme="majorBidi"/>
          <w:b/>
          <w:bCs/>
        </w:rPr>
      </w:pPr>
    </w:p>
    <w:p w14:paraId="3EE2C898" w14:textId="77777777" w:rsidR="002D5A9B" w:rsidRDefault="002D5A9B" w:rsidP="00737138">
      <w:pPr>
        <w:ind w:hanging="2"/>
        <w:jc w:val="center"/>
        <w:rPr>
          <w:rFonts w:asciiTheme="majorBidi" w:hAnsiTheme="majorBidi" w:cstheme="majorBidi"/>
          <w:b/>
          <w:bCs/>
        </w:rPr>
      </w:pPr>
    </w:p>
    <w:p w14:paraId="023EEC66" w14:textId="77777777" w:rsidR="00C26093" w:rsidRDefault="00C26093" w:rsidP="00737138">
      <w:pPr>
        <w:ind w:hanging="2"/>
        <w:jc w:val="center"/>
        <w:rPr>
          <w:rFonts w:asciiTheme="majorBidi" w:hAnsiTheme="majorBidi" w:cstheme="majorBidi"/>
          <w:b/>
          <w:bCs/>
        </w:rPr>
      </w:pPr>
    </w:p>
    <w:p w14:paraId="59B09441" w14:textId="77777777" w:rsidR="00A166A8" w:rsidRPr="006A2C58" w:rsidRDefault="00A166A8" w:rsidP="00737138">
      <w:pPr>
        <w:ind w:hanging="2"/>
        <w:jc w:val="center"/>
        <w:rPr>
          <w:rFonts w:asciiTheme="majorBidi" w:hAnsiTheme="majorBidi" w:cstheme="majorBidi"/>
          <w:b/>
          <w:bCs/>
        </w:rPr>
      </w:pPr>
    </w:p>
    <w:p w14:paraId="67A5FDD0" w14:textId="77777777" w:rsidR="00737138" w:rsidRPr="006A2C58" w:rsidRDefault="00737138" w:rsidP="00737138">
      <w:pPr>
        <w:ind w:hanging="2"/>
        <w:jc w:val="center"/>
        <w:rPr>
          <w:rFonts w:asciiTheme="majorBidi" w:hAnsiTheme="majorBidi" w:cstheme="majorBidi"/>
          <w:b/>
          <w:bCs/>
        </w:rPr>
      </w:pPr>
    </w:p>
    <w:p w14:paraId="6606F631" w14:textId="77777777" w:rsidR="00737138" w:rsidRPr="00F629CB" w:rsidRDefault="00737138" w:rsidP="00AA5DBF">
      <w:pPr>
        <w:pStyle w:val="Titre1"/>
      </w:pPr>
      <w:bookmarkStart w:id="61" w:name="_Toc200486002"/>
      <w:r w:rsidRPr="00F629CB">
        <w:t>List of Figures:</w:t>
      </w:r>
      <w:bookmarkEnd w:id="61"/>
    </w:p>
    <w:p w14:paraId="341FA9A4" w14:textId="77777777" w:rsidR="00737138" w:rsidRPr="00F629CB" w:rsidRDefault="00737138" w:rsidP="001005A8">
      <w:pPr>
        <w:spacing w:line="480" w:lineRule="auto"/>
        <w:rPr>
          <w:rFonts w:asciiTheme="majorBidi" w:hAnsiTheme="majorBidi" w:cstheme="majorBidi"/>
        </w:rPr>
      </w:pPr>
    </w:p>
    <w:p w14:paraId="3DBBCB60" w14:textId="43DE3078" w:rsidR="00737138" w:rsidRDefault="00737138" w:rsidP="00470B5A">
      <w:pPr>
        <w:pStyle w:val="Tabledesillustrations"/>
        <w:tabs>
          <w:tab w:val="right" w:leader="dot" w:pos="9062"/>
        </w:tabs>
        <w:spacing w:line="480" w:lineRule="auto"/>
        <w:ind w:hanging="2"/>
        <w:rPr>
          <w:rFonts w:eastAsiaTheme="minorEastAsia"/>
          <w:noProof/>
          <w:sz w:val="24"/>
          <w:szCs w:val="24"/>
        </w:rPr>
      </w:pPr>
      <w:r w:rsidRPr="00F629CB">
        <w:rPr>
          <w:rFonts w:asciiTheme="majorBidi" w:hAnsiTheme="majorBidi" w:cstheme="majorBidi"/>
          <w:b/>
          <w:bCs/>
          <w:sz w:val="24"/>
          <w:szCs w:val="24"/>
        </w:rPr>
        <w:fldChar w:fldCharType="begin"/>
      </w:r>
      <w:r w:rsidRPr="00F629CB">
        <w:rPr>
          <w:rFonts w:asciiTheme="majorBidi" w:hAnsiTheme="majorBidi" w:cstheme="majorBidi"/>
          <w:b/>
          <w:bCs/>
          <w:sz w:val="24"/>
          <w:szCs w:val="24"/>
        </w:rPr>
        <w:instrText xml:space="preserve"> TOC \h \z \c "Figure" </w:instrText>
      </w:r>
      <w:r w:rsidRPr="00F629CB">
        <w:rPr>
          <w:rFonts w:asciiTheme="majorBidi" w:hAnsiTheme="majorBidi" w:cstheme="majorBidi"/>
          <w:b/>
          <w:bCs/>
          <w:sz w:val="24"/>
          <w:szCs w:val="24"/>
        </w:rPr>
        <w:fldChar w:fldCharType="separate"/>
      </w:r>
      <w:hyperlink w:anchor="_Toc199832201" w:history="1">
        <w:r w:rsidRPr="00CD75CD">
          <w:rPr>
            <w:rStyle w:val="Lienhypertexte"/>
            <w:rFonts w:asciiTheme="majorBidi" w:hAnsiTheme="majorBidi" w:cstheme="majorBidi"/>
            <w:b/>
            <w:bCs/>
            <w:noProof/>
          </w:rPr>
          <w:t>Figure 1</w:t>
        </w:r>
        <w:r w:rsidRPr="00CD75CD">
          <w:rPr>
            <w:rStyle w:val="Lienhypertexte"/>
            <w:rFonts w:asciiTheme="majorBidi" w:hAnsiTheme="majorBidi" w:cstheme="majorBidi"/>
            <w:noProof/>
          </w:rPr>
          <w:t xml:space="preserve"> Gibbs's Reflective Cycle </w:t>
        </w:r>
        <w:r w:rsidRPr="00CD75CD">
          <w:rPr>
            <w:rStyle w:val="Lienhypertexte"/>
            <w:rFonts w:asciiTheme="majorBidi" w:hAnsiTheme="majorBidi" w:cstheme="majorBidi"/>
            <w:b/>
            <w:bCs/>
            <w:noProof/>
          </w:rPr>
          <w:t>(Gibbs, 1988, as cited in Pearce, 2003)</w:t>
        </w:r>
        <w:r>
          <w:rPr>
            <w:noProof/>
            <w:webHidden/>
          </w:rPr>
          <w:tab/>
        </w:r>
        <w:r>
          <w:rPr>
            <w:noProof/>
            <w:webHidden/>
          </w:rPr>
          <w:fldChar w:fldCharType="begin"/>
        </w:r>
        <w:r>
          <w:rPr>
            <w:noProof/>
            <w:webHidden/>
          </w:rPr>
          <w:instrText xml:space="preserve"> PAGEREF _Toc199832201 \h </w:instrText>
        </w:r>
        <w:r>
          <w:rPr>
            <w:noProof/>
            <w:webHidden/>
          </w:rPr>
        </w:r>
        <w:r>
          <w:rPr>
            <w:noProof/>
            <w:webHidden/>
          </w:rPr>
          <w:fldChar w:fldCharType="separate"/>
        </w:r>
        <w:r w:rsidR="00DC3231">
          <w:rPr>
            <w:noProof/>
            <w:webHidden/>
          </w:rPr>
          <w:t>20</w:t>
        </w:r>
        <w:r>
          <w:rPr>
            <w:noProof/>
            <w:webHidden/>
          </w:rPr>
          <w:fldChar w:fldCharType="end"/>
        </w:r>
      </w:hyperlink>
    </w:p>
    <w:p w14:paraId="6875F0B3" w14:textId="4EB96245" w:rsidR="00737138" w:rsidRDefault="00A8731A" w:rsidP="00470B5A">
      <w:pPr>
        <w:pStyle w:val="Tabledesillustrations"/>
        <w:tabs>
          <w:tab w:val="right" w:leader="dot" w:pos="9062"/>
        </w:tabs>
        <w:spacing w:line="480" w:lineRule="auto"/>
        <w:ind w:hanging="2"/>
        <w:rPr>
          <w:rFonts w:eastAsiaTheme="minorEastAsia"/>
          <w:noProof/>
          <w:sz w:val="24"/>
          <w:szCs w:val="24"/>
        </w:rPr>
      </w:pPr>
      <w:hyperlink w:anchor="_Toc199832202" w:history="1">
        <w:r w:rsidR="00737138" w:rsidRPr="00CD75CD">
          <w:rPr>
            <w:rStyle w:val="Lienhypertexte"/>
            <w:rFonts w:asciiTheme="majorBidi" w:hAnsiTheme="majorBidi" w:cstheme="majorBidi"/>
            <w:b/>
            <w:bCs/>
            <w:noProof/>
          </w:rPr>
          <w:t>Figure 2</w:t>
        </w:r>
        <w:r w:rsidR="00737138" w:rsidRPr="00CD75CD">
          <w:rPr>
            <w:rStyle w:val="Lienhypertexte"/>
            <w:rFonts w:asciiTheme="majorBidi" w:hAnsiTheme="majorBidi" w:cstheme="majorBidi"/>
            <w:noProof/>
          </w:rPr>
          <w:t xml:space="preserve"> Guskey’s Framework of Critical Professional Development</w:t>
        </w:r>
        <w:r w:rsidR="00737138">
          <w:rPr>
            <w:noProof/>
            <w:webHidden/>
          </w:rPr>
          <w:tab/>
        </w:r>
        <w:r w:rsidR="00737138">
          <w:rPr>
            <w:noProof/>
            <w:webHidden/>
          </w:rPr>
          <w:fldChar w:fldCharType="begin"/>
        </w:r>
        <w:r w:rsidR="00737138">
          <w:rPr>
            <w:noProof/>
            <w:webHidden/>
          </w:rPr>
          <w:instrText xml:space="preserve"> PAGEREF _Toc199832202 \h </w:instrText>
        </w:r>
        <w:r w:rsidR="00737138">
          <w:rPr>
            <w:noProof/>
            <w:webHidden/>
          </w:rPr>
        </w:r>
        <w:r w:rsidR="00737138">
          <w:rPr>
            <w:noProof/>
            <w:webHidden/>
          </w:rPr>
          <w:fldChar w:fldCharType="separate"/>
        </w:r>
        <w:r w:rsidR="00DC3231">
          <w:rPr>
            <w:noProof/>
            <w:webHidden/>
          </w:rPr>
          <w:t>26</w:t>
        </w:r>
        <w:r w:rsidR="00737138">
          <w:rPr>
            <w:noProof/>
            <w:webHidden/>
          </w:rPr>
          <w:fldChar w:fldCharType="end"/>
        </w:r>
      </w:hyperlink>
    </w:p>
    <w:p w14:paraId="0F9FE02B" w14:textId="309DE131" w:rsidR="00737138" w:rsidRDefault="00A8731A" w:rsidP="00470B5A">
      <w:pPr>
        <w:pStyle w:val="Tabledesillustrations"/>
        <w:tabs>
          <w:tab w:val="right" w:leader="dot" w:pos="9062"/>
        </w:tabs>
        <w:spacing w:line="480" w:lineRule="auto"/>
        <w:ind w:hanging="2"/>
        <w:rPr>
          <w:rFonts w:eastAsiaTheme="minorEastAsia"/>
          <w:noProof/>
          <w:sz w:val="24"/>
          <w:szCs w:val="24"/>
        </w:rPr>
      </w:pPr>
      <w:hyperlink w:anchor="_Toc199832203" w:history="1">
        <w:r w:rsidR="00737138" w:rsidRPr="00CD75CD">
          <w:rPr>
            <w:rStyle w:val="Lienhypertexte"/>
            <w:rFonts w:asciiTheme="majorBidi" w:hAnsiTheme="majorBidi" w:cstheme="majorBidi"/>
            <w:b/>
            <w:bCs/>
            <w:noProof/>
          </w:rPr>
          <w:t>Figure 3</w:t>
        </w:r>
        <w:r w:rsidR="00737138" w:rsidRPr="00CD75CD">
          <w:rPr>
            <w:rStyle w:val="Lienhypertexte"/>
            <w:rFonts w:asciiTheme="majorBidi" w:hAnsiTheme="majorBidi" w:cstheme="majorBidi"/>
            <w:noProof/>
          </w:rPr>
          <w:t xml:space="preserve"> Assessment Literacy Framework</w:t>
        </w:r>
        <w:r w:rsidR="00737138">
          <w:rPr>
            <w:noProof/>
            <w:webHidden/>
          </w:rPr>
          <w:tab/>
        </w:r>
        <w:r w:rsidR="00737138">
          <w:rPr>
            <w:noProof/>
            <w:webHidden/>
          </w:rPr>
          <w:fldChar w:fldCharType="begin"/>
        </w:r>
        <w:r w:rsidR="00737138">
          <w:rPr>
            <w:noProof/>
            <w:webHidden/>
          </w:rPr>
          <w:instrText xml:space="preserve"> PAGEREF _Toc199832203 \h </w:instrText>
        </w:r>
        <w:r w:rsidR="00737138">
          <w:rPr>
            <w:noProof/>
            <w:webHidden/>
          </w:rPr>
        </w:r>
        <w:r w:rsidR="00737138">
          <w:rPr>
            <w:noProof/>
            <w:webHidden/>
          </w:rPr>
          <w:fldChar w:fldCharType="separate"/>
        </w:r>
        <w:r w:rsidR="00DC3231">
          <w:rPr>
            <w:noProof/>
            <w:webHidden/>
          </w:rPr>
          <w:t>80</w:t>
        </w:r>
        <w:r w:rsidR="00737138">
          <w:rPr>
            <w:noProof/>
            <w:webHidden/>
          </w:rPr>
          <w:fldChar w:fldCharType="end"/>
        </w:r>
      </w:hyperlink>
    </w:p>
    <w:p w14:paraId="03677CA2" w14:textId="77777777" w:rsidR="00737138" w:rsidRDefault="00737138" w:rsidP="00470B5A">
      <w:pPr>
        <w:spacing w:line="480" w:lineRule="auto"/>
        <w:ind w:hanging="2"/>
        <w:jc w:val="center"/>
        <w:rPr>
          <w:rFonts w:asciiTheme="majorBidi" w:hAnsiTheme="majorBidi" w:cstheme="majorBidi"/>
          <w:b/>
          <w:bCs/>
        </w:rPr>
      </w:pPr>
      <w:r w:rsidRPr="00F629CB">
        <w:rPr>
          <w:rFonts w:asciiTheme="majorBidi" w:hAnsiTheme="majorBidi" w:cstheme="majorBidi"/>
          <w:b/>
          <w:bCs/>
        </w:rPr>
        <w:fldChar w:fldCharType="end"/>
      </w:r>
    </w:p>
    <w:p w14:paraId="3425105E" w14:textId="77777777" w:rsidR="00737138" w:rsidRDefault="00737138" w:rsidP="00737138">
      <w:pPr>
        <w:ind w:hanging="2"/>
        <w:rPr>
          <w:rFonts w:asciiTheme="majorBidi" w:hAnsiTheme="majorBidi" w:cstheme="majorBidi"/>
          <w:b/>
          <w:bCs/>
        </w:rPr>
      </w:pPr>
      <w:r>
        <w:rPr>
          <w:rFonts w:asciiTheme="majorBidi" w:hAnsiTheme="majorBidi" w:cstheme="majorBidi"/>
          <w:b/>
          <w:bCs/>
        </w:rPr>
        <w:br w:type="page"/>
      </w:r>
    </w:p>
    <w:p w14:paraId="0CF1C4DC" w14:textId="77777777" w:rsidR="00737138" w:rsidRPr="001005A8" w:rsidRDefault="00737138" w:rsidP="00AA5DBF">
      <w:pPr>
        <w:pStyle w:val="Titre1"/>
      </w:pPr>
      <w:bookmarkStart w:id="62" w:name="_Toc200486003"/>
      <w:r w:rsidRPr="001005A8">
        <w:lastRenderedPageBreak/>
        <w:t>List of Tables</w:t>
      </w:r>
      <w:bookmarkEnd w:id="62"/>
    </w:p>
    <w:p w14:paraId="0B410678" w14:textId="3A127416" w:rsidR="00470B5A" w:rsidRPr="00291E2B" w:rsidRDefault="00470B5A" w:rsidP="001005A8">
      <w:pPr>
        <w:pStyle w:val="Tabledesillustrations"/>
        <w:tabs>
          <w:tab w:val="right" w:leader="dot" w:pos="9016"/>
        </w:tabs>
        <w:spacing w:line="480" w:lineRule="auto"/>
        <w:rPr>
          <w:rFonts w:asciiTheme="majorBidi" w:eastAsiaTheme="minorEastAsia" w:hAnsiTheme="majorBidi" w:cstheme="majorBidi"/>
          <w:noProof/>
          <w:sz w:val="24"/>
          <w:szCs w:val="24"/>
        </w:rPr>
      </w:pPr>
      <w:r w:rsidRPr="00291E2B">
        <w:rPr>
          <w:rFonts w:asciiTheme="majorBidi" w:hAnsiTheme="majorBidi" w:cstheme="majorBidi"/>
          <w:sz w:val="24"/>
          <w:szCs w:val="24"/>
          <w:lang w:val="fr-FR" w:bidi="ar-DZ"/>
        </w:rPr>
        <w:fldChar w:fldCharType="begin"/>
      </w:r>
      <w:r w:rsidRPr="00291E2B">
        <w:rPr>
          <w:rFonts w:asciiTheme="majorBidi" w:hAnsiTheme="majorBidi" w:cstheme="majorBidi"/>
          <w:sz w:val="24"/>
          <w:szCs w:val="24"/>
          <w:lang w:val="fr-FR" w:bidi="ar-DZ"/>
        </w:rPr>
        <w:instrText xml:space="preserve"> TOC \h \z \c "Table" </w:instrText>
      </w:r>
      <w:r w:rsidRPr="00291E2B">
        <w:rPr>
          <w:rFonts w:asciiTheme="majorBidi" w:hAnsiTheme="majorBidi" w:cstheme="majorBidi"/>
          <w:sz w:val="24"/>
          <w:szCs w:val="24"/>
          <w:lang w:val="fr-FR" w:bidi="ar-DZ"/>
        </w:rPr>
        <w:fldChar w:fldCharType="separate"/>
      </w:r>
      <w:hyperlink w:anchor="_Toc200446649" w:history="1">
        <w:r w:rsidRPr="00291E2B">
          <w:rPr>
            <w:rStyle w:val="Lienhypertexte"/>
            <w:rFonts w:asciiTheme="majorBidi" w:eastAsia="Calibri" w:hAnsiTheme="majorBidi" w:cstheme="majorBidi"/>
            <w:b/>
            <w:bCs/>
            <w:noProof/>
            <w:sz w:val="24"/>
            <w:szCs w:val="24"/>
          </w:rPr>
          <w:t>Table 1</w:t>
        </w:r>
        <w:r w:rsidRPr="00291E2B">
          <w:rPr>
            <w:rStyle w:val="Lienhypertexte"/>
            <w:rFonts w:asciiTheme="majorBidi" w:eastAsia="Calibri" w:hAnsiTheme="majorBidi" w:cstheme="majorBidi"/>
            <w:noProof/>
            <w:sz w:val="24"/>
            <w:szCs w:val="24"/>
          </w:rPr>
          <w:t xml:space="preserve"> The Biggest Challenges in Professional Development as an English Language Teacher</w:t>
        </w:r>
        <w:r w:rsidRPr="00291E2B">
          <w:rPr>
            <w:rFonts w:asciiTheme="majorBidi" w:hAnsiTheme="majorBidi" w:cstheme="majorBidi"/>
            <w:noProof/>
            <w:webHidden/>
            <w:sz w:val="24"/>
            <w:szCs w:val="24"/>
          </w:rPr>
          <w:tab/>
        </w:r>
        <w:r w:rsidRPr="00291E2B">
          <w:rPr>
            <w:rFonts w:asciiTheme="majorBidi" w:hAnsiTheme="majorBidi" w:cstheme="majorBidi"/>
            <w:noProof/>
            <w:webHidden/>
            <w:sz w:val="24"/>
            <w:szCs w:val="24"/>
          </w:rPr>
          <w:fldChar w:fldCharType="begin"/>
        </w:r>
        <w:r w:rsidRPr="00291E2B">
          <w:rPr>
            <w:rFonts w:asciiTheme="majorBidi" w:hAnsiTheme="majorBidi" w:cstheme="majorBidi"/>
            <w:noProof/>
            <w:webHidden/>
            <w:sz w:val="24"/>
            <w:szCs w:val="24"/>
          </w:rPr>
          <w:instrText xml:space="preserve"> PAGEREF _Toc200446649 \h </w:instrText>
        </w:r>
        <w:r w:rsidRPr="00291E2B">
          <w:rPr>
            <w:rFonts w:asciiTheme="majorBidi" w:hAnsiTheme="majorBidi" w:cstheme="majorBidi"/>
            <w:noProof/>
            <w:webHidden/>
            <w:sz w:val="24"/>
            <w:szCs w:val="24"/>
          </w:rPr>
        </w:r>
        <w:r w:rsidRPr="00291E2B">
          <w:rPr>
            <w:rFonts w:asciiTheme="majorBidi" w:hAnsiTheme="majorBidi" w:cstheme="majorBidi"/>
            <w:noProof/>
            <w:webHidden/>
            <w:sz w:val="24"/>
            <w:szCs w:val="24"/>
          </w:rPr>
          <w:fldChar w:fldCharType="separate"/>
        </w:r>
        <w:r w:rsidR="00DC3231">
          <w:rPr>
            <w:rFonts w:asciiTheme="majorBidi" w:hAnsiTheme="majorBidi" w:cstheme="majorBidi"/>
            <w:noProof/>
            <w:webHidden/>
            <w:sz w:val="24"/>
            <w:szCs w:val="24"/>
          </w:rPr>
          <w:t>23</w:t>
        </w:r>
        <w:r w:rsidRPr="00291E2B">
          <w:rPr>
            <w:rFonts w:asciiTheme="majorBidi" w:hAnsiTheme="majorBidi" w:cstheme="majorBidi"/>
            <w:noProof/>
            <w:webHidden/>
            <w:sz w:val="24"/>
            <w:szCs w:val="24"/>
          </w:rPr>
          <w:fldChar w:fldCharType="end"/>
        </w:r>
      </w:hyperlink>
    </w:p>
    <w:p w14:paraId="58A1D3B4" w14:textId="1A1F1CC0" w:rsidR="00470B5A" w:rsidRPr="00291E2B" w:rsidRDefault="00A8731A" w:rsidP="001005A8">
      <w:pPr>
        <w:pStyle w:val="Tabledesillustrations"/>
        <w:tabs>
          <w:tab w:val="right" w:leader="dot" w:pos="9016"/>
        </w:tabs>
        <w:spacing w:line="480" w:lineRule="auto"/>
        <w:rPr>
          <w:rFonts w:asciiTheme="majorBidi" w:eastAsiaTheme="minorEastAsia" w:hAnsiTheme="majorBidi" w:cstheme="majorBidi"/>
          <w:noProof/>
          <w:sz w:val="24"/>
          <w:szCs w:val="24"/>
        </w:rPr>
      </w:pPr>
      <w:hyperlink w:anchor="_Toc200446650" w:history="1">
        <w:r w:rsidR="00470B5A" w:rsidRPr="00291E2B">
          <w:rPr>
            <w:rStyle w:val="Lienhypertexte"/>
            <w:rFonts w:asciiTheme="majorBidi" w:eastAsia="Calibri" w:hAnsiTheme="majorBidi" w:cstheme="majorBidi"/>
            <w:b/>
            <w:bCs/>
            <w:noProof/>
            <w:sz w:val="24"/>
            <w:szCs w:val="24"/>
          </w:rPr>
          <w:t>Table 2</w:t>
        </w:r>
        <w:r w:rsidR="00470B5A" w:rsidRPr="00291E2B">
          <w:rPr>
            <w:rStyle w:val="Lienhypertexte"/>
            <w:rFonts w:asciiTheme="majorBidi" w:eastAsia="Calibri" w:hAnsiTheme="majorBidi" w:cstheme="majorBidi"/>
            <w:noProof/>
            <w:sz w:val="24"/>
            <w:szCs w:val="24"/>
          </w:rPr>
          <w:t xml:space="preserve"> The Summary of the Core Principles of each Theory</w:t>
        </w:r>
        <w:r w:rsidR="00470B5A" w:rsidRPr="00291E2B">
          <w:rPr>
            <w:rFonts w:asciiTheme="majorBidi" w:hAnsiTheme="majorBidi" w:cstheme="majorBidi"/>
            <w:noProof/>
            <w:webHidden/>
            <w:sz w:val="24"/>
            <w:szCs w:val="24"/>
          </w:rPr>
          <w:tab/>
        </w:r>
        <w:r w:rsidR="00470B5A" w:rsidRPr="00291E2B">
          <w:rPr>
            <w:rFonts w:asciiTheme="majorBidi" w:hAnsiTheme="majorBidi" w:cstheme="majorBidi"/>
            <w:noProof/>
            <w:webHidden/>
            <w:sz w:val="24"/>
            <w:szCs w:val="24"/>
          </w:rPr>
          <w:fldChar w:fldCharType="begin"/>
        </w:r>
        <w:r w:rsidR="00470B5A" w:rsidRPr="00291E2B">
          <w:rPr>
            <w:rFonts w:asciiTheme="majorBidi" w:hAnsiTheme="majorBidi" w:cstheme="majorBidi"/>
            <w:noProof/>
            <w:webHidden/>
            <w:sz w:val="24"/>
            <w:szCs w:val="24"/>
          </w:rPr>
          <w:instrText xml:space="preserve"> PAGEREF _Toc200446650 \h </w:instrText>
        </w:r>
        <w:r w:rsidR="00470B5A" w:rsidRPr="00291E2B">
          <w:rPr>
            <w:rFonts w:asciiTheme="majorBidi" w:hAnsiTheme="majorBidi" w:cstheme="majorBidi"/>
            <w:noProof/>
            <w:webHidden/>
            <w:sz w:val="24"/>
            <w:szCs w:val="24"/>
          </w:rPr>
        </w:r>
        <w:r w:rsidR="00470B5A" w:rsidRPr="00291E2B">
          <w:rPr>
            <w:rFonts w:asciiTheme="majorBidi" w:hAnsiTheme="majorBidi" w:cstheme="majorBidi"/>
            <w:noProof/>
            <w:webHidden/>
            <w:sz w:val="24"/>
            <w:szCs w:val="24"/>
          </w:rPr>
          <w:fldChar w:fldCharType="separate"/>
        </w:r>
        <w:r w:rsidR="00DC3231">
          <w:rPr>
            <w:rFonts w:asciiTheme="majorBidi" w:hAnsiTheme="majorBidi" w:cstheme="majorBidi"/>
            <w:noProof/>
            <w:webHidden/>
            <w:sz w:val="24"/>
            <w:szCs w:val="24"/>
          </w:rPr>
          <w:t>30</w:t>
        </w:r>
        <w:r w:rsidR="00470B5A" w:rsidRPr="00291E2B">
          <w:rPr>
            <w:rFonts w:asciiTheme="majorBidi" w:hAnsiTheme="majorBidi" w:cstheme="majorBidi"/>
            <w:noProof/>
            <w:webHidden/>
            <w:sz w:val="24"/>
            <w:szCs w:val="24"/>
          </w:rPr>
          <w:fldChar w:fldCharType="end"/>
        </w:r>
      </w:hyperlink>
    </w:p>
    <w:p w14:paraId="53437D60" w14:textId="0293CCF3" w:rsidR="00470B5A" w:rsidRPr="00291E2B" w:rsidRDefault="00A8731A" w:rsidP="001005A8">
      <w:pPr>
        <w:pStyle w:val="Tabledesillustrations"/>
        <w:tabs>
          <w:tab w:val="right" w:leader="dot" w:pos="9016"/>
        </w:tabs>
        <w:spacing w:line="480" w:lineRule="auto"/>
        <w:rPr>
          <w:rFonts w:asciiTheme="majorBidi" w:eastAsiaTheme="minorEastAsia" w:hAnsiTheme="majorBidi" w:cstheme="majorBidi"/>
          <w:noProof/>
          <w:sz w:val="24"/>
          <w:szCs w:val="24"/>
        </w:rPr>
      </w:pPr>
      <w:hyperlink w:anchor="_Toc200446651" w:history="1">
        <w:r w:rsidR="00470B5A" w:rsidRPr="00291E2B">
          <w:rPr>
            <w:rStyle w:val="Lienhypertexte"/>
            <w:rFonts w:asciiTheme="majorBidi" w:hAnsiTheme="majorBidi" w:cstheme="majorBidi"/>
            <w:b/>
            <w:bCs/>
            <w:noProof/>
            <w:sz w:val="24"/>
            <w:szCs w:val="24"/>
          </w:rPr>
          <w:t>Table 3</w:t>
        </w:r>
        <w:r w:rsidR="00470B5A" w:rsidRPr="00291E2B">
          <w:rPr>
            <w:rStyle w:val="Lienhypertexte"/>
            <w:rFonts w:asciiTheme="majorBidi" w:hAnsiTheme="majorBidi" w:cstheme="majorBidi"/>
            <w:noProof/>
            <w:sz w:val="24"/>
            <w:szCs w:val="24"/>
          </w:rPr>
          <w:t xml:space="preserve"> Teachers’ Demographic Information</w:t>
        </w:r>
        <w:r w:rsidR="00470B5A" w:rsidRPr="00291E2B">
          <w:rPr>
            <w:rFonts w:asciiTheme="majorBidi" w:hAnsiTheme="majorBidi" w:cstheme="majorBidi"/>
            <w:noProof/>
            <w:webHidden/>
            <w:sz w:val="24"/>
            <w:szCs w:val="24"/>
          </w:rPr>
          <w:tab/>
        </w:r>
        <w:r w:rsidR="00470B5A" w:rsidRPr="00291E2B">
          <w:rPr>
            <w:rFonts w:asciiTheme="majorBidi" w:hAnsiTheme="majorBidi" w:cstheme="majorBidi"/>
            <w:noProof/>
            <w:webHidden/>
            <w:sz w:val="24"/>
            <w:szCs w:val="24"/>
          </w:rPr>
          <w:fldChar w:fldCharType="begin"/>
        </w:r>
        <w:r w:rsidR="00470B5A" w:rsidRPr="00291E2B">
          <w:rPr>
            <w:rFonts w:asciiTheme="majorBidi" w:hAnsiTheme="majorBidi" w:cstheme="majorBidi"/>
            <w:noProof/>
            <w:webHidden/>
            <w:sz w:val="24"/>
            <w:szCs w:val="24"/>
          </w:rPr>
          <w:instrText xml:space="preserve"> PAGEREF _Toc200446651 \h </w:instrText>
        </w:r>
        <w:r w:rsidR="00470B5A" w:rsidRPr="00291E2B">
          <w:rPr>
            <w:rFonts w:asciiTheme="majorBidi" w:hAnsiTheme="majorBidi" w:cstheme="majorBidi"/>
            <w:noProof/>
            <w:webHidden/>
            <w:sz w:val="24"/>
            <w:szCs w:val="24"/>
          </w:rPr>
        </w:r>
        <w:r w:rsidR="00470B5A" w:rsidRPr="00291E2B">
          <w:rPr>
            <w:rFonts w:asciiTheme="majorBidi" w:hAnsiTheme="majorBidi" w:cstheme="majorBidi"/>
            <w:noProof/>
            <w:webHidden/>
            <w:sz w:val="24"/>
            <w:szCs w:val="24"/>
          </w:rPr>
          <w:fldChar w:fldCharType="separate"/>
        </w:r>
        <w:r w:rsidR="00DC3231">
          <w:rPr>
            <w:rFonts w:asciiTheme="majorBidi" w:hAnsiTheme="majorBidi" w:cstheme="majorBidi"/>
            <w:noProof/>
            <w:webHidden/>
            <w:sz w:val="24"/>
            <w:szCs w:val="24"/>
          </w:rPr>
          <w:t>39</w:t>
        </w:r>
        <w:r w:rsidR="00470B5A" w:rsidRPr="00291E2B">
          <w:rPr>
            <w:rFonts w:asciiTheme="majorBidi" w:hAnsiTheme="majorBidi" w:cstheme="majorBidi"/>
            <w:noProof/>
            <w:webHidden/>
            <w:sz w:val="24"/>
            <w:szCs w:val="24"/>
          </w:rPr>
          <w:fldChar w:fldCharType="end"/>
        </w:r>
      </w:hyperlink>
    </w:p>
    <w:p w14:paraId="5F2DB5AC" w14:textId="1C97C291" w:rsidR="00470B5A" w:rsidRPr="00291E2B" w:rsidRDefault="00A8731A" w:rsidP="001005A8">
      <w:pPr>
        <w:pStyle w:val="Tabledesillustrations"/>
        <w:tabs>
          <w:tab w:val="right" w:leader="dot" w:pos="9016"/>
        </w:tabs>
        <w:spacing w:line="480" w:lineRule="auto"/>
        <w:rPr>
          <w:rFonts w:asciiTheme="majorBidi" w:eastAsiaTheme="minorEastAsia" w:hAnsiTheme="majorBidi" w:cstheme="majorBidi"/>
          <w:noProof/>
          <w:sz w:val="24"/>
          <w:szCs w:val="24"/>
        </w:rPr>
      </w:pPr>
      <w:hyperlink w:anchor="_Toc200446652" w:history="1">
        <w:r w:rsidR="00470B5A" w:rsidRPr="00291E2B">
          <w:rPr>
            <w:rStyle w:val="Lienhypertexte"/>
            <w:rFonts w:asciiTheme="majorBidi" w:eastAsia="Calibri" w:hAnsiTheme="majorBidi" w:cstheme="majorBidi"/>
            <w:b/>
            <w:bCs/>
            <w:noProof/>
            <w:sz w:val="24"/>
            <w:szCs w:val="24"/>
          </w:rPr>
          <w:t xml:space="preserve">Table 4 </w:t>
        </w:r>
        <w:r w:rsidR="00470B5A" w:rsidRPr="00291E2B">
          <w:rPr>
            <w:rStyle w:val="Lienhypertexte"/>
            <w:rFonts w:asciiTheme="majorBidi" w:eastAsia="Calibri" w:hAnsiTheme="majorBidi" w:cstheme="majorBidi"/>
            <w:noProof/>
            <w:sz w:val="24"/>
            <w:szCs w:val="24"/>
          </w:rPr>
          <w:t>Description of the Questionnaire</w:t>
        </w:r>
        <w:r w:rsidR="00470B5A" w:rsidRPr="00291E2B">
          <w:rPr>
            <w:rFonts w:asciiTheme="majorBidi" w:hAnsiTheme="majorBidi" w:cstheme="majorBidi"/>
            <w:noProof/>
            <w:webHidden/>
            <w:sz w:val="24"/>
            <w:szCs w:val="24"/>
          </w:rPr>
          <w:tab/>
        </w:r>
        <w:r w:rsidR="00470B5A" w:rsidRPr="00291E2B">
          <w:rPr>
            <w:rFonts w:asciiTheme="majorBidi" w:hAnsiTheme="majorBidi" w:cstheme="majorBidi"/>
            <w:noProof/>
            <w:webHidden/>
            <w:sz w:val="24"/>
            <w:szCs w:val="24"/>
          </w:rPr>
          <w:fldChar w:fldCharType="begin"/>
        </w:r>
        <w:r w:rsidR="00470B5A" w:rsidRPr="00291E2B">
          <w:rPr>
            <w:rFonts w:asciiTheme="majorBidi" w:hAnsiTheme="majorBidi" w:cstheme="majorBidi"/>
            <w:noProof/>
            <w:webHidden/>
            <w:sz w:val="24"/>
            <w:szCs w:val="24"/>
          </w:rPr>
          <w:instrText xml:space="preserve"> PAGEREF _Toc200446652 \h </w:instrText>
        </w:r>
        <w:r w:rsidR="00470B5A" w:rsidRPr="00291E2B">
          <w:rPr>
            <w:rFonts w:asciiTheme="majorBidi" w:hAnsiTheme="majorBidi" w:cstheme="majorBidi"/>
            <w:noProof/>
            <w:webHidden/>
            <w:sz w:val="24"/>
            <w:szCs w:val="24"/>
          </w:rPr>
        </w:r>
        <w:r w:rsidR="00470B5A" w:rsidRPr="00291E2B">
          <w:rPr>
            <w:rFonts w:asciiTheme="majorBidi" w:hAnsiTheme="majorBidi" w:cstheme="majorBidi"/>
            <w:noProof/>
            <w:webHidden/>
            <w:sz w:val="24"/>
            <w:szCs w:val="24"/>
          </w:rPr>
          <w:fldChar w:fldCharType="separate"/>
        </w:r>
        <w:r w:rsidR="00DC3231">
          <w:rPr>
            <w:rFonts w:asciiTheme="majorBidi" w:hAnsiTheme="majorBidi" w:cstheme="majorBidi"/>
            <w:noProof/>
            <w:webHidden/>
            <w:sz w:val="24"/>
            <w:szCs w:val="24"/>
          </w:rPr>
          <w:t>43</w:t>
        </w:r>
        <w:r w:rsidR="00470B5A" w:rsidRPr="00291E2B">
          <w:rPr>
            <w:rFonts w:asciiTheme="majorBidi" w:hAnsiTheme="majorBidi" w:cstheme="majorBidi"/>
            <w:noProof/>
            <w:webHidden/>
            <w:sz w:val="24"/>
            <w:szCs w:val="24"/>
          </w:rPr>
          <w:fldChar w:fldCharType="end"/>
        </w:r>
      </w:hyperlink>
    </w:p>
    <w:p w14:paraId="779F739A" w14:textId="524943CD" w:rsidR="00470B5A" w:rsidRPr="00291E2B" w:rsidRDefault="00A8731A" w:rsidP="001005A8">
      <w:pPr>
        <w:pStyle w:val="Tabledesillustrations"/>
        <w:tabs>
          <w:tab w:val="right" w:leader="dot" w:pos="9016"/>
        </w:tabs>
        <w:spacing w:line="480" w:lineRule="auto"/>
        <w:rPr>
          <w:rFonts w:asciiTheme="majorBidi" w:eastAsiaTheme="minorEastAsia" w:hAnsiTheme="majorBidi" w:cstheme="majorBidi"/>
          <w:noProof/>
          <w:sz w:val="24"/>
          <w:szCs w:val="24"/>
        </w:rPr>
      </w:pPr>
      <w:hyperlink w:anchor="_Toc200446653" w:history="1">
        <w:r w:rsidR="00470B5A" w:rsidRPr="00291E2B">
          <w:rPr>
            <w:rStyle w:val="Lienhypertexte"/>
            <w:rFonts w:asciiTheme="majorBidi" w:eastAsia="Calibri" w:hAnsiTheme="majorBidi" w:cstheme="majorBidi"/>
            <w:b/>
            <w:bCs/>
            <w:noProof/>
            <w:sz w:val="24"/>
            <w:szCs w:val="24"/>
          </w:rPr>
          <w:t>Table 5</w:t>
        </w:r>
        <w:r w:rsidR="00470B5A" w:rsidRPr="00291E2B">
          <w:rPr>
            <w:rStyle w:val="Lienhypertexte"/>
            <w:rFonts w:asciiTheme="majorBidi" w:eastAsia="Calibri" w:hAnsiTheme="majorBidi" w:cstheme="majorBidi"/>
            <w:noProof/>
            <w:sz w:val="24"/>
            <w:szCs w:val="24"/>
          </w:rPr>
          <w:t xml:space="preserve"> Aspects Related to Platform Observation</w:t>
        </w:r>
        <w:r w:rsidR="00470B5A" w:rsidRPr="00291E2B">
          <w:rPr>
            <w:rFonts w:asciiTheme="majorBidi" w:hAnsiTheme="majorBidi" w:cstheme="majorBidi"/>
            <w:noProof/>
            <w:webHidden/>
            <w:sz w:val="24"/>
            <w:szCs w:val="24"/>
          </w:rPr>
          <w:tab/>
        </w:r>
        <w:r w:rsidR="00470B5A" w:rsidRPr="00291E2B">
          <w:rPr>
            <w:rFonts w:asciiTheme="majorBidi" w:hAnsiTheme="majorBidi" w:cstheme="majorBidi"/>
            <w:noProof/>
            <w:webHidden/>
            <w:sz w:val="24"/>
            <w:szCs w:val="24"/>
          </w:rPr>
          <w:fldChar w:fldCharType="begin"/>
        </w:r>
        <w:r w:rsidR="00470B5A" w:rsidRPr="00291E2B">
          <w:rPr>
            <w:rFonts w:asciiTheme="majorBidi" w:hAnsiTheme="majorBidi" w:cstheme="majorBidi"/>
            <w:noProof/>
            <w:webHidden/>
            <w:sz w:val="24"/>
            <w:szCs w:val="24"/>
          </w:rPr>
          <w:instrText xml:space="preserve"> PAGEREF _Toc200446653 \h </w:instrText>
        </w:r>
        <w:r w:rsidR="00470B5A" w:rsidRPr="00291E2B">
          <w:rPr>
            <w:rFonts w:asciiTheme="majorBidi" w:hAnsiTheme="majorBidi" w:cstheme="majorBidi"/>
            <w:noProof/>
            <w:webHidden/>
            <w:sz w:val="24"/>
            <w:szCs w:val="24"/>
          </w:rPr>
        </w:r>
        <w:r w:rsidR="00470B5A" w:rsidRPr="00291E2B">
          <w:rPr>
            <w:rFonts w:asciiTheme="majorBidi" w:hAnsiTheme="majorBidi" w:cstheme="majorBidi"/>
            <w:noProof/>
            <w:webHidden/>
            <w:sz w:val="24"/>
            <w:szCs w:val="24"/>
          </w:rPr>
          <w:fldChar w:fldCharType="separate"/>
        </w:r>
        <w:r w:rsidR="00DC3231">
          <w:rPr>
            <w:rFonts w:asciiTheme="majorBidi" w:hAnsiTheme="majorBidi" w:cstheme="majorBidi"/>
            <w:noProof/>
            <w:webHidden/>
            <w:sz w:val="24"/>
            <w:szCs w:val="24"/>
          </w:rPr>
          <w:t>46</w:t>
        </w:r>
        <w:r w:rsidR="00470B5A" w:rsidRPr="00291E2B">
          <w:rPr>
            <w:rFonts w:asciiTheme="majorBidi" w:hAnsiTheme="majorBidi" w:cstheme="majorBidi"/>
            <w:noProof/>
            <w:webHidden/>
            <w:sz w:val="24"/>
            <w:szCs w:val="24"/>
          </w:rPr>
          <w:fldChar w:fldCharType="end"/>
        </w:r>
      </w:hyperlink>
    </w:p>
    <w:p w14:paraId="3B22DF45" w14:textId="1F1FC48D" w:rsidR="00470B5A" w:rsidRPr="00291E2B" w:rsidRDefault="00A8731A" w:rsidP="001005A8">
      <w:pPr>
        <w:pStyle w:val="Tabledesillustrations"/>
        <w:tabs>
          <w:tab w:val="right" w:leader="dot" w:pos="9016"/>
        </w:tabs>
        <w:spacing w:line="480" w:lineRule="auto"/>
        <w:rPr>
          <w:rFonts w:asciiTheme="majorBidi" w:eastAsiaTheme="minorEastAsia" w:hAnsiTheme="majorBidi" w:cstheme="majorBidi"/>
          <w:noProof/>
          <w:sz w:val="24"/>
          <w:szCs w:val="24"/>
        </w:rPr>
      </w:pPr>
      <w:hyperlink w:anchor="_Toc200446654" w:history="1">
        <w:r w:rsidR="00470B5A" w:rsidRPr="00291E2B">
          <w:rPr>
            <w:rStyle w:val="Lienhypertexte"/>
            <w:rFonts w:asciiTheme="majorBidi" w:eastAsia="Calibri" w:hAnsiTheme="majorBidi" w:cstheme="majorBidi"/>
            <w:b/>
            <w:bCs/>
            <w:noProof/>
            <w:sz w:val="24"/>
            <w:szCs w:val="24"/>
          </w:rPr>
          <w:t>Table 6</w:t>
        </w:r>
        <w:r w:rsidR="00470B5A" w:rsidRPr="00291E2B">
          <w:rPr>
            <w:rStyle w:val="Lienhypertexte"/>
            <w:rFonts w:asciiTheme="majorBidi" w:eastAsia="Calibri" w:hAnsiTheme="majorBidi" w:cstheme="majorBidi"/>
            <w:noProof/>
            <w:sz w:val="24"/>
            <w:szCs w:val="24"/>
          </w:rPr>
          <w:t xml:space="preserve"> Key Themes and Findings Related to Teachers Interviews</w:t>
        </w:r>
        <w:r w:rsidR="00470B5A" w:rsidRPr="00291E2B">
          <w:rPr>
            <w:rFonts w:asciiTheme="majorBidi" w:hAnsiTheme="majorBidi" w:cstheme="majorBidi"/>
            <w:noProof/>
            <w:webHidden/>
            <w:sz w:val="24"/>
            <w:szCs w:val="24"/>
          </w:rPr>
          <w:tab/>
        </w:r>
        <w:r w:rsidR="00470B5A" w:rsidRPr="00291E2B">
          <w:rPr>
            <w:rFonts w:asciiTheme="majorBidi" w:hAnsiTheme="majorBidi" w:cstheme="majorBidi"/>
            <w:noProof/>
            <w:webHidden/>
            <w:sz w:val="24"/>
            <w:szCs w:val="24"/>
          </w:rPr>
          <w:fldChar w:fldCharType="begin"/>
        </w:r>
        <w:r w:rsidR="00470B5A" w:rsidRPr="00291E2B">
          <w:rPr>
            <w:rFonts w:asciiTheme="majorBidi" w:hAnsiTheme="majorBidi" w:cstheme="majorBidi"/>
            <w:noProof/>
            <w:webHidden/>
            <w:sz w:val="24"/>
            <w:szCs w:val="24"/>
          </w:rPr>
          <w:instrText xml:space="preserve"> PAGEREF _Toc200446654 \h </w:instrText>
        </w:r>
        <w:r w:rsidR="00470B5A" w:rsidRPr="00291E2B">
          <w:rPr>
            <w:rFonts w:asciiTheme="majorBidi" w:hAnsiTheme="majorBidi" w:cstheme="majorBidi"/>
            <w:noProof/>
            <w:webHidden/>
            <w:sz w:val="24"/>
            <w:szCs w:val="24"/>
          </w:rPr>
        </w:r>
        <w:r w:rsidR="00470B5A" w:rsidRPr="00291E2B">
          <w:rPr>
            <w:rFonts w:asciiTheme="majorBidi" w:hAnsiTheme="majorBidi" w:cstheme="majorBidi"/>
            <w:noProof/>
            <w:webHidden/>
            <w:sz w:val="24"/>
            <w:szCs w:val="24"/>
          </w:rPr>
          <w:fldChar w:fldCharType="separate"/>
        </w:r>
        <w:r w:rsidR="00DC3231">
          <w:rPr>
            <w:rFonts w:asciiTheme="majorBidi" w:hAnsiTheme="majorBidi" w:cstheme="majorBidi"/>
            <w:noProof/>
            <w:webHidden/>
            <w:sz w:val="24"/>
            <w:szCs w:val="24"/>
          </w:rPr>
          <w:t>48</w:t>
        </w:r>
        <w:r w:rsidR="00470B5A" w:rsidRPr="00291E2B">
          <w:rPr>
            <w:rFonts w:asciiTheme="majorBidi" w:hAnsiTheme="majorBidi" w:cstheme="majorBidi"/>
            <w:noProof/>
            <w:webHidden/>
            <w:sz w:val="24"/>
            <w:szCs w:val="24"/>
          </w:rPr>
          <w:fldChar w:fldCharType="end"/>
        </w:r>
      </w:hyperlink>
    </w:p>
    <w:p w14:paraId="43DC2B83" w14:textId="1B498FCE" w:rsidR="00470B5A" w:rsidRPr="00291E2B" w:rsidRDefault="00A8731A" w:rsidP="001005A8">
      <w:pPr>
        <w:pStyle w:val="Tabledesillustrations"/>
        <w:tabs>
          <w:tab w:val="right" w:leader="dot" w:pos="9016"/>
        </w:tabs>
        <w:spacing w:line="480" w:lineRule="auto"/>
        <w:rPr>
          <w:rFonts w:asciiTheme="majorBidi" w:eastAsiaTheme="minorEastAsia" w:hAnsiTheme="majorBidi" w:cstheme="majorBidi"/>
          <w:noProof/>
          <w:sz w:val="24"/>
          <w:szCs w:val="24"/>
        </w:rPr>
      </w:pPr>
      <w:hyperlink w:anchor="_Toc200446655" w:history="1">
        <w:r w:rsidR="00470B5A" w:rsidRPr="00291E2B">
          <w:rPr>
            <w:rStyle w:val="Lienhypertexte"/>
            <w:rFonts w:asciiTheme="majorBidi" w:eastAsia="Calibri" w:hAnsiTheme="majorBidi" w:cstheme="majorBidi"/>
            <w:b/>
            <w:bCs/>
            <w:noProof/>
            <w:sz w:val="24"/>
            <w:szCs w:val="24"/>
          </w:rPr>
          <w:t>Table 7</w:t>
        </w:r>
        <w:r w:rsidR="00470B5A" w:rsidRPr="00291E2B">
          <w:rPr>
            <w:rStyle w:val="Lienhypertexte"/>
            <w:rFonts w:asciiTheme="majorBidi" w:eastAsia="Calibri" w:hAnsiTheme="majorBidi" w:cstheme="majorBidi"/>
            <w:noProof/>
            <w:sz w:val="24"/>
            <w:szCs w:val="24"/>
          </w:rPr>
          <w:t xml:space="preserve"> Key Themes and Findings Related to Inspector's Interview</w:t>
        </w:r>
        <w:r w:rsidR="00470B5A" w:rsidRPr="00291E2B">
          <w:rPr>
            <w:rFonts w:asciiTheme="majorBidi" w:hAnsiTheme="majorBidi" w:cstheme="majorBidi"/>
            <w:noProof/>
            <w:webHidden/>
            <w:sz w:val="24"/>
            <w:szCs w:val="24"/>
          </w:rPr>
          <w:tab/>
        </w:r>
        <w:r w:rsidR="00470B5A" w:rsidRPr="00291E2B">
          <w:rPr>
            <w:rFonts w:asciiTheme="majorBidi" w:hAnsiTheme="majorBidi" w:cstheme="majorBidi"/>
            <w:noProof/>
            <w:webHidden/>
            <w:sz w:val="24"/>
            <w:szCs w:val="24"/>
          </w:rPr>
          <w:fldChar w:fldCharType="begin"/>
        </w:r>
        <w:r w:rsidR="00470B5A" w:rsidRPr="00291E2B">
          <w:rPr>
            <w:rFonts w:asciiTheme="majorBidi" w:hAnsiTheme="majorBidi" w:cstheme="majorBidi"/>
            <w:noProof/>
            <w:webHidden/>
            <w:sz w:val="24"/>
            <w:szCs w:val="24"/>
          </w:rPr>
          <w:instrText xml:space="preserve"> PAGEREF _Toc200446655 \h </w:instrText>
        </w:r>
        <w:r w:rsidR="00470B5A" w:rsidRPr="00291E2B">
          <w:rPr>
            <w:rFonts w:asciiTheme="majorBidi" w:hAnsiTheme="majorBidi" w:cstheme="majorBidi"/>
            <w:noProof/>
            <w:webHidden/>
            <w:sz w:val="24"/>
            <w:szCs w:val="24"/>
          </w:rPr>
        </w:r>
        <w:r w:rsidR="00470B5A" w:rsidRPr="00291E2B">
          <w:rPr>
            <w:rFonts w:asciiTheme="majorBidi" w:hAnsiTheme="majorBidi" w:cstheme="majorBidi"/>
            <w:noProof/>
            <w:webHidden/>
            <w:sz w:val="24"/>
            <w:szCs w:val="24"/>
          </w:rPr>
          <w:fldChar w:fldCharType="separate"/>
        </w:r>
        <w:r w:rsidR="00DC3231">
          <w:rPr>
            <w:rFonts w:asciiTheme="majorBidi" w:hAnsiTheme="majorBidi" w:cstheme="majorBidi"/>
            <w:noProof/>
            <w:webHidden/>
            <w:sz w:val="24"/>
            <w:szCs w:val="24"/>
          </w:rPr>
          <w:t>50</w:t>
        </w:r>
        <w:r w:rsidR="00470B5A" w:rsidRPr="00291E2B">
          <w:rPr>
            <w:rFonts w:asciiTheme="majorBidi" w:hAnsiTheme="majorBidi" w:cstheme="majorBidi"/>
            <w:noProof/>
            <w:webHidden/>
            <w:sz w:val="24"/>
            <w:szCs w:val="24"/>
          </w:rPr>
          <w:fldChar w:fldCharType="end"/>
        </w:r>
      </w:hyperlink>
    </w:p>
    <w:p w14:paraId="707E2B6F" w14:textId="612EBA3A" w:rsidR="00470B5A" w:rsidRPr="00291E2B" w:rsidRDefault="00A8731A" w:rsidP="001005A8">
      <w:pPr>
        <w:pStyle w:val="Tabledesillustrations"/>
        <w:tabs>
          <w:tab w:val="right" w:leader="dot" w:pos="9016"/>
        </w:tabs>
        <w:spacing w:line="480" w:lineRule="auto"/>
        <w:rPr>
          <w:rFonts w:asciiTheme="majorBidi" w:eastAsiaTheme="minorEastAsia" w:hAnsiTheme="majorBidi" w:cstheme="majorBidi"/>
          <w:noProof/>
          <w:sz w:val="24"/>
          <w:szCs w:val="24"/>
        </w:rPr>
      </w:pPr>
      <w:hyperlink w:anchor="_Toc200446656" w:history="1">
        <w:r w:rsidR="00470B5A" w:rsidRPr="00291E2B">
          <w:rPr>
            <w:rStyle w:val="Lienhypertexte"/>
            <w:rFonts w:asciiTheme="majorBidi" w:eastAsia="Calibri" w:hAnsiTheme="majorBidi" w:cstheme="majorBidi"/>
            <w:b/>
            <w:bCs/>
            <w:noProof/>
            <w:sz w:val="24"/>
            <w:szCs w:val="24"/>
          </w:rPr>
          <w:t xml:space="preserve">Table 8 </w:t>
        </w:r>
        <w:r w:rsidR="00470B5A" w:rsidRPr="00291E2B">
          <w:rPr>
            <w:rStyle w:val="Lienhypertexte"/>
            <w:rFonts w:asciiTheme="majorBidi" w:eastAsia="Calibri" w:hAnsiTheme="majorBidi" w:cstheme="majorBidi"/>
            <w:noProof/>
            <w:sz w:val="24"/>
            <w:szCs w:val="24"/>
          </w:rPr>
          <w:t>Teachers’ Participation in OTCs</w:t>
        </w:r>
        <w:r w:rsidR="00470B5A" w:rsidRPr="00291E2B">
          <w:rPr>
            <w:rFonts w:asciiTheme="majorBidi" w:hAnsiTheme="majorBidi" w:cstheme="majorBidi"/>
            <w:noProof/>
            <w:webHidden/>
            <w:sz w:val="24"/>
            <w:szCs w:val="24"/>
          </w:rPr>
          <w:tab/>
        </w:r>
        <w:r w:rsidR="00470B5A" w:rsidRPr="00291E2B">
          <w:rPr>
            <w:rFonts w:asciiTheme="majorBidi" w:hAnsiTheme="majorBidi" w:cstheme="majorBidi"/>
            <w:noProof/>
            <w:webHidden/>
            <w:sz w:val="24"/>
            <w:szCs w:val="24"/>
          </w:rPr>
          <w:fldChar w:fldCharType="begin"/>
        </w:r>
        <w:r w:rsidR="00470B5A" w:rsidRPr="00291E2B">
          <w:rPr>
            <w:rFonts w:asciiTheme="majorBidi" w:hAnsiTheme="majorBidi" w:cstheme="majorBidi"/>
            <w:noProof/>
            <w:webHidden/>
            <w:sz w:val="24"/>
            <w:szCs w:val="24"/>
          </w:rPr>
          <w:instrText xml:space="preserve"> PAGEREF _Toc200446656 \h </w:instrText>
        </w:r>
        <w:r w:rsidR="00470B5A" w:rsidRPr="00291E2B">
          <w:rPr>
            <w:rFonts w:asciiTheme="majorBidi" w:hAnsiTheme="majorBidi" w:cstheme="majorBidi"/>
            <w:noProof/>
            <w:webHidden/>
            <w:sz w:val="24"/>
            <w:szCs w:val="24"/>
          </w:rPr>
        </w:r>
        <w:r w:rsidR="00470B5A" w:rsidRPr="00291E2B">
          <w:rPr>
            <w:rFonts w:asciiTheme="majorBidi" w:hAnsiTheme="majorBidi" w:cstheme="majorBidi"/>
            <w:noProof/>
            <w:webHidden/>
            <w:sz w:val="24"/>
            <w:szCs w:val="24"/>
          </w:rPr>
          <w:fldChar w:fldCharType="separate"/>
        </w:r>
        <w:r w:rsidR="00DC3231">
          <w:rPr>
            <w:rFonts w:asciiTheme="majorBidi" w:hAnsiTheme="majorBidi" w:cstheme="majorBidi"/>
            <w:noProof/>
            <w:webHidden/>
            <w:sz w:val="24"/>
            <w:szCs w:val="24"/>
          </w:rPr>
          <w:t>54</w:t>
        </w:r>
        <w:r w:rsidR="00470B5A" w:rsidRPr="00291E2B">
          <w:rPr>
            <w:rFonts w:asciiTheme="majorBidi" w:hAnsiTheme="majorBidi" w:cstheme="majorBidi"/>
            <w:noProof/>
            <w:webHidden/>
            <w:sz w:val="24"/>
            <w:szCs w:val="24"/>
          </w:rPr>
          <w:fldChar w:fldCharType="end"/>
        </w:r>
      </w:hyperlink>
    </w:p>
    <w:p w14:paraId="33554247" w14:textId="3C4F30F7" w:rsidR="00470B5A" w:rsidRPr="00291E2B" w:rsidRDefault="00A8731A" w:rsidP="001005A8">
      <w:pPr>
        <w:pStyle w:val="Tabledesillustrations"/>
        <w:tabs>
          <w:tab w:val="right" w:leader="dot" w:pos="9016"/>
        </w:tabs>
        <w:spacing w:line="480" w:lineRule="auto"/>
        <w:rPr>
          <w:rFonts w:asciiTheme="majorBidi" w:eastAsiaTheme="minorEastAsia" w:hAnsiTheme="majorBidi" w:cstheme="majorBidi"/>
          <w:noProof/>
          <w:sz w:val="24"/>
          <w:szCs w:val="24"/>
        </w:rPr>
      </w:pPr>
      <w:hyperlink w:anchor="_Toc200446657" w:history="1">
        <w:r w:rsidR="00470B5A" w:rsidRPr="00291E2B">
          <w:rPr>
            <w:rStyle w:val="Lienhypertexte"/>
            <w:rFonts w:asciiTheme="majorBidi" w:eastAsia="Calibri" w:hAnsiTheme="majorBidi" w:cstheme="majorBidi"/>
            <w:b/>
            <w:bCs/>
            <w:noProof/>
            <w:sz w:val="24"/>
            <w:szCs w:val="24"/>
          </w:rPr>
          <w:t>Table 9</w:t>
        </w:r>
        <w:r w:rsidR="00470B5A" w:rsidRPr="00291E2B">
          <w:rPr>
            <w:rStyle w:val="Lienhypertexte"/>
            <w:rFonts w:asciiTheme="majorBidi" w:eastAsia="Calibri" w:hAnsiTheme="majorBidi" w:cstheme="majorBidi"/>
            <w:noProof/>
            <w:sz w:val="24"/>
            <w:szCs w:val="24"/>
          </w:rPr>
          <w:t xml:space="preserve"> Distribution of Responses on the Questionnaire’s First Section Likert Scale</w:t>
        </w:r>
        <w:r w:rsidR="00470B5A" w:rsidRPr="00291E2B">
          <w:rPr>
            <w:rFonts w:asciiTheme="majorBidi" w:hAnsiTheme="majorBidi" w:cstheme="majorBidi"/>
            <w:noProof/>
            <w:webHidden/>
            <w:sz w:val="24"/>
            <w:szCs w:val="24"/>
          </w:rPr>
          <w:tab/>
        </w:r>
        <w:r w:rsidR="00470B5A" w:rsidRPr="00291E2B">
          <w:rPr>
            <w:rFonts w:asciiTheme="majorBidi" w:hAnsiTheme="majorBidi" w:cstheme="majorBidi"/>
            <w:noProof/>
            <w:webHidden/>
            <w:sz w:val="24"/>
            <w:szCs w:val="24"/>
          </w:rPr>
          <w:fldChar w:fldCharType="begin"/>
        </w:r>
        <w:r w:rsidR="00470B5A" w:rsidRPr="00291E2B">
          <w:rPr>
            <w:rFonts w:asciiTheme="majorBidi" w:hAnsiTheme="majorBidi" w:cstheme="majorBidi"/>
            <w:noProof/>
            <w:webHidden/>
            <w:sz w:val="24"/>
            <w:szCs w:val="24"/>
          </w:rPr>
          <w:instrText xml:space="preserve"> PAGEREF _Toc200446657 \h </w:instrText>
        </w:r>
        <w:r w:rsidR="00470B5A" w:rsidRPr="00291E2B">
          <w:rPr>
            <w:rFonts w:asciiTheme="majorBidi" w:hAnsiTheme="majorBidi" w:cstheme="majorBidi"/>
            <w:noProof/>
            <w:webHidden/>
            <w:sz w:val="24"/>
            <w:szCs w:val="24"/>
          </w:rPr>
        </w:r>
        <w:r w:rsidR="00470B5A" w:rsidRPr="00291E2B">
          <w:rPr>
            <w:rFonts w:asciiTheme="majorBidi" w:hAnsiTheme="majorBidi" w:cstheme="majorBidi"/>
            <w:noProof/>
            <w:webHidden/>
            <w:sz w:val="24"/>
            <w:szCs w:val="24"/>
          </w:rPr>
          <w:fldChar w:fldCharType="separate"/>
        </w:r>
        <w:r w:rsidR="00DC3231">
          <w:rPr>
            <w:rFonts w:asciiTheme="majorBidi" w:hAnsiTheme="majorBidi" w:cstheme="majorBidi"/>
            <w:noProof/>
            <w:webHidden/>
            <w:sz w:val="24"/>
            <w:szCs w:val="24"/>
          </w:rPr>
          <w:t>60</w:t>
        </w:r>
        <w:r w:rsidR="00470B5A" w:rsidRPr="00291E2B">
          <w:rPr>
            <w:rFonts w:asciiTheme="majorBidi" w:hAnsiTheme="majorBidi" w:cstheme="majorBidi"/>
            <w:noProof/>
            <w:webHidden/>
            <w:sz w:val="24"/>
            <w:szCs w:val="24"/>
          </w:rPr>
          <w:fldChar w:fldCharType="end"/>
        </w:r>
      </w:hyperlink>
    </w:p>
    <w:p w14:paraId="68DC687F" w14:textId="03BBEAF0" w:rsidR="00470B5A" w:rsidRPr="00291E2B" w:rsidRDefault="00A8731A" w:rsidP="001005A8">
      <w:pPr>
        <w:pStyle w:val="Tabledesillustrations"/>
        <w:tabs>
          <w:tab w:val="right" w:leader="dot" w:pos="9016"/>
        </w:tabs>
        <w:spacing w:line="480" w:lineRule="auto"/>
        <w:rPr>
          <w:rFonts w:asciiTheme="majorBidi" w:eastAsiaTheme="minorEastAsia" w:hAnsiTheme="majorBidi" w:cstheme="majorBidi"/>
          <w:noProof/>
          <w:sz w:val="24"/>
          <w:szCs w:val="24"/>
        </w:rPr>
      </w:pPr>
      <w:hyperlink w:anchor="_Toc200446658" w:history="1">
        <w:r w:rsidR="00470B5A" w:rsidRPr="00291E2B">
          <w:rPr>
            <w:rStyle w:val="Lienhypertexte"/>
            <w:rFonts w:asciiTheme="majorBidi" w:eastAsia="Calibri" w:hAnsiTheme="majorBidi" w:cstheme="majorBidi"/>
            <w:b/>
            <w:bCs/>
            <w:noProof/>
            <w:sz w:val="24"/>
            <w:szCs w:val="24"/>
          </w:rPr>
          <w:t xml:space="preserve">Table 10 </w:t>
        </w:r>
        <w:r w:rsidR="00470B5A" w:rsidRPr="00291E2B">
          <w:rPr>
            <w:rStyle w:val="Lienhypertexte"/>
            <w:rFonts w:asciiTheme="majorBidi" w:eastAsia="Calibri" w:hAnsiTheme="majorBidi" w:cstheme="majorBidi"/>
            <w:noProof/>
            <w:sz w:val="24"/>
            <w:szCs w:val="24"/>
          </w:rPr>
          <w:t>Summary of Descriptive Measures for Likert Scale Items 01</w:t>
        </w:r>
        <w:r w:rsidR="00470B5A" w:rsidRPr="00291E2B">
          <w:rPr>
            <w:rFonts w:asciiTheme="majorBidi" w:hAnsiTheme="majorBidi" w:cstheme="majorBidi"/>
            <w:noProof/>
            <w:webHidden/>
            <w:sz w:val="24"/>
            <w:szCs w:val="24"/>
          </w:rPr>
          <w:tab/>
        </w:r>
        <w:r w:rsidR="00470B5A" w:rsidRPr="00291E2B">
          <w:rPr>
            <w:rFonts w:asciiTheme="majorBidi" w:hAnsiTheme="majorBidi" w:cstheme="majorBidi"/>
            <w:noProof/>
            <w:webHidden/>
            <w:sz w:val="24"/>
            <w:szCs w:val="24"/>
          </w:rPr>
          <w:fldChar w:fldCharType="begin"/>
        </w:r>
        <w:r w:rsidR="00470B5A" w:rsidRPr="00291E2B">
          <w:rPr>
            <w:rFonts w:asciiTheme="majorBidi" w:hAnsiTheme="majorBidi" w:cstheme="majorBidi"/>
            <w:noProof/>
            <w:webHidden/>
            <w:sz w:val="24"/>
            <w:szCs w:val="24"/>
          </w:rPr>
          <w:instrText xml:space="preserve"> PAGEREF _Toc200446658 \h </w:instrText>
        </w:r>
        <w:r w:rsidR="00470B5A" w:rsidRPr="00291E2B">
          <w:rPr>
            <w:rFonts w:asciiTheme="majorBidi" w:hAnsiTheme="majorBidi" w:cstheme="majorBidi"/>
            <w:noProof/>
            <w:webHidden/>
            <w:sz w:val="24"/>
            <w:szCs w:val="24"/>
          </w:rPr>
        </w:r>
        <w:r w:rsidR="00470B5A" w:rsidRPr="00291E2B">
          <w:rPr>
            <w:rFonts w:asciiTheme="majorBidi" w:hAnsiTheme="majorBidi" w:cstheme="majorBidi"/>
            <w:noProof/>
            <w:webHidden/>
            <w:sz w:val="24"/>
            <w:szCs w:val="24"/>
          </w:rPr>
          <w:fldChar w:fldCharType="separate"/>
        </w:r>
        <w:r w:rsidR="00DC3231">
          <w:rPr>
            <w:rFonts w:asciiTheme="majorBidi" w:hAnsiTheme="majorBidi" w:cstheme="majorBidi"/>
            <w:noProof/>
            <w:webHidden/>
            <w:sz w:val="24"/>
            <w:szCs w:val="24"/>
          </w:rPr>
          <w:t>62</w:t>
        </w:r>
        <w:r w:rsidR="00470B5A" w:rsidRPr="00291E2B">
          <w:rPr>
            <w:rFonts w:asciiTheme="majorBidi" w:hAnsiTheme="majorBidi" w:cstheme="majorBidi"/>
            <w:noProof/>
            <w:webHidden/>
            <w:sz w:val="24"/>
            <w:szCs w:val="24"/>
          </w:rPr>
          <w:fldChar w:fldCharType="end"/>
        </w:r>
      </w:hyperlink>
    </w:p>
    <w:p w14:paraId="6AA1ADA5" w14:textId="7756B0AA" w:rsidR="00470B5A" w:rsidRPr="00291E2B" w:rsidRDefault="00A8731A" w:rsidP="001005A8">
      <w:pPr>
        <w:pStyle w:val="Tabledesillustrations"/>
        <w:tabs>
          <w:tab w:val="right" w:leader="dot" w:pos="9016"/>
        </w:tabs>
        <w:spacing w:line="480" w:lineRule="auto"/>
        <w:rPr>
          <w:rFonts w:asciiTheme="majorBidi" w:eastAsiaTheme="minorEastAsia" w:hAnsiTheme="majorBidi" w:cstheme="majorBidi"/>
          <w:noProof/>
          <w:sz w:val="24"/>
          <w:szCs w:val="24"/>
        </w:rPr>
      </w:pPr>
      <w:hyperlink w:anchor="_Toc200446659" w:history="1">
        <w:r w:rsidR="00470B5A" w:rsidRPr="00291E2B">
          <w:rPr>
            <w:rStyle w:val="Lienhypertexte"/>
            <w:rFonts w:asciiTheme="majorBidi" w:hAnsiTheme="majorBidi" w:cstheme="majorBidi"/>
            <w:b/>
            <w:bCs/>
            <w:noProof/>
            <w:sz w:val="24"/>
            <w:szCs w:val="24"/>
          </w:rPr>
          <w:t>Table 11</w:t>
        </w:r>
        <w:r w:rsidR="00470B5A" w:rsidRPr="00291E2B">
          <w:rPr>
            <w:rStyle w:val="Lienhypertexte"/>
            <w:rFonts w:asciiTheme="majorBidi" w:hAnsiTheme="majorBidi" w:cstheme="majorBidi"/>
            <w:noProof/>
            <w:sz w:val="24"/>
            <w:szCs w:val="24"/>
          </w:rPr>
          <w:t xml:space="preserve"> Summary of Respondents Perceptions about OTCs Usefulness</w:t>
        </w:r>
        <w:r w:rsidR="00470B5A" w:rsidRPr="00291E2B">
          <w:rPr>
            <w:rFonts w:asciiTheme="majorBidi" w:hAnsiTheme="majorBidi" w:cstheme="majorBidi"/>
            <w:noProof/>
            <w:webHidden/>
            <w:sz w:val="24"/>
            <w:szCs w:val="24"/>
          </w:rPr>
          <w:tab/>
        </w:r>
        <w:r w:rsidR="00470B5A" w:rsidRPr="00291E2B">
          <w:rPr>
            <w:rFonts w:asciiTheme="majorBidi" w:hAnsiTheme="majorBidi" w:cstheme="majorBidi"/>
            <w:noProof/>
            <w:webHidden/>
            <w:sz w:val="24"/>
            <w:szCs w:val="24"/>
          </w:rPr>
          <w:fldChar w:fldCharType="begin"/>
        </w:r>
        <w:r w:rsidR="00470B5A" w:rsidRPr="00291E2B">
          <w:rPr>
            <w:rFonts w:asciiTheme="majorBidi" w:hAnsiTheme="majorBidi" w:cstheme="majorBidi"/>
            <w:noProof/>
            <w:webHidden/>
            <w:sz w:val="24"/>
            <w:szCs w:val="24"/>
          </w:rPr>
          <w:instrText xml:space="preserve"> PAGEREF _Toc200446659 \h </w:instrText>
        </w:r>
        <w:r w:rsidR="00470B5A" w:rsidRPr="00291E2B">
          <w:rPr>
            <w:rFonts w:asciiTheme="majorBidi" w:hAnsiTheme="majorBidi" w:cstheme="majorBidi"/>
            <w:noProof/>
            <w:webHidden/>
            <w:sz w:val="24"/>
            <w:szCs w:val="24"/>
          </w:rPr>
        </w:r>
        <w:r w:rsidR="00470B5A" w:rsidRPr="00291E2B">
          <w:rPr>
            <w:rFonts w:asciiTheme="majorBidi" w:hAnsiTheme="majorBidi" w:cstheme="majorBidi"/>
            <w:noProof/>
            <w:webHidden/>
            <w:sz w:val="24"/>
            <w:szCs w:val="24"/>
          </w:rPr>
          <w:fldChar w:fldCharType="separate"/>
        </w:r>
        <w:r w:rsidR="00DC3231">
          <w:rPr>
            <w:rFonts w:asciiTheme="majorBidi" w:hAnsiTheme="majorBidi" w:cstheme="majorBidi"/>
            <w:noProof/>
            <w:webHidden/>
            <w:sz w:val="24"/>
            <w:szCs w:val="24"/>
          </w:rPr>
          <w:t>64</w:t>
        </w:r>
        <w:r w:rsidR="00470B5A" w:rsidRPr="00291E2B">
          <w:rPr>
            <w:rFonts w:asciiTheme="majorBidi" w:hAnsiTheme="majorBidi" w:cstheme="majorBidi"/>
            <w:noProof/>
            <w:webHidden/>
            <w:sz w:val="24"/>
            <w:szCs w:val="24"/>
          </w:rPr>
          <w:fldChar w:fldCharType="end"/>
        </w:r>
      </w:hyperlink>
    </w:p>
    <w:p w14:paraId="578F8727" w14:textId="319A8EAF" w:rsidR="00470B5A" w:rsidRPr="00291E2B" w:rsidRDefault="00A8731A" w:rsidP="001005A8">
      <w:pPr>
        <w:pStyle w:val="Tabledesillustrations"/>
        <w:tabs>
          <w:tab w:val="right" w:leader="dot" w:pos="9016"/>
        </w:tabs>
        <w:spacing w:line="480" w:lineRule="auto"/>
        <w:rPr>
          <w:rFonts w:asciiTheme="majorBidi" w:eastAsiaTheme="minorEastAsia" w:hAnsiTheme="majorBidi" w:cstheme="majorBidi"/>
          <w:noProof/>
          <w:sz w:val="24"/>
          <w:szCs w:val="24"/>
        </w:rPr>
      </w:pPr>
      <w:hyperlink w:anchor="_Toc200446660" w:history="1">
        <w:r w:rsidR="00470B5A" w:rsidRPr="00291E2B">
          <w:rPr>
            <w:rStyle w:val="Lienhypertexte"/>
            <w:rFonts w:asciiTheme="majorBidi" w:eastAsia="Calibri" w:hAnsiTheme="majorBidi" w:cstheme="majorBidi"/>
            <w:b/>
            <w:bCs/>
            <w:noProof/>
            <w:sz w:val="24"/>
            <w:szCs w:val="24"/>
          </w:rPr>
          <w:t xml:space="preserve">Table 12 </w:t>
        </w:r>
        <w:r w:rsidR="00470B5A" w:rsidRPr="00291E2B">
          <w:rPr>
            <w:rStyle w:val="Lienhypertexte"/>
            <w:rFonts w:asciiTheme="majorBidi" w:eastAsia="Calibri" w:hAnsiTheme="majorBidi" w:cstheme="majorBidi"/>
            <w:noProof/>
            <w:sz w:val="24"/>
            <w:szCs w:val="24"/>
          </w:rPr>
          <w:t>Distribution of Teachers’ Agreement Regarding OTCs Role in Enhancing their Ability to Design Assessment Tools</w:t>
        </w:r>
        <w:r w:rsidR="00470B5A" w:rsidRPr="00291E2B">
          <w:rPr>
            <w:rFonts w:asciiTheme="majorBidi" w:hAnsiTheme="majorBidi" w:cstheme="majorBidi"/>
            <w:noProof/>
            <w:webHidden/>
            <w:sz w:val="24"/>
            <w:szCs w:val="24"/>
          </w:rPr>
          <w:tab/>
        </w:r>
        <w:r w:rsidR="00470B5A" w:rsidRPr="00291E2B">
          <w:rPr>
            <w:rFonts w:asciiTheme="majorBidi" w:hAnsiTheme="majorBidi" w:cstheme="majorBidi"/>
            <w:noProof/>
            <w:webHidden/>
            <w:sz w:val="24"/>
            <w:szCs w:val="24"/>
          </w:rPr>
          <w:fldChar w:fldCharType="begin"/>
        </w:r>
        <w:r w:rsidR="00470B5A" w:rsidRPr="00291E2B">
          <w:rPr>
            <w:rFonts w:asciiTheme="majorBidi" w:hAnsiTheme="majorBidi" w:cstheme="majorBidi"/>
            <w:noProof/>
            <w:webHidden/>
            <w:sz w:val="24"/>
            <w:szCs w:val="24"/>
          </w:rPr>
          <w:instrText xml:space="preserve"> PAGEREF _Toc200446660 \h </w:instrText>
        </w:r>
        <w:r w:rsidR="00470B5A" w:rsidRPr="00291E2B">
          <w:rPr>
            <w:rFonts w:asciiTheme="majorBidi" w:hAnsiTheme="majorBidi" w:cstheme="majorBidi"/>
            <w:noProof/>
            <w:webHidden/>
            <w:sz w:val="24"/>
            <w:szCs w:val="24"/>
          </w:rPr>
        </w:r>
        <w:r w:rsidR="00470B5A" w:rsidRPr="00291E2B">
          <w:rPr>
            <w:rFonts w:asciiTheme="majorBidi" w:hAnsiTheme="majorBidi" w:cstheme="majorBidi"/>
            <w:noProof/>
            <w:webHidden/>
            <w:sz w:val="24"/>
            <w:szCs w:val="24"/>
          </w:rPr>
          <w:fldChar w:fldCharType="separate"/>
        </w:r>
        <w:r w:rsidR="00DC3231">
          <w:rPr>
            <w:rFonts w:asciiTheme="majorBidi" w:hAnsiTheme="majorBidi" w:cstheme="majorBidi"/>
            <w:noProof/>
            <w:webHidden/>
            <w:sz w:val="24"/>
            <w:szCs w:val="24"/>
          </w:rPr>
          <w:t>67</w:t>
        </w:r>
        <w:r w:rsidR="00470B5A" w:rsidRPr="00291E2B">
          <w:rPr>
            <w:rFonts w:asciiTheme="majorBidi" w:hAnsiTheme="majorBidi" w:cstheme="majorBidi"/>
            <w:noProof/>
            <w:webHidden/>
            <w:sz w:val="24"/>
            <w:szCs w:val="24"/>
          </w:rPr>
          <w:fldChar w:fldCharType="end"/>
        </w:r>
      </w:hyperlink>
    </w:p>
    <w:p w14:paraId="3840D8CE" w14:textId="42590FD0" w:rsidR="00470B5A" w:rsidRPr="00291E2B" w:rsidRDefault="00A8731A" w:rsidP="001005A8">
      <w:pPr>
        <w:pStyle w:val="Tabledesillustrations"/>
        <w:tabs>
          <w:tab w:val="right" w:leader="dot" w:pos="9016"/>
        </w:tabs>
        <w:spacing w:line="480" w:lineRule="auto"/>
        <w:rPr>
          <w:rFonts w:asciiTheme="majorBidi" w:eastAsiaTheme="minorEastAsia" w:hAnsiTheme="majorBidi" w:cstheme="majorBidi"/>
          <w:noProof/>
          <w:sz w:val="24"/>
          <w:szCs w:val="24"/>
        </w:rPr>
      </w:pPr>
      <w:hyperlink w:anchor="_Toc200446661" w:history="1">
        <w:r w:rsidR="00470B5A" w:rsidRPr="00291E2B">
          <w:rPr>
            <w:rStyle w:val="Lienhypertexte"/>
            <w:rFonts w:asciiTheme="majorBidi" w:eastAsia="Calibri" w:hAnsiTheme="majorBidi" w:cstheme="majorBidi"/>
            <w:b/>
            <w:bCs/>
            <w:noProof/>
            <w:sz w:val="24"/>
            <w:szCs w:val="24"/>
          </w:rPr>
          <w:t>Table 13</w:t>
        </w:r>
        <w:r w:rsidR="00470B5A" w:rsidRPr="00291E2B">
          <w:rPr>
            <w:rStyle w:val="Lienhypertexte"/>
            <w:rFonts w:asciiTheme="majorBidi" w:eastAsia="Calibri" w:hAnsiTheme="majorBidi" w:cstheme="majorBidi"/>
            <w:noProof/>
            <w:sz w:val="24"/>
            <w:szCs w:val="24"/>
          </w:rPr>
          <w:t xml:space="preserve"> Likert Scale 02 Descriptive Statistics Summary</w:t>
        </w:r>
        <w:r w:rsidR="00470B5A" w:rsidRPr="00291E2B">
          <w:rPr>
            <w:rFonts w:asciiTheme="majorBidi" w:hAnsiTheme="majorBidi" w:cstheme="majorBidi"/>
            <w:noProof/>
            <w:webHidden/>
            <w:sz w:val="24"/>
            <w:szCs w:val="24"/>
          </w:rPr>
          <w:tab/>
        </w:r>
        <w:r w:rsidR="00470B5A" w:rsidRPr="00291E2B">
          <w:rPr>
            <w:rFonts w:asciiTheme="majorBidi" w:hAnsiTheme="majorBidi" w:cstheme="majorBidi"/>
            <w:noProof/>
            <w:webHidden/>
            <w:sz w:val="24"/>
            <w:szCs w:val="24"/>
          </w:rPr>
          <w:fldChar w:fldCharType="begin"/>
        </w:r>
        <w:r w:rsidR="00470B5A" w:rsidRPr="00291E2B">
          <w:rPr>
            <w:rFonts w:asciiTheme="majorBidi" w:hAnsiTheme="majorBidi" w:cstheme="majorBidi"/>
            <w:noProof/>
            <w:webHidden/>
            <w:sz w:val="24"/>
            <w:szCs w:val="24"/>
          </w:rPr>
          <w:instrText xml:space="preserve"> PAGEREF _Toc200446661 \h </w:instrText>
        </w:r>
        <w:r w:rsidR="00470B5A" w:rsidRPr="00291E2B">
          <w:rPr>
            <w:rFonts w:asciiTheme="majorBidi" w:hAnsiTheme="majorBidi" w:cstheme="majorBidi"/>
            <w:noProof/>
            <w:webHidden/>
            <w:sz w:val="24"/>
            <w:szCs w:val="24"/>
          </w:rPr>
        </w:r>
        <w:r w:rsidR="00470B5A" w:rsidRPr="00291E2B">
          <w:rPr>
            <w:rFonts w:asciiTheme="majorBidi" w:hAnsiTheme="majorBidi" w:cstheme="majorBidi"/>
            <w:noProof/>
            <w:webHidden/>
            <w:sz w:val="24"/>
            <w:szCs w:val="24"/>
          </w:rPr>
          <w:fldChar w:fldCharType="separate"/>
        </w:r>
        <w:r w:rsidR="00DC3231">
          <w:rPr>
            <w:rFonts w:asciiTheme="majorBidi" w:hAnsiTheme="majorBidi" w:cstheme="majorBidi"/>
            <w:noProof/>
            <w:webHidden/>
            <w:sz w:val="24"/>
            <w:szCs w:val="24"/>
          </w:rPr>
          <w:t>68</w:t>
        </w:r>
        <w:r w:rsidR="00470B5A" w:rsidRPr="00291E2B">
          <w:rPr>
            <w:rFonts w:asciiTheme="majorBidi" w:hAnsiTheme="majorBidi" w:cstheme="majorBidi"/>
            <w:noProof/>
            <w:webHidden/>
            <w:sz w:val="24"/>
            <w:szCs w:val="24"/>
          </w:rPr>
          <w:fldChar w:fldCharType="end"/>
        </w:r>
      </w:hyperlink>
    </w:p>
    <w:p w14:paraId="2ACA376C" w14:textId="0A9E8731" w:rsidR="00470B5A" w:rsidRPr="00291E2B" w:rsidRDefault="00A8731A" w:rsidP="001005A8">
      <w:pPr>
        <w:pStyle w:val="Tabledesillustrations"/>
        <w:tabs>
          <w:tab w:val="right" w:leader="dot" w:pos="9016"/>
        </w:tabs>
        <w:spacing w:line="480" w:lineRule="auto"/>
        <w:rPr>
          <w:rFonts w:asciiTheme="majorBidi" w:eastAsiaTheme="minorEastAsia" w:hAnsiTheme="majorBidi" w:cstheme="majorBidi"/>
          <w:noProof/>
          <w:sz w:val="24"/>
          <w:szCs w:val="24"/>
        </w:rPr>
      </w:pPr>
      <w:hyperlink w:anchor="_Toc200446662" w:history="1">
        <w:r w:rsidR="00470B5A" w:rsidRPr="00291E2B">
          <w:rPr>
            <w:rStyle w:val="Lienhypertexte"/>
            <w:rFonts w:asciiTheme="majorBidi" w:eastAsia="Calibri" w:hAnsiTheme="majorBidi" w:cstheme="majorBidi"/>
            <w:b/>
            <w:bCs/>
            <w:noProof/>
            <w:sz w:val="24"/>
            <w:szCs w:val="24"/>
          </w:rPr>
          <w:t>Table 14</w:t>
        </w:r>
        <w:r w:rsidR="00470B5A" w:rsidRPr="00291E2B">
          <w:rPr>
            <w:rStyle w:val="Lienhypertexte"/>
            <w:rFonts w:asciiTheme="majorBidi" w:eastAsia="Calibri" w:hAnsiTheme="majorBidi" w:cstheme="majorBidi"/>
            <w:noProof/>
            <w:sz w:val="24"/>
            <w:szCs w:val="24"/>
          </w:rPr>
          <w:t xml:space="preserve"> Distribution of Respondents Levels of Agreement on Feedback and Reflective Practice within OTCs</w:t>
        </w:r>
        <w:r w:rsidR="00470B5A" w:rsidRPr="00291E2B">
          <w:rPr>
            <w:rFonts w:asciiTheme="majorBidi" w:hAnsiTheme="majorBidi" w:cstheme="majorBidi"/>
            <w:noProof/>
            <w:webHidden/>
            <w:sz w:val="24"/>
            <w:szCs w:val="24"/>
          </w:rPr>
          <w:tab/>
        </w:r>
        <w:r w:rsidR="00470B5A" w:rsidRPr="00291E2B">
          <w:rPr>
            <w:rFonts w:asciiTheme="majorBidi" w:hAnsiTheme="majorBidi" w:cstheme="majorBidi"/>
            <w:noProof/>
            <w:webHidden/>
            <w:sz w:val="24"/>
            <w:szCs w:val="24"/>
          </w:rPr>
          <w:fldChar w:fldCharType="begin"/>
        </w:r>
        <w:r w:rsidR="00470B5A" w:rsidRPr="00291E2B">
          <w:rPr>
            <w:rFonts w:asciiTheme="majorBidi" w:hAnsiTheme="majorBidi" w:cstheme="majorBidi"/>
            <w:noProof/>
            <w:webHidden/>
            <w:sz w:val="24"/>
            <w:szCs w:val="24"/>
          </w:rPr>
          <w:instrText xml:space="preserve"> PAGEREF _Toc200446662 \h </w:instrText>
        </w:r>
        <w:r w:rsidR="00470B5A" w:rsidRPr="00291E2B">
          <w:rPr>
            <w:rFonts w:asciiTheme="majorBidi" w:hAnsiTheme="majorBidi" w:cstheme="majorBidi"/>
            <w:noProof/>
            <w:webHidden/>
            <w:sz w:val="24"/>
            <w:szCs w:val="24"/>
          </w:rPr>
        </w:r>
        <w:r w:rsidR="00470B5A" w:rsidRPr="00291E2B">
          <w:rPr>
            <w:rFonts w:asciiTheme="majorBidi" w:hAnsiTheme="majorBidi" w:cstheme="majorBidi"/>
            <w:noProof/>
            <w:webHidden/>
            <w:sz w:val="24"/>
            <w:szCs w:val="24"/>
          </w:rPr>
          <w:fldChar w:fldCharType="separate"/>
        </w:r>
        <w:r w:rsidR="00DC3231">
          <w:rPr>
            <w:rFonts w:asciiTheme="majorBidi" w:hAnsiTheme="majorBidi" w:cstheme="majorBidi"/>
            <w:noProof/>
            <w:webHidden/>
            <w:sz w:val="24"/>
            <w:szCs w:val="24"/>
          </w:rPr>
          <w:t>70</w:t>
        </w:r>
        <w:r w:rsidR="00470B5A" w:rsidRPr="00291E2B">
          <w:rPr>
            <w:rFonts w:asciiTheme="majorBidi" w:hAnsiTheme="majorBidi" w:cstheme="majorBidi"/>
            <w:noProof/>
            <w:webHidden/>
            <w:sz w:val="24"/>
            <w:szCs w:val="24"/>
          </w:rPr>
          <w:fldChar w:fldCharType="end"/>
        </w:r>
      </w:hyperlink>
    </w:p>
    <w:p w14:paraId="2ABCE2E2" w14:textId="0269C763" w:rsidR="00470B5A" w:rsidRPr="00291E2B" w:rsidRDefault="00A8731A" w:rsidP="001005A8">
      <w:pPr>
        <w:pStyle w:val="Tabledesillustrations"/>
        <w:tabs>
          <w:tab w:val="right" w:leader="dot" w:pos="9016"/>
        </w:tabs>
        <w:spacing w:line="480" w:lineRule="auto"/>
        <w:rPr>
          <w:rFonts w:asciiTheme="majorBidi" w:eastAsiaTheme="minorEastAsia" w:hAnsiTheme="majorBidi" w:cstheme="majorBidi"/>
          <w:noProof/>
          <w:sz w:val="24"/>
          <w:szCs w:val="24"/>
        </w:rPr>
      </w:pPr>
      <w:hyperlink w:anchor="_Toc200446663" w:history="1">
        <w:r w:rsidR="00470B5A" w:rsidRPr="00291E2B">
          <w:rPr>
            <w:rStyle w:val="Lienhypertexte"/>
            <w:rFonts w:asciiTheme="majorBidi" w:eastAsia="Calibri" w:hAnsiTheme="majorBidi" w:cstheme="majorBidi"/>
            <w:b/>
            <w:bCs/>
            <w:noProof/>
            <w:sz w:val="24"/>
            <w:szCs w:val="24"/>
          </w:rPr>
          <w:t>Table 15</w:t>
        </w:r>
        <w:r w:rsidR="00470B5A" w:rsidRPr="00291E2B">
          <w:rPr>
            <w:rStyle w:val="Lienhypertexte"/>
            <w:rFonts w:asciiTheme="majorBidi" w:eastAsia="Calibri" w:hAnsiTheme="majorBidi" w:cstheme="majorBidi"/>
            <w:noProof/>
            <w:sz w:val="24"/>
            <w:szCs w:val="24"/>
          </w:rPr>
          <w:t xml:space="preserve"> Likert Scale 03 Descriptive Statistics Summary</w:t>
        </w:r>
        <w:r w:rsidR="00470B5A" w:rsidRPr="00291E2B">
          <w:rPr>
            <w:rFonts w:asciiTheme="majorBidi" w:hAnsiTheme="majorBidi" w:cstheme="majorBidi"/>
            <w:noProof/>
            <w:webHidden/>
            <w:sz w:val="24"/>
            <w:szCs w:val="24"/>
          </w:rPr>
          <w:tab/>
        </w:r>
        <w:r w:rsidR="00470B5A" w:rsidRPr="00291E2B">
          <w:rPr>
            <w:rFonts w:asciiTheme="majorBidi" w:hAnsiTheme="majorBidi" w:cstheme="majorBidi"/>
            <w:noProof/>
            <w:webHidden/>
            <w:sz w:val="24"/>
            <w:szCs w:val="24"/>
          </w:rPr>
          <w:fldChar w:fldCharType="begin"/>
        </w:r>
        <w:r w:rsidR="00470B5A" w:rsidRPr="00291E2B">
          <w:rPr>
            <w:rFonts w:asciiTheme="majorBidi" w:hAnsiTheme="majorBidi" w:cstheme="majorBidi"/>
            <w:noProof/>
            <w:webHidden/>
            <w:sz w:val="24"/>
            <w:szCs w:val="24"/>
          </w:rPr>
          <w:instrText xml:space="preserve"> PAGEREF _Toc200446663 \h </w:instrText>
        </w:r>
        <w:r w:rsidR="00470B5A" w:rsidRPr="00291E2B">
          <w:rPr>
            <w:rFonts w:asciiTheme="majorBidi" w:hAnsiTheme="majorBidi" w:cstheme="majorBidi"/>
            <w:noProof/>
            <w:webHidden/>
            <w:sz w:val="24"/>
            <w:szCs w:val="24"/>
          </w:rPr>
        </w:r>
        <w:r w:rsidR="00470B5A" w:rsidRPr="00291E2B">
          <w:rPr>
            <w:rFonts w:asciiTheme="majorBidi" w:hAnsiTheme="majorBidi" w:cstheme="majorBidi"/>
            <w:noProof/>
            <w:webHidden/>
            <w:sz w:val="24"/>
            <w:szCs w:val="24"/>
          </w:rPr>
          <w:fldChar w:fldCharType="separate"/>
        </w:r>
        <w:r w:rsidR="00DC3231">
          <w:rPr>
            <w:rFonts w:asciiTheme="majorBidi" w:hAnsiTheme="majorBidi" w:cstheme="majorBidi"/>
            <w:noProof/>
            <w:webHidden/>
            <w:sz w:val="24"/>
            <w:szCs w:val="24"/>
          </w:rPr>
          <w:t>71</w:t>
        </w:r>
        <w:r w:rsidR="00470B5A" w:rsidRPr="00291E2B">
          <w:rPr>
            <w:rFonts w:asciiTheme="majorBidi" w:hAnsiTheme="majorBidi" w:cstheme="majorBidi"/>
            <w:noProof/>
            <w:webHidden/>
            <w:sz w:val="24"/>
            <w:szCs w:val="24"/>
          </w:rPr>
          <w:fldChar w:fldCharType="end"/>
        </w:r>
      </w:hyperlink>
    </w:p>
    <w:p w14:paraId="2B58B7DE" w14:textId="7DBAE3C2" w:rsidR="00470B5A" w:rsidRPr="00291E2B" w:rsidRDefault="00A8731A" w:rsidP="001005A8">
      <w:pPr>
        <w:pStyle w:val="Tabledesillustrations"/>
        <w:tabs>
          <w:tab w:val="right" w:leader="dot" w:pos="9016"/>
        </w:tabs>
        <w:spacing w:line="480" w:lineRule="auto"/>
        <w:rPr>
          <w:rFonts w:asciiTheme="majorBidi" w:eastAsiaTheme="minorEastAsia" w:hAnsiTheme="majorBidi" w:cstheme="majorBidi"/>
          <w:noProof/>
          <w:sz w:val="24"/>
          <w:szCs w:val="24"/>
        </w:rPr>
      </w:pPr>
      <w:hyperlink w:anchor="_Toc200446664" w:history="1">
        <w:r w:rsidR="00470B5A" w:rsidRPr="00291E2B">
          <w:rPr>
            <w:rStyle w:val="Lienhypertexte"/>
            <w:rFonts w:asciiTheme="majorBidi" w:eastAsia="Calibri" w:hAnsiTheme="majorBidi" w:cstheme="majorBidi"/>
            <w:b/>
            <w:bCs/>
            <w:noProof/>
            <w:sz w:val="24"/>
            <w:szCs w:val="24"/>
          </w:rPr>
          <w:t>Table 16</w:t>
        </w:r>
        <w:r w:rsidR="00470B5A" w:rsidRPr="00291E2B">
          <w:rPr>
            <w:rStyle w:val="Lienhypertexte"/>
            <w:rFonts w:asciiTheme="majorBidi" w:eastAsia="Calibri" w:hAnsiTheme="majorBidi" w:cstheme="majorBidi"/>
            <w:noProof/>
            <w:sz w:val="24"/>
            <w:szCs w:val="24"/>
          </w:rPr>
          <w:t xml:space="preserve"> Frequency of Implementing Reflective Assessment Strategies by OTCs Members</w:t>
        </w:r>
        <w:r w:rsidR="00470B5A" w:rsidRPr="00291E2B">
          <w:rPr>
            <w:rFonts w:asciiTheme="majorBidi" w:hAnsiTheme="majorBidi" w:cstheme="majorBidi"/>
            <w:noProof/>
            <w:webHidden/>
            <w:sz w:val="24"/>
            <w:szCs w:val="24"/>
          </w:rPr>
          <w:tab/>
        </w:r>
        <w:r w:rsidR="00470B5A" w:rsidRPr="00291E2B">
          <w:rPr>
            <w:rFonts w:asciiTheme="majorBidi" w:hAnsiTheme="majorBidi" w:cstheme="majorBidi"/>
            <w:noProof/>
            <w:webHidden/>
            <w:sz w:val="24"/>
            <w:szCs w:val="24"/>
          </w:rPr>
          <w:fldChar w:fldCharType="begin"/>
        </w:r>
        <w:r w:rsidR="00470B5A" w:rsidRPr="00291E2B">
          <w:rPr>
            <w:rFonts w:asciiTheme="majorBidi" w:hAnsiTheme="majorBidi" w:cstheme="majorBidi"/>
            <w:noProof/>
            <w:webHidden/>
            <w:sz w:val="24"/>
            <w:szCs w:val="24"/>
          </w:rPr>
          <w:instrText xml:space="preserve"> PAGEREF _Toc200446664 \h </w:instrText>
        </w:r>
        <w:r w:rsidR="00470B5A" w:rsidRPr="00291E2B">
          <w:rPr>
            <w:rFonts w:asciiTheme="majorBidi" w:hAnsiTheme="majorBidi" w:cstheme="majorBidi"/>
            <w:noProof/>
            <w:webHidden/>
            <w:sz w:val="24"/>
            <w:szCs w:val="24"/>
          </w:rPr>
        </w:r>
        <w:r w:rsidR="00470B5A" w:rsidRPr="00291E2B">
          <w:rPr>
            <w:rFonts w:asciiTheme="majorBidi" w:hAnsiTheme="majorBidi" w:cstheme="majorBidi"/>
            <w:noProof/>
            <w:webHidden/>
            <w:sz w:val="24"/>
            <w:szCs w:val="24"/>
          </w:rPr>
          <w:fldChar w:fldCharType="separate"/>
        </w:r>
        <w:r w:rsidR="00DC3231">
          <w:rPr>
            <w:rFonts w:asciiTheme="majorBidi" w:hAnsiTheme="majorBidi" w:cstheme="majorBidi"/>
            <w:noProof/>
            <w:webHidden/>
            <w:sz w:val="24"/>
            <w:szCs w:val="24"/>
          </w:rPr>
          <w:t>75</w:t>
        </w:r>
        <w:r w:rsidR="00470B5A" w:rsidRPr="00291E2B">
          <w:rPr>
            <w:rFonts w:asciiTheme="majorBidi" w:hAnsiTheme="majorBidi" w:cstheme="majorBidi"/>
            <w:noProof/>
            <w:webHidden/>
            <w:sz w:val="24"/>
            <w:szCs w:val="24"/>
          </w:rPr>
          <w:fldChar w:fldCharType="end"/>
        </w:r>
      </w:hyperlink>
    </w:p>
    <w:p w14:paraId="0592893B" w14:textId="488DF171" w:rsidR="00470B5A" w:rsidRPr="00291E2B" w:rsidRDefault="00A8731A" w:rsidP="001005A8">
      <w:pPr>
        <w:pStyle w:val="Tabledesillustrations"/>
        <w:tabs>
          <w:tab w:val="right" w:leader="dot" w:pos="9016"/>
        </w:tabs>
        <w:spacing w:line="480" w:lineRule="auto"/>
        <w:rPr>
          <w:rFonts w:asciiTheme="majorBidi" w:eastAsiaTheme="minorEastAsia" w:hAnsiTheme="majorBidi" w:cstheme="majorBidi"/>
          <w:noProof/>
          <w:sz w:val="24"/>
          <w:szCs w:val="24"/>
        </w:rPr>
      </w:pPr>
      <w:hyperlink w:anchor="_Toc200446665" w:history="1">
        <w:r w:rsidR="00470B5A" w:rsidRPr="00291E2B">
          <w:rPr>
            <w:rStyle w:val="Lienhypertexte"/>
            <w:rFonts w:asciiTheme="majorBidi" w:eastAsia="Calibri" w:hAnsiTheme="majorBidi" w:cstheme="majorBidi"/>
            <w:b/>
            <w:bCs/>
            <w:noProof/>
            <w:sz w:val="24"/>
            <w:szCs w:val="24"/>
          </w:rPr>
          <w:t>Table 17</w:t>
        </w:r>
        <w:r w:rsidR="00470B5A" w:rsidRPr="00291E2B">
          <w:rPr>
            <w:rStyle w:val="Lienhypertexte"/>
            <w:rFonts w:asciiTheme="majorBidi" w:eastAsia="Calibri" w:hAnsiTheme="majorBidi" w:cstheme="majorBidi"/>
            <w:noProof/>
            <w:sz w:val="24"/>
            <w:szCs w:val="24"/>
          </w:rPr>
          <w:t xml:space="preserve"> Likert Scale 04 Descriptive Statistics Summary</w:t>
        </w:r>
        <w:r w:rsidR="00470B5A" w:rsidRPr="00291E2B">
          <w:rPr>
            <w:rFonts w:asciiTheme="majorBidi" w:hAnsiTheme="majorBidi" w:cstheme="majorBidi"/>
            <w:noProof/>
            <w:webHidden/>
            <w:sz w:val="24"/>
            <w:szCs w:val="24"/>
          </w:rPr>
          <w:tab/>
        </w:r>
        <w:r w:rsidR="00470B5A" w:rsidRPr="00291E2B">
          <w:rPr>
            <w:rFonts w:asciiTheme="majorBidi" w:hAnsiTheme="majorBidi" w:cstheme="majorBidi"/>
            <w:noProof/>
            <w:webHidden/>
            <w:sz w:val="24"/>
            <w:szCs w:val="24"/>
          </w:rPr>
          <w:fldChar w:fldCharType="begin"/>
        </w:r>
        <w:r w:rsidR="00470B5A" w:rsidRPr="00291E2B">
          <w:rPr>
            <w:rFonts w:asciiTheme="majorBidi" w:hAnsiTheme="majorBidi" w:cstheme="majorBidi"/>
            <w:noProof/>
            <w:webHidden/>
            <w:sz w:val="24"/>
            <w:szCs w:val="24"/>
          </w:rPr>
          <w:instrText xml:space="preserve"> PAGEREF _Toc200446665 \h </w:instrText>
        </w:r>
        <w:r w:rsidR="00470B5A" w:rsidRPr="00291E2B">
          <w:rPr>
            <w:rFonts w:asciiTheme="majorBidi" w:hAnsiTheme="majorBidi" w:cstheme="majorBidi"/>
            <w:noProof/>
            <w:webHidden/>
            <w:sz w:val="24"/>
            <w:szCs w:val="24"/>
          </w:rPr>
        </w:r>
        <w:r w:rsidR="00470B5A" w:rsidRPr="00291E2B">
          <w:rPr>
            <w:rFonts w:asciiTheme="majorBidi" w:hAnsiTheme="majorBidi" w:cstheme="majorBidi"/>
            <w:noProof/>
            <w:webHidden/>
            <w:sz w:val="24"/>
            <w:szCs w:val="24"/>
          </w:rPr>
          <w:fldChar w:fldCharType="separate"/>
        </w:r>
        <w:r w:rsidR="00DC3231">
          <w:rPr>
            <w:rFonts w:asciiTheme="majorBidi" w:hAnsiTheme="majorBidi" w:cstheme="majorBidi"/>
            <w:noProof/>
            <w:webHidden/>
            <w:sz w:val="24"/>
            <w:szCs w:val="24"/>
          </w:rPr>
          <w:t>76</w:t>
        </w:r>
        <w:r w:rsidR="00470B5A" w:rsidRPr="00291E2B">
          <w:rPr>
            <w:rFonts w:asciiTheme="majorBidi" w:hAnsiTheme="majorBidi" w:cstheme="majorBidi"/>
            <w:noProof/>
            <w:webHidden/>
            <w:sz w:val="24"/>
            <w:szCs w:val="24"/>
          </w:rPr>
          <w:fldChar w:fldCharType="end"/>
        </w:r>
      </w:hyperlink>
    </w:p>
    <w:p w14:paraId="61A75E25" w14:textId="70411252" w:rsidR="00470B5A" w:rsidRPr="00291E2B" w:rsidRDefault="00A8731A" w:rsidP="001005A8">
      <w:pPr>
        <w:pStyle w:val="Tabledesillustrations"/>
        <w:tabs>
          <w:tab w:val="right" w:leader="dot" w:pos="9016"/>
        </w:tabs>
        <w:spacing w:line="480" w:lineRule="auto"/>
        <w:rPr>
          <w:rFonts w:asciiTheme="majorBidi" w:eastAsiaTheme="minorEastAsia" w:hAnsiTheme="majorBidi" w:cstheme="majorBidi"/>
          <w:noProof/>
          <w:sz w:val="24"/>
          <w:szCs w:val="24"/>
        </w:rPr>
      </w:pPr>
      <w:hyperlink w:anchor="_Toc200446666" w:history="1">
        <w:r w:rsidR="00470B5A" w:rsidRPr="00291E2B">
          <w:rPr>
            <w:rStyle w:val="Lienhypertexte"/>
            <w:rFonts w:asciiTheme="majorBidi" w:eastAsia="Calibri" w:hAnsiTheme="majorBidi" w:cstheme="majorBidi"/>
            <w:b/>
            <w:bCs/>
            <w:noProof/>
            <w:sz w:val="24"/>
            <w:szCs w:val="24"/>
          </w:rPr>
          <w:t>Table 18</w:t>
        </w:r>
        <w:r w:rsidR="00470B5A" w:rsidRPr="00291E2B">
          <w:rPr>
            <w:rStyle w:val="Lienhypertexte"/>
            <w:rFonts w:asciiTheme="majorBidi" w:eastAsia="Calibri" w:hAnsiTheme="majorBidi" w:cstheme="majorBidi"/>
            <w:noProof/>
            <w:sz w:val="24"/>
            <w:szCs w:val="24"/>
          </w:rPr>
          <w:t xml:space="preserve"> Key Findings in Relation to Theoretical Framework</w:t>
        </w:r>
        <w:r w:rsidR="00470B5A" w:rsidRPr="00291E2B">
          <w:rPr>
            <w:rFonts w:asciiTheme="majorBidi" w:hAnsiTheme="majorBidi" w:cstheme="majorBidi"/>
            <w:noProof/>
            <w:webHidden/>
            <w:sz w:val="24"/>
            <w:szCs w:val="24"/>
          </w:rPr>
          <w:tab/>
        </w:r>
        <w:r w:rsidR="00470B5A" w:rsidRPr="00291E2B">
          <w:rPr>
            <w:rFonts w:asciiTheme="majorBidi" w:hAnsiTheme="majorBidi" w:cstheme="majorBidi"/>
            <w:noProof/>
            <w:webHidden/>
            <w:sz w:val="24"/>
            <w:szCs w:val="24"/>
          </w:rPr>
          <w:fldChar w:fldCharType="begin"/>
        </w:r>
        <w:r w:rsidR="00470B5A" w:rsidRPr="00291E2B">
          <w:rPr>
            <w:rFonts w:asciiTheme="majorBidi" w:hAnsiTheme="majorBidi" w:cstheme="majorBidi"/>
            <w:noProof/>
            <w:webHidden/>
            <w:sz w:val="24"/>
            <w:szCs w:val="24"/>
          </w:rPr>
          <w:instrText xml:space="preserve"> PAGEREF _Toc200446666 \h </w:instrText>
        </w:r>
        <w:r w:rsidR="00470B5A" w:rsidRPr="00291E2B">
          <w:rPr>
            <w:rFonts w:asciiTheme="majorBidi" w:hAnsiTheme="majorBidi" w:cstheme="majorBidi"/>
            <w:noProof/>
            <w:webHidden/>
            <w:sz w:val="24"/>
            <w:szCs w:val="24"/>
          </w:rPr>
        </w:r>
        <w:r w:rsidR="00470B5A" w:rsidRPr="00291E2B">
          <w:rPr>
            <w:rFonts w:asciiTheme="majorBidi" w:hAnsiTheme="majorBidi" w:cstheme="majorBidi"/>
            <w:noProof/>
            <w:webHidden/>
            <w:sz w:val="24"/>
            <w:szCs w:val="24"/>
          </w:rPr>
          <w:fldChar w:fldCharType="separate"/>
        </w:r>
        <w:r w:rsidR="00DC3231">
          <w:rPr>
            <w:rFonts w:asciiTheme="majorBidi" w:hAnsiTheme="majorBidi" w:cstheme="majorBidi"/>
            <w:noProof/>
            <w:webHidden/>
            <w:sz w:val="24"/>
            <w:szCs w:val="24"/>
          </w:rPr>
          <w:t>83</w:t>
        </w:r>
        <w:r w:rsidR="00470B5A" w:rsidRPr="00291E2B">
          <w:rPr>
            <w:rFonts w:asciiTheme="majorBidi" w:hAnsiTheme="majorBidi" w:cstheme="majorBidi"/>
            <w:noProof/>
            <w:webHidden/>
            <w:sz w:val="24"/>
            <w:szCs w:val="24"/>
          </w:rPr>
          <w:fldChar w:fldCharType="end"/>
        </w:r>
      </w:hyperlink>
    </w:p>
    <w:p w14:paraId="50F29DB3" w14:textId="6CD396BE" w:rsidR="00470B5A" w:rsidRPr="00470B5A" w:rsidRDefault="00470B5A" w:rsidP="001005A8">
      <w:pPr>
        <w:spacing w:line="480" w:lineRule="auto"/>
        <w:ind w:hanging="2"/>
        <w:rPr>
          <w:lang w:val="fr-FR" w:bidi="ar-DZ"/>
        </w:rPr>
      </w:pPr>
      <w:r w:rsidRPr="00291E2B">
        <w:rPr>
          <w:rFonts w:asciiTheme="majorBidi" w:hAnsiTheme="majorBidi" w:cstheme="majorBidi"/>
          <w:lang w:val="fr-FR" w:bidi="ar-DZ"/>
        </w:rPr>
        <w:fldChar w:fldCharType="end"/>
      </w:r>
    </w:p>
    <w:p w14:paraId="6456E639" w14:textId="77777777" w:rsidR="00756E9C" w:rsidRDefault="00756E9C" w:rsidP="00737138">
      <w:pPr>
        <w:ind w:hanging="2"/>
        <w:jc w:val="center"/>
        <w:rPr>
          <w:rFonts w:asciiTheme="majorBidi" w:hAnsiTheme="majorBidi" w:cstheme="majorBidi"/>
          <w:b/>
          <w:bCs/>
        </w:rPr>
      </w:pPr>
    </w:p>
    <w:p w14:paraId="03CA4A1D" w14:textId="77777777" w:rsidR="00A166A8" w:rsidRDefault="00A166A8" w:rsidP="00737138">
      <w:pPr>
        <w:ind w:hanging="2"/>
        <w:jc w:val="center"/>
        <w:rPr>
          <w:rFonts w:asciiTheme="majorBidi" w:hAnsiTheme="majorBidi" w:cstheme="majorBidi"/>
          <w:b/>
          <w:bCs/>
        </w:rPr>
      </w:pPr>
    </w:p>
    <w:p w14:paraId="03317B99" w14:textId="77777777" w:rsidR="00A166A8" w:rsidRDefault="00A166A8" w:rsidP="00737138">
      <w:pPr>
        <w:ind w:hanging="2"/>
        <w:jc w:val="center"/>
        <w:rPr>
          <w:rFonts w:asciiTheme="majorBidi" w:hAnsiTheme="majorBidi" w:cstheme="majorBidi"/>
          <w:b/>
          <w:bCs/>
        </w:rPr>
      </w:pPr>
    </w:p>
    <w:p w14:paraId="41A1CF1B" w14:textId="54FB690A" w:rsidR="00737138" w:rsidRDefault="00737138" w:rsidP="00A166A8">
      <w:pPr>
        <w:rPr>
          <w:rFonts w:asciiTheme="majorBidi" w:hAnsiTheme="majorBidi" w:cstheme="majorBidi"/>
          <w:b/>
          <w:bCs/>
        </w:rPr>
      </w:pPr>
    </w:p>
    <w:p w14:paraId="158C44E9" w14:textId="77777777" w:rsidR="00A166A8" w:rsidRDefault="00A166A8" w:rsidP="00A166A8">
      <w:pPr>
        <w:rPr>
          <w:rFonts w:asciiTheme="majorBidi" w:hAnsiTheme="majorBidi" w:cstheme="majorBidi"/>
          <w:b/>
          <w:bCs/>
        </w:rPr>
      </w:pPr>
    </w:p>
    <w:p w14:paraId="779312F3" w14:textId="77777777" w:rsidR="00737138" w:rsidRPr="005E61BB" w:rsidRDefault="00737138" w:rsidP="00AA5DBF">
      <w:pPr>
        <w:pStyle w:val="Titre1"/>
      </w:pPr>
      <w:bookmarkStart w:id="63" w:name="_Toc200486004"/>
      <w:r w:rsidRPr="005E61BB">
        <w:t>List of Graphs:</w:t>
      </w:r>
      <w:bookmarkEnd w:id="63"/>
    </w:p>
    <w:p w14:paraId="604AF3CE" w14:textId="30F320C8" w:rsidR="00737138" w:rsidRPr="005E61BB" w:rsidRDefault="00737138" w:rsidP="00EE485A">
      <w:pPr>
        <w:pStyle w:val="Tabledesillustrations"/>
        <w:tabs>
          <w:tab w:val="right" w:leader="dot" w:pos="9062"/>
        </w:tabs>
        <w:spacing w:line="360" w:lineRule="auto"/>
        <w:ind w:hanging="2"/>
        <w:rPr>
          <w:rFonts w:asciiTheme="majorBidi" w:eastAsiaTheme="minorEastAsia" w:hAnsiTheme="majorBidi" w:cstheme="majorBidi"/>
          <w:noProof/>
          <w:sz w:val="24"/>
          <w:szCs w:val="24"/>
        </w:rPr>
      </w:pPr>
      <w:r w:rsidRPr="005E61BB">
        <w:rPr>
          <w:rFonts w:asciiTheme="majorBidi" w:hAnsiTheme="majorBidi" w:cstheme="majorBidi"/>
          <w:b/>
          <w:bCs/>
          <w:sz w:val="24"/>
          <w:szCs w:val="24"/>
        </w:rPr>
        <w:fldChar w:fldCharType="begin"/>
      </w:r>
      <w:r w:rsidRPr="005E61BB">
        <w:rPr>
          <w:rFonts w:asciiTheme="majorBidi" w:hAnsiTheme="majorBidi" w:cstheme="majorBidi"/>
          <w:b/>
          <w:bCs/>
          <w:sz w:val="24"/>
          <w:szCs w:val="24"/>
        </w:rPr>
        <w:instrText xml:space="preserve"> TOC \h \z \c "Graph" </w:instrText>
      </w:r>
      <w:r w:rsidRPr="005E61BB">
        <w:rPr>
          <w:rFonts w:asciiTheme="majorBidi" w:hAnsiTheme="majorBidi" w:cstheme="majorBidi"/>
          <w:b/>
          <w:bCs/>
          <w:sz w:val="24"/>
          <w:szCs w:val="24"/>
        </w:rPr>
        <w:fldChar w:fldCharType="separate"/>
      </w:r>
      <w:hyperlink w:anchor="_Toc199695816" w:history="1">
        <w:r w:rsidRPr="005E61BB">
          <w:rPr>
            <w:rStyle w:val="Lienhypertexte"/>
            <w:rFonts w:asciiTheme="majorBidi" w:hAnsiTheme="majorBidi" w:cstheme="majorBidi"/>
            <w:b/>
            <w:bCs/>
            <w:noProof/>
            <w:sz w:val="24"/>
            <w:szCs w:val="24"/>
          </w:rPr>
          <w:t xml:space="preserve">Graph 1 </w:t>
        </w:r>
        <w:r w:rsidRPr="005E61BB">
          <w:rPr>
            <w:rStyle w:val="Lienhypertexte"/>
            <w:rFonts w:asciiTheme="majorBidi" w:hAnsiTheme="majorBidi" w:cstheme="majorBidi"/>
            <w:noProof/>
            <w:sz w:val="24"/>
            <w:szCs w:val="24"/>
          </w:rPr>
          <w:t>Teachers’ Gender</w:t>
        </w:r>
        <w:r w:rsidRPr="005E61BB">
          <w:rPr>
            <w:rFonts w:asciiTheme="majorBidi" w:hAnsiTheme="majorBidi" w:cstheme="majorBidi"/>
            <w:noProof/>
            <w:webHidden/>
            <w:sz w:val="24"/>
            <w:szCs w:val="24"/>
          </w:rPr>
          <w:tab/>
        </w:r>
        <w:r w:rsidRPr="005E61BB">
          <w:rPr>
            <w:rFonts w:asciiTheme="majorBidi" w:hAnsiTheme="majorBidi" w:cstheme="majorBidi"/>
            <w:noProof/>
            <w:webHidden/>
            <w:sz w:val="24"/>
            <w:szCs w:val="24"/>
          </w:rPr>
          <w:fldChar w:fldCharType="begin"/>
        </w:r>
        <w:r w:rsidRPr="005E61BB">
          <w:rPr>
            <w:rFonts w:asciiTheme="majorBidi" w:hAnsiTheme="majorBidi" w:cstheme="majorBidi"/>
            <w:noProof/>
            <w:webHidden/>
            <w:sz w:val="24"/>
            <w:szCs w:val="24"/>
          </w:rPr>
          <w:instrText xml:space="preserve"> PAGEREF _Toc199695816 \h </w:instrText>
        </w:r>
        <w:r w:rsidRPr="005E61BB">
          <w:rPr>
            <w:rFonts w:asciiTheme="majorBidi" w:hAnsiTheme="majorBidi" w:cstheme="majorBidi"/>
            <w:noProof/>
            <w:webHidden/>
            <w:sz w:val="24"/>
            <w:szCs w:val="24"/>
          </w:rPr>
        </w:r>
        <w:r w:rsidRPr="005E61BB">
          <w:rPr>
            <w:rFonts w:asciiTheme="majorBidi" w:hAnsiTheme="majorBidi" w:cstheme="majorBidi"/>
            <w:noProof/>
            <w:webHidden/>
            <w:sz w:val="24"/>
            <w:szCs w:val="24"/>
          </w:rPr>
          <w:fldChar w:fldCharType="separate"/>
        </w:r>
        <w:r w:rsidR="00DC3231">
          <w:rPr>
            <w:rFonts w:asciiTheme="majorBidi" w:hAnsiTheme="majorBidi" w:cstheme="majorBidi"/>
            <w:noProof/>
            <w:webHidden/>
            <w:sz w:val="24"/>
            <w:szCs w:val="24"/>
          </w:rPr>
          <w:t>53</w:t>
        </w:r>
        <w:r w:rsidRPr="005E61BB">
          <w:rPr>
            <w:rFonts w:asciiTheme="majorBidi" w:hAnsiTheme="majorBidi" w:cstheme="majorBidi"/>
            <w:noProof/>
            <w:webHidden/>
            <w:sz w:val="24"/>
            <w:szCs w:val="24"/>
          </w:rPr>
          <w:fldChar w:fldCharType="end"/>
        </w:r>
      </w:hyperlink>
    </w:p>
    <w:p w14:paraId="367805AC" w14:textId="207B598A" w:rsidR="00737138" w:rsidRPr="005E61BB" w:rsidRDefault="00A8731A" w:rsidP="00EE485A">
      <w:pPr>
        <w:pStyle w:val="Tabledesillustrations"/>
        <w:tabs>
          <w:tab w:val="right" w:leader="dot" w:pos="9062"/>
        </w:tabs>
        <w:spacing w:line="360" w:lineRule="auto"/>
        <w:ind w:hanging="2"/>
        <w:rPr>
          <w:rFonts w:asciiTheme="majorBidi" w:eastAsiaTheme="minorEastAsia" w:hAnsiTheme="majorBidi" w:cstheme="majorBidi"/>
          <w:noProof/>
          <w:sz w:val="24"/>
          <w:szCs w:val="24"/>
        </w:rPr>
      </w:pPr>
      <w:hyperlink w:anchor="_Toc199695817" w:history="1">
        <w:r w:rsidR="00737138" w:rsidRPr="005E61BB">
          <w:rPr>
            <w:rStyle w:val="Lienhypertexte"/>
            <w:rFonts w:asciiTheme="majorBidi" w:hAnsiTheme="majorBidi" w:cstheme="majorBidi"/>
            <w:b/>
            <w:bCs/>
            <w:noProof/>
            <w:sz w:val="24"/>
            <w:szCs w:val="24"/>
          </w:rPr>
          <w:t xml:space="preserve">Graph 2 </w:t>
        </w:r>
        <w:r w:rsidR="00737138" w:rsidRPr="005E61BB">
          <w:rPr>
            <w:rStyle w:val="Lienhypertexte"/>
            <w:rFonts w:asciiTheme="majorBidi" w:hAnsiTheme="majorBidi" w:cstheme="majorBidi"/>
            <w:noProof/>
            <w:sz w:val="24"/>
            <w:szCs w:val="24"/>
          </w:rPr>
          <w:t>Teachers' Teaching Experience</w:t>
        </w:r>
        <w:r w:rsidR="00737138" w:rsidRPr="005E61BB">
          <w:rPr>
            <w:rFonts w:asciiTheme="majorBidi" w:hAnsiTheme="majorBidi" w:cstheme="majorBidi"/>
            <w:noProof/>
            <w:webHidden/>
            <w:sz w:val="24"/>
            <w:szCs w:val="24"/>
          </w:rPr>
          <w:tab/>
        </w:r>
        <w:r w:rsidR="00737138" w:rsidRPr="005E61BB">
          <w:rPr>
            <w:rFonts w:asciiTheme="majorBidi" w:hAnsiTheme="majorBidi" w:cstheme="majorBidi"/>
            <w:noProof/>
            <w:webHidden/>
            <w:sz w:val="24"/>
            <w:szCs w:val="24"/>
          </w:rPr>
          <w:fldChar w:fldCharType="begin"/>
        </w:r>
        <w:r w:rsidR="00737138" w:rsidRPr="005E61BB">
          <w:rPr>
            <w:rFonts w:asciiTheme="majorBidi" w:hAnsiTheme="majorBidi" w:cstheme="majorBidi"/>
            <w:noProof/>
            <w:webHidden/>
            <w:sz w:val="24"/>
            <w:szCs w:val="24"/>
          </w:rPr>
          <w:instrText xml:space="preserve"> PAGEREF _Toc199695817 \h </w:instrText>
        </w:r>
        <w:r w:rsidR="00737138" w:rsidRPr="005E61BB">
          <w:rPr>
            <w:rFonts w:asciiTheme="majorBidi" w:hAnsiTheme="majorBidi" w:cstheme="majorBidi"/>
            <w:noProof/>
            <w:webHidden/>
            <w:sz w:val="24"/>
            <w:szCs w:val="24"/>
          </w:rPr>
        </w:r>
        <w:r w:rsidR="00737138" w:rsidRPr="005E61BB">
          <w:rPr>
            <w:rFonts w:asciiTheme="majorBidi" w:hAnsiTheme="majorBidi" w:cstheme="majorBidi"/>
            <w:noProof/>
            <w:webHidden/>
            <w:sz w:val="24"/>
            <w:szCs w:val="24"/>
          </w:rPr>
          <w:fldChar w:fldCharType="separate"/>
        </w:r>
        <w:r w:rsidR="00DC3231">
          <w:rPr>
            <w:rFonts w:asciiTheme="majorBidi" w:hAnsiTheme="majorBidi" w:cstheme="majorBidi"/>
            <w:noProof/>
            <w:webHidden/>
            <w:sz w:val="24"/>
            <w:szCs w:val="24"/>
          </w:rPr>
          <w:t>54</w:t>
        </w:r>
        <w:r w:rsidR="00737138" w:rsidRPr="005E61BB">
          <w:rPr>
            <w:rFonts w:asciiTheme="majorBidi" w:hAnsiTheme="majorBidi" w:cstheme="majorBidi"/>
            <w:noProof/>
            <w:webHidden/>
            <w:sz w:val="24"/>
            <w:szCs w:val="24"/>
          </w:rPr>
          <w:fldChar w:fldCharType="end"/>
        </w:r>
      </w:hyperlink>
    </w:p>
    <w:p w14:paraId="357E572D" w14:textId="6371CDC1" w:rsidR="00737138" w:rsidRPr="005E61BB" w:rsidRDefault="00A8731A" w:rsidP="00EE485A">
      <w:pPr>
        <w:pStyle w:val="Tabledesillustrations"/>
        <w:tabs>
          <w:tab w:val="right" w:leader="dot" w:pos="9062"/>
        </w:tabs>
        <w:spacing w:line="360" w:lineRule="auto"/>
        <w:ind w:hanging="2"/>
        <w:rPr>
          <w:rFonts w:asciiTheme="majorBidi" w:eastAsiaTheme="minorEastAsia" w:hAnsiTheme="majorBidi" w:cstheme="majorBidi"/>
          <w:noProof/>
          <w:sz w:val="24"/>
          <w:szCs w:val="24"/>
        </w:rPr>
      </w:pPr>
      <w:hyperlink w:anchor="_Toc199695818" w:history="1">
        <w:r w:rsidR="00737138" w:rsidRPr="005E61BB">
          <w:rPr>
            <w:rStyle w:val="Lienhypertexte"/>
            <w:rFonts w:asciiTheme="majorBidi" w:hAnsiTheme="majorBidi" w:cstheme="majorBidi"/>
            <w:b/>
            <w:bCs/>
            <w:noProof/>
            <w:sz w:val="24"/>
            <w:szCs w:val="24"/>
          </w:rPr>
          <w:t xml:space="preserve">Graph 3 </w:t>
        </w:r>
        <w:r w:rsidR="00737138" w:rsidRPr="005E61BB">
          <w:rPr>
            <w:rStyle w:val="Lienhypertexte"/>
            <w:rFonts w:asciiTheme="majorBidi" w:hAnsiTheme="majorBidi" w:cstheme="majorBidi"/>
            <w:noProof/>
            <w:sz w:val="24"/>
            <w:szCs w:val="24"/>
          </w:rPr>
          <w:t>Teachers’ Participation in OTCs</w:t>
        </w:r>
        <w:r w:rsidR="00737138" w:rsidRPr="005E61BB">
          <w:rPr>
            <w:rFonts w:asciiTheme="majorBidi" w:hAnsiTheme="majorBidi" w:cstheme="majorBidi"/>
            <w:noProof/>
            <w:webHidden/>
            <w:sz w:val="24"/>
            <w:szCs w:val="24"/>
          </w:rPr>
          <w:tab/>
        </w:r>
        <w:r w:rsidR="00737138" w:rsidRPr="005E61BB">
          <w:rPr>
            <w:rFonts w:asciiTheme="majorBidi" w:hAnsiTheme="majorBidi" w:cstheme="majorBidi"/>
            <w:noProof/>
            <w:webHidden/>
            <w:sz w:val="24"/>
            <w:szCs w:val="24"/>
          </w:rPr>
          <w:fldChar w:fldCharType="begin"/>
        </w:r>
        <w:r w:rsidR="00737138" w:rsidRPr="005E61BB">
          <w:rPr>
            <w:rFonts w:asciiTheme="majorBidi" w:hAnsiTheme="majorBidi" w:cstheme="majorBidi"/>
            <w:noProof/>
            <w:webHidden/>
            <w:sz w:val="24"/>
            <w:szCs w:val="24"/>
          </w:rPr>
          <w:instrText xml:space="preserve"> PAGEREF _Toc199695818 \h </w:instrText>
        </w:r>
        <w:r w:rsidR="00737138" w:rsidRPr="005E61BB">
          <w:rPr>
            <w:rFonts w:asciiTheme="majorBidi" w:hAnsiTheme="majorBidi" w:cstheme="majorBidi"/>
            <w:noProof/>
            <w:webHidden/>
            <w:sz w:val="24"/>
            <w:szCs w:val="24"/>
          </w:rPr>
        </w:r>
        <w:r w:rsidR="00737138" w:rsidRPr="005E61BB">
          <w:rPr>
            <w:rFonts w:asciiTheme="majorBidi" w:hAnsiTheme="majorBidi" w:cstheme="majorBidi"/>
            <w:noProof/>
            <w:webHidden/>
            <w:sz w:val="24"/>
            <w:szCs w:val="24"/>
          </w:rPr>
          <w:fldChar w:fldCharType="separate"/>
        </w:r>
        <w:r w:rsidR="00DC3231">
          <w:rPr>
            <w:rFonts w:asciiTheme="majorBidi" w:hAnsiTheme="majorBidi" w:cstheme="majorBidi"/>
            <w:noProof/>
            <w:webHidden/>
            <w:sz w:val="24"/>
            <w:szCs w:val="24"/>
          </w:rPr>
          <w:t>55</w:t>
        </w:r>
        <w:r w:rsidR="00737138" w:rsidRPr="005E61BB">
          <w:rPr>
            <w:rFonts w:asciiTheme="majorBidi" w:hAnsiTheme="majorBidi" w:cstheme="majorBidi"/>
            <w:noProof/>
            <w:webHidden/>
            <w:sz w:val="24"/>
            <w:szCs w:val="24"/>
          </w:rPr>
          <w:fldChar w:fldCharType="end"/>
        </w:r>
      </w:hyperlink>
    </w:p>
    <w:p w14:paraId="4AE31BF5" w14:textId="3D22F0B4" w:rsidR="00737138" w:rsidRPr="005E61BB" w:rsidRDefault="00A8731A" w:rsidP="00EE485A">
      <w:pPr>
        <w:pStyle w:val="Tabledesillustrations"/>
        <w:tabs>
          <w:tab w:val="right" w:leader="dot" w:pos="9062"/>
        </w:tabs>
        <w:spacing w:line="360" w:lineRule="auto"/>
        <w:ind w:hanging="2"/>
        <w:rPr>
          <w:rFonts w:asciiTheme="majorBidi" w:eastAsiaTheme="minorEastAsia" w:hAnsiTheme="majorBidi" w:cstheme="majorBidi"/>
          <w:noProof/>
          <w:sz w:val="24"/>
          <w:szCs w:val="24"/>
        </w:rPr>
      </w:pPr>
      <w:hyperlink w:anchor="_Toc199695819" w:history="1">
        <w:r w:rsidR="00737138" w:rsidRPr="005E61BB">
          <w:rPr>
            <w:rStyle w:val="Lienhypertexte"/>
            <w:rFonts w:asciiTheme="majorBidi" w:hAnsiTheme="majorBidi" w:cstheme="majorBidi"/>
            <w:b/>
            <w:bCs/>
            <w:noProof/>
            <w:sz w:val="24"/>
            <w:szCs w:val="24"/>
          </w:rPr>
          <w:t xml:space="preserve">Graph 4 </w:t>
        </w:r>
        <w:r w:rsidR="00737138" w:rsidRPr="005E61BB">
          <w:rPr>
            <w:rStyle w:val="Lienhypertexte"/>
            <w:rFonts w:asciiTheme="majorBidi" w:hAnsiTheme="majorBidi" w:cstheme="majorBidi"/>
            <w:noProof/>
            <w:sz w:val="24"/>
            <w:szCs w:val="24"/>
          </w:rPr>
          <w:t>Frequency of Teachers’ Engagement in OTCs</w:t>
        </w:r>
        <w:r w:rsidR="00737138" w:rsidRPr="005E61BB">
          <w:rPr>
            <w:rFonts w:asciiTheme="majorBidi" w:hAnsiTheme="majorBidi" w:cstheme="majorBidi"/>
            <w:noProof/>
            <w:webHidden/>
            <w:sz w:val="24"/>
            <w:szCs w:val="24"/>
          </w:rPr>
          <w:tab/>
        </w:r>
        <w:r w:rsidR="00737138" w:rsidRPr="005E61BB">
          <w:rPr>
            <w:rFonts w:asciiTheme="majorBidi" w:hAnsiTheme="majorBidi" w:cstheme="majorBidi"/>
            <w:noProof/>
            <w:webHidden/>
            <w:sz w:val="24"/>
            <w:szCs w:val="24"/>
          </w:rPr>
          <w:fldChar w:fldCharType="begin"/>
        </w:r>
        <w:r w:rsidR="00737138" w:rsidRPr="005E61BB">
          <w:rPr>
            <w:rFonts w:asciiTheme="majorBidi" w:hAnsiTheme="majorBidi" w:cstheme="majorBidi"/>
            <w:noProof/>
            <w:webHidden/>
            <w:sz w:val="24"/>
            <w:szCs w:val="24"/>
          </w:rPr>
          <w:instrText xml:space="preserve"> PAGEREF _Toc199695819 \h </w:instrText>
        </w:r>
        <w:r w:rsidR="00737138" w:rsidRPr="005E61BB">
          <w:rPr>
            <w:rFonts w:asciiTheme="majorBidi" w:hAnsiTheme="majorBidi" w:cstheme="majorBidi"/>
            <w:noProof/>
            <w:webHidden/>
            <w:sz w:val="24"/>
            <w:szCs w:val="24"/>
          </w:rPr>
        </w:r>
        <w:r w:rsidR="00737138" w:rsidRPr="005E61BB">
          <w:rPr>
            <w:rFonts w:asciiTheme="majorBidi" w:hAnsiTheme="majorBidi" w:cstheme="majorBidi"/>
            <w:noProof/>
            <w:webHidden/>
            <w:sz w:val="24"/>
            <w:szCs w:val="24"/>
          </w:rPr>
          <w:fldChar w:fldCharType="separate"/>
        </w:r>
        <w:r w:rsidR="00DC3231">
          <w:rPr>
            <w:rFonts w:asciiTheme="majorBidi" w:hAnsiTheme="majorBidi" w:cstheme="majorBidi"/>
            <w:noProof/>
            <w:webHidden/>
            <w:sz w:val="24"/>
            <w:szCs w:val="24"/>
          </w:rPr>
          <w:t>56</w:t>
        </w:r>
        <w:r w:rsidR="00737138" w:rsidRPr="005E61BB">
          <w:rPr>
            <w:rFonts w:asciiTheme="majorBidi" w:hAnsiTheme="majorBidi" w:cstheme="majorBidi"/>
            <w:noProof/>
            <w:webHidden/>
            <w:sz w:val="24"/>
            <w:szCs w:val="24"/>
          </w:rPr>
          <w:fldChar w:fldCharType="end"/>
        </w:r>
      </w:hyperlink>
    </w:p>
    <w:p w14:paraId="05B47234" w14:textId="3C52CD8E" w:rsidR="00737138" w:rsidRPr="005E61BB" w:rsidRDefault="00A8731A" w:rsidP="00EE485A">
      <w:pPr>
        <w:pStyle w:val="Tabledesillustrations"/>
        <w:tabs>
          <w:tab w:val="right" w:leader="dot" w:pos="9062"/>
        </w:tabs>
        <w:spacing w:line="360" w:lineRule="auto"/>
        <w:ind w:hanging="2"/>
        <w:rPr>
          <w:rFonts w:asciiTheme="majorBidi" w:eastAsiaTheme="minorEastAsia" w:hAnsiTheme="majorBidi" w:cstheme="majorBidi"/>
          <w:noProof/>
          <w:sz w:val="24"/>
          <w:szCs w:val="24"/>
        </w:rPr>
      </w:pPr>
      <w:hyperlink w:anchor="_Toc199695820" w:history="1">
        <w:r w:rsidR="00737138" w:rsidRPr="005E61BB">
          <w:rPr>
            <w:rStyle w:val="Lienhypertexte"/>
            <w:rFonts w:asciiTheme="majorBidi" w:hAnsiTheme="majorBidi" w:cstheme="majorBidi"/>
            <w:b/>
            <w:bCs/>
            <w:noProof/>
            <w:sz w:val="24"/>
            <w:szCs w:val="24"/>
          </w:rPr>
          <w:t xml:space="preserve">Graph 5 </w:t>
        </w:r>
        <w:r w:rsidR="00737138" w:rsidRPr="005E61BB">
          <w:rPr>
            <w:rStyle w:val="Lienhypertexte"/>
            <w:rFonts w:asciiTheme="majorBidi" w:hAnsiTheme="majorBidi" w:cstheme="majorBidi"/>
            <w:noProof/>
            <w:sz w:val="24"/>
            <w:szCs w:val="24"/>
          </w:rPr>
          <w:t>Frequency of Teachers’ Engagement in OTCs</w:t>
        </w:r>
        <w:r w:rsidR="00737138" w:rsidRPr="005E61BB">
          <w:rPr>
            <w:rFonts w:asciiTheme="majorBidi" w:hAnsiTheme="majorBidi" w:cstheme="majorBidi"/>
            <w:noProof/>
            <w:webHidden/>
            <w:sz w:val="24"/>
            <w:szCs w:val="24"/>
          </w:rPr>
          <w:tab/>
        </w:r>
        <w:r w:rsidR="00737138" w:rsidRPr="005E61BB">
          <w:rPr>
            <w:rFonts w:asciiTheme="majorBidi" w:hAnsiTheme="majorBidi" w:cstheme="majorBidi"/>
            <w:noProof/>
            <w:webHidden/>
            <w:sz w:val="24"/>
            <w:szCs w:val="24"/>
          </w:rPr>
          <w:fldChar w:fldCharType="begin"/>
        </w:r>
        <w:r w:rsidR="00737138" w:rsidRPr="005E61BB">
          <w:rPr>
            <w:rFonts w:asciiTheme="majorBidi" w:hAnsiTheme="majorBidi" w:cstheme="majorBidi"/>
            <w:noProof/>
            <w:webHidden/>
            <w:sz w:val="24"/>
            <w:szCs w:val="24"/>
          </w:rPr>
          <w:instrText xml:space="preserve"> PAGEREF _Toc199695820 \h </w:instrText>
        </w:r>
        <w:r w:rsidR="00737138" w:rsidRPr="005E61BB">
          <w:rPr>
            <w:rFonts w:asciiTheme="majorBidi" w:hAnsiTheme="majorBidi" w:cstheme="majorBidi"/>
            <w:noProof/>
            <w:webHidden/>
            <w:sz w:val="24"/>
            <w:szCs w:val="24"/>
          </w:rPr>
        </w:r>
        <w:r w:rsidR="00737138" w:rsidRPr="005E61BB">
          <w:rPr>
            <w:rFonts w:asciiTheme="majorBidi" w:hAnsiTheme="majorBidi" w:cstheme="majorBidi"/>
            <w:noProof/>
            <w:webHidden/>
            <w:sz w:val="24"/>
            <w:szCs w:val="24"/>
          </w:rPr>
          <w:fldChar w:fldCharType="separate"/>
        </w:r>
        <w:r w:rsidR="00DC3231">
          <w:rPr>
            <w:rFonts w:asciiTheme="majorBidi" w:hAnsiTheme="majorBidi" w:cstheme="majorBidi"/>
            <w:noProof/>
            <w:webHidden/>
            <w:sz w:val="24"/>
            <w:szCs w:val="24"/>
          </w:rPr>
          <w:t>57</w:t>
        </w:r>
        <w:r w:rsidR="00737138" w:rsidRPr="005E61BB">
          <w:rPr>
            <w:rFonts w:asciiTheme="majorBidi" w:hAnsiTheme="majorBidi" w:cstheme="majorBidi"/>
            <w:noProof/>
            <w:webHidden/>
            <w:sz w:val="24"/>
            <w:szCs w:val="24"/>
          </w:rPr>
          <w:fldChar w:fldCharType="end"/>
        </w:r>
      </w:hyperlink>
    </w:p>
    <w:p w14:paraId="768DF374" w14:textId="79B0DA20" w:rsidR="00737138" w:rsidRPr="005E61BB" w:rsidRDefault="00A8731A" w:rsidP="00EE485A">
      <w:pPr>
        <w:pStyle w:val="Tabledesillustrations"/>
        <w:tabs>
          <w:tab w:val="right" w:leader="dot" w:pos="9062"/>
        </w:tabs>
        <w:spacing w:line="360" w:lineRule="auto"/>
        <w:ind w:hanging="2"/>
        <w:rPr>
          <w:rFonts w:asciiTheme="majorBidi" w:eastAsiaTheme="minorEastAsia" w:hAnsiTheme="majorBidi" w:cstheme="majorBidi"/>
          <w:noProof/>
          <w:sz w:val="24"/>
          <w:szCs w:val="24"/>
        </w:rPr>
      </w:pPr>
      <w:hyperlink w:anchor="_Toc199695821" w:history="1">
        <w:r w:rsidR="00737138" w:rsidRPr="005E61BB">
          <w:rPr>
            <w:rStyle w:val="Lienhypertexte"/>
            <w:rFonts w:asciiTheme="majorBidi" w:hAnsiTheme="majorBidi" w:cstheme="majorBidi"/>
            <w:b/>
            <w:bCs/>
            <w:noProof/>
            <w:sz w:val="24"/>
            <w:szCs w:val="24"/>
          </w:rPr>
          <w:t xml:space="preserve">Graph 6 </w:t>
        </w:r>
        <w:r w:rsidR="00737138" w:rsidRPr="005E61BB">
          <w:rPr>
            <w:rStyle w:val="Lienhypertexte"/>
            <w:rFonts w:asciiTheme="majorBidi" w:hAnsiTheme="majorBidi" w:cstheme="majorBidi"/>
            <w:noProof/>
            <w:sz w:val="24"/>
            <w:szCs w:val="24"/>
          </w:rPr>
          <w:t>Distribution of Activities Practiced in OTCs</w:t>
        </w:r>
        <w:r w:rsidR="00737138" w:rsidRPr="005E61BB">
          <w:rPr>
            <w:rFonts w:asciiTheme="majorBidi" w:hAnsiTheme="majorBidi" w:cstheme="majorBidi"/>
            <w:noProof/>
            <w:webHidden/>
            <w:sz w:val="24"/>
            <w:szCs w:val="24"/>
          </w:rPr>
          <w:tab/>
        </w:r>
        <w:r w:rsidR="00737138" w:rsidRPr="005E61BB">
          <w:rPr>
            <w:rFonts w:asciiTheme="majorBidi" w:hAnsiTheme="majorBidi" w:cstheme="majorBidi"/>
            <w:noProof/>
            <w:webHidden/>
            <w:sz w:val="24"/>
            <w:szCs w:val="24"/>
          </w:rPr>
          <w:fldChar w:fldCharType="begin"/>
        </w:r>
        <w:r w:rsidR="00737138" w:rsidRPr="005E61BB">
          <w:rPr>
            <w:rFonts w:asciiTheme="majorBidi" w:hAnsiTheme="majorBidi" w:cstheme="majorBidi"/>
            <w:noProof/>
            <w:webHidden/>
            <w:sz w:val="24"/>
            <w:szCs w:val="24"/>
          </w:rPr>
          <w:instrText xml:space="preserve"> PAGEREF _Toc199695821 \h </w:instrText>
        </w:r>
        <w:r w:rsidR="00737138" w:rsidRPr="005E61BB">
          <w:rPr>
            <w:rFonts w:asciiTheme="majorBidi" w:hAnsiTheme="majorBidi" w:cstheme="majorBidi"/>
            <w:noProof/>
            <w:webHidden/>
            <w:sz w:val="24"/>
            <w:szCs w:val="24"/>
          </w:rPr>
        </w:r>
        <w:r w:rsidR="00737138" w:rsidRPr="005E61BB">
          <w:rPr>
            <w:rFonts w:asciiTheme="majorBidi" w:hAnsiTheme="majorBidi" w:cstheme="majorBidi"/>
            <w:noProof/>
            <w:webHidden/>
            <w:sz w:val="24"/>
            <w:szCs w:val="24"/>
          </w:rPr>
          <w:fldChar w:fldCharType="separate"/>
        </w:r>
        <w:r w:rsidR="00DC3231">
          <w:rPr>
            <w:rFonts w:asciiTheme="majorBidi" w:hAnsiTheme="majorBidi" w:cstheme="majorBidi"/>
            <w:noProof/>
            <w:webHidden/>
            <w:sz w:val="24"/>
            <w:szCs w:val="24"/>
          </w:rPr>
          <w:t>58</w:t>
        </w:r>
        <w:r w:rsidR="00737138" w:rsidRPr="005E61BB">
          <w:rPr>
            <w:rFonts w:asciiTheme="majorBidi" w:hAnsiTheme="majorBidi" w:cstheme="majorBidi"/>
            <w:noProof/>
            <w:webHidden/>
            <w:sz w:val="24"/>
            <w:szCs w:val="24"/>
          </w:rPr>
          <w:fldChar w:fldCharType="end"/>
        </w:r>
      </w:hyperlink>
    </w:p>
    <w:p w14:paraId="3EC19CAE" w14:textId="576761A0" w:rsidR="00737138" w:rsidRPr="005E61BB" w:rsidRDefault="00A8731A" w:rsidP="00EE485A">
      <w:pPr>
        <w:pStyle w:val="Tabledesillustrations"/>
        <w:tabs>
          <w:tab w:val="right" w:leader="dot" w:pos="9062"/>
        </w:tabs>
        <w:spacing w:line="360" w:lineRule="auto"/>
        <w:ind w:hanging="2"/>
        <w:rPr>
          <w:rFonts w:asciiTheme="majorBidi" w:eastAsiaTheme="minorEastAsia" w:hAnsiTheme="majorBidi" w:cstheme="majorBidi"/>
          <w:noProof/>
          <w:sz w:val="24"/>
          <w:szCs w:val="24"/>
        </w:rPr>
      </w:pPr>
      <w:hyperlink w:anchor="_Toc199695822" w:history="1">
        <w:r w:rsidR="00737138" w:rsidRPr="005E61BB">
          <w:rPr>
            <w:rStyle w:val="Lienhypertexte"/>
            <w:rFonts w:asciiTheme="majorBidi" w:hAnsiTheme="majorBidi" w:cstheme="majorBidi"/>
            <w:b/>
            <w:bCs/>
            <w:noProof/>
            <w:sz w:val="24"/>
            <w:szCs w:val="24"/>
          </w:rPr>
          <w:t xml:space="preserve">Graph 7  </w:t>
        </w:r>
        <w:r w:rsidR="00737138" w:rsidRPr="005E61BB">
          <w:rPr>
            <w:rStyle w:val="Lienhypertexte"/>
            <w:rFonts w:asciiTheme="majorBidi" w:hAnsiTheme="majorBidi" w:cstheme="majorBidi"/>
            <w:noProof/>
            <w:sz w:val="24"/>
            <w:szCs w:val="24"/>
          </w:rPr>
          <w:t>Distribution of Responses on the Questionnaire’s First Section Likert Scale</w:t>
        </w:r>
        <w:r w:rsidR="00737138" w:rsidRPr="005E61BB">
          <w:rPr>
            <w:rFonts w:asciiTheme="majorBidi" w:hAnsiTheme="majorBidi" w:cstheme="majorBidi"/>
            <w:noProof/>
            <w:webHidden/>
            <w:sz w:val="24"/>
            <w:szCs w:val="24"/>
          </w:rPr>
          <w:tab/>
        </w:r>
        <w:r w:rsidR="00737138" w:rsidRPr="005E61BB">
          <w:rPr>
            <w:rFonts w:asciiTheme="majorBidi" w:hAnsiTheme="majorBidi" w:cstheme="majorBidi"/>
            <w:noProof/>
            <w:webHidden/>
            <w:sz w:val="24"/>
            <w:szCs w:val="24"/>
          </w:rPr>
          <w:fldChar w:fldCharType="begin"/>
        </w:r>
        <w:r w:rsidR="00737138" w:rsidRPr="005E61BB">
          <w:rPr>
            <w:rFonts w:asciiTheme="majorBidi" w:hAnsiTheme="majorBidi" w:cstheme="majorBidi"/>
            <w:noProof/>
            <w:webHidden/>
            <w:sz w:val="24"/>
            <w:szCs w:val="24"/>
          </w:rPr>
          <w:instrText xml:space="preserve"> PAGEREF _Toc199695822 \h </w:instrText>
        </w:r>
        <w:r w:rsidR="00737138" w:rsidRPr="005E61BB">
          <w:rPr>
            <w:rFonts w:asciiTheme="majorBidi" w:hAnsiTheme="majorBidi" w:cstheme="majorBidi"/>
            <w:noProof/>
            <w:webHidden/>
            <w:sz w:val="24"/>
            <w:szCs w:val="24"/>
          </w:rPr>
        </w:r>
        <w:r w:rsidR="00737138" w:rsidRPr="005E61BB">
          <w:rPr>
            <w:rFonts w:asciiTheme="majorBidi" w:hAnsiTheme="majorBidi" w:cstheme="majorBidi"/>
            <w:noProof/>
            <w:webHidden/>
            <w:sz w:val="24"/>
            <w:szCs w:val="24"/>
          </w:rPr>
          <w:fldChar w:fldCharType="separate"/>
        </w:r>
        <w:r w:rsidR="00DC3231">
          <w:rPr>
            <w:rFonts w:asciiTheme="majorBidi" w:hAnsiTheme="majorBidi" w:cstheme="majorBidi"/>
            <w:noProof/>
            <w:webHidden/>
            <w:sz w:val="24"/>
            <w:szCs w:val="24"/>
          </w:rPr>
          <w:t>59</w:t>
        </w:r>
        <w:r w:rsidR="00737138" w:rsidRPr="005E61BB">
          <w:rPr>
            <w:rFonts w:asciiTheme="majorBidi" w:hAnsiTheme="majorBidi" w:cstheme="majorBidi"/>
            <w:noProof/>
            <w:webHidden/>
            <w:sz w:val="24"/>
            <w:szCs w:val="24"/>
          </w:rPr>
          <w:fldChar w:fldCharType="end"/>
        </w:r>
      </w:hyperlink>
    </w:p>
    <w:p w14:paraId="24A49CA6" w14:textId="441F1DB3" w:rsidR="00737138" w:rsidRPr="005E61BB" w:rsidRDefault="00A8731A" w:rsidP="00EE485A">
      <w:pPr>
        <w:pStyle w:val="Tabledesillustrations"/>
        <w:tabs>
          <w:tab w:val="right" w:leader="dot" w:pos="9062"/>
        </w:tabs>
        <w:spacing w:line="360" w:lineRule="auto"/>
        <w:ind w:hanging="2"/>
        <w:rPr>
          <w:rFonts w:asciiTheme="majorBidi" w:eastAsiaTheme="minorEastAsia" w:hAnsiTheme="majorBidi" w:cstheme="majorBidi"/>
          <w:noProof/>
          <w:sz w:val="24"/>
          <w:szCs w:val="24"/>
        </w:rPr>
      </w:pPr>
      <w:hyperlink w:anchor="_Toc199695823" w:history="1">
        <w:r w:rsidR="00737138" w:rsidRPr="005E61BB">
          <w:rPr>
            <w:rStyle w:val="Lienhypertexte"/>
            <w:rFonts w:asciiTheme="majorBidi" w:hAnsiTheme="majorBidi" w:cstheme="majorBidi"/>
            <w:b/>
            <w:bCs/>
            <w:noProof/>
            <w:sz w:val="24"/>
            <w:szCs w:val="24"/>
          </w:rPr>
          <w:t xml:space="preserve">Graph 8 </w:t>
        </w:r>
        <w:r w:rsidR="00737138" w:rsidRPr="005E61BB">
          <w:rPr>
            <w:rStyle w:val="Lienhypertexte"/>
            <w:rFonts w:asciiTheme="majorBidi" w:hAnsiTheme="majorBidi" w:cstheme="majorBidi"/>
            <w:noProof/>
            <w:sz w:val="24"/>
            <w:szCs w:val="24"/>
          </w:rPr>
          <w:t>Measures of Central Tendency and Dispersion Summary</w:t>
        </w:r>
        <w:r w:rsidR="00737138" w:rsidRPr="005E61BB">
          <w:rPr>
            <w:rFonts w:asciiTheme="majorBidi" w:hAnsiTheme="majorBidi" w:cstheme="majorBidi"/>
            <w:noProof/>
            <w:webHidden/>
            <w:sz w:val="24"/>
            <w:szCs w:val="24"/>
          </w:rPr>
          <w:tab/>
        </w:r>
        <w:r w:rsidR="00737138" w:rsidRPr="005E61BB">
          <w:rPr>
            <w:rFonts w:asciiTheme="majorBidi" w:hAnsiTheme="majorBidi" w:cstheme="majorBidi"/>
            <w:noProof/>
            <w:webHidden/>
            <w:sz w:val="24"/>
            <w:szCs w:val="24"/>
          </w:rPr>
          <w:fldChar w:fldCharType="begin"/>
        </w:r>
        <w:r w:rsidR="00737138" w:rsidRPr="005E61BB">
          <w:rPr>
            <w:rFonts w:asciiTheme="majorBidi" w:hAnsiTheme="majorBidi" w:cstheme="majorBidi"/>
            <w:noProof/>
            <w:webHidden/>
            <w:sz w:val="24"/>
            <w:szCs w:val="24"/>
          </w:rPr>
          <w:instrText xml:space="preserve"> PAGEREF _Toc199695823 \h </w:instrText>
        </w:r>
        <w:r w:rsidR="00737138" w:rsidRPr="005E61BB">
          <w:rPr>
            <w:rFonts w:asciiTheme="majorBidi" w:hAnsiTheme="majorBidi" w:cstheme="majorBidi"/>
            <w:noProof/>
            <w:webHidden/>
            <w:sz w:val="24"/>
            <w:szCs w:val="24"/>
          </w:rPr>
        </w:r>
        <w:r w:rsidR="00737138" w:rsidRPr="005E61BB">
          <w:rPr>
            <w:rFonts w:asciiTheme="majorBidi" w:hAnsiTheme="majorBidi" w:cstheme="majorBidi"/>
            <w:noProof/>
            <w:webHidden/>
            <w:sz w:val="24"/>
            <w:szCs w:val="24"/>
          </w:rPr>
          <w:fldChar w:fldCharType="separate"/>
        </w:r>
        <w:r w:rsidR="00DC3231">
          <w:rPr>
            <w:rFonts w:asciiTheme="majorBidi" w:hAnsiTheme="majorBidi" w:cstheme="majorBidi"/>
            <w:noProof/>
            <w:webHidden/>
            <w:sz w:val="24"/>
            <w:szCs w:val="24"/>
          </w:rPr>
          <w:t>63</w:t>
        </w:r>
        <w:r w:rsidR="00737138" w:rsidRPr="005E61BB">
          <w:rPr>
            <w:rFonts w:asciiTheme="majorBidi" w:hAnsiTheme="majorBidi" w:cstheme="majorBidi"/>
            <w:noProof/>
            <w:webHidden/>
            <w:sz w:val="24"/>
            <w:szCs w:val="24"/>
          </w:rPr>
          <w:fldChar w:fldCharType="end"/>
        </w:r>
      </w:hyperlink>
    </w:p>
    <w:p w14:paraId="5A1A5330" w14:textId="7404B6AC" w:rsidR="00737138" w:rsidRPr="005E61BB" w:rsidRDefault="00A8731A" w:rsidP="00EE485A">
      <w:pPr>
        <w:pStyle w:val="Tabledesillustrations"/>
        <w:tabs>
          <w:tab w:val="right" w:leader="dot" w:pos="9062"/>
        </w:tabs>
        <w:spacing w:line="360" w:lineRule="auto"/>
        <w:ind w:hanging="2"/>
        <w:rPr>
          <w:rFonts w:asciiTheme="majorBidi" w:eastAsiaTheme="minorEastAsia" w:hAnsiTheme="majorBidi" w:cstheme="majorBidi"/>
          <w:noProof/>
          <w:sz w:val="24"/>
          <w:szCs w:val="24"/>
        </w:rPr>
      </w:pPr>
      <w:hyperlink w:anchor="_Toc199695824" w:history="1">
        <w:r w:rsidR="00737138" w:rsidRPr="005E61BB">
          <w:rPr>
            <w:rStyle w:val="Lienhypertexte"/>
            <w:rFonts w:asciiTheme="majorBidi" w:hAnsiTheme="majorBidi" w:cstheme="majorBidi"/>
            <w:b/>
            <w:bCs/>
            <w:noProof/>
            <w:sz w:val="24"/>
            <w:szCs w:val="24"/>
          </w:rPr>
          <w:t xml:space="preserve">Graph 9 </w:t>
        </w:r>
        <w:r w:rsidR="00737138" w:rsidRPr="005E61BB">
          <w:rPr>
            <w:rStyle w:val="Lienhypertexte"/>
            <w:rFonts w:asciiTheme="majorBidi" w:hAnsiTheme="majorBidi" w:cstheme="majorBidi"/>
            <w:noProof/>
            <w:sz w:val="24"/>
            <w:szCs w:val="24"/>
          </w:rPr>
          <w:t>Perceived Usefulness of OTCs</w:t>
        </w:r>
        <w:r w:rsidR="00737138" w:rsidRPr="005E61BB">
          <w:rPr>
            <w:rFonts w:asciiTheme="majorBidi" w:hAnsiTheme="majorBidi" w:cstheme="majorBidi"/>
            <w:noProof/>
            <w:webHidden/>
            <w:sz w:val="24"/>
            <w:szCs w:val="24"/>
          </w:rPr>
          <w:tab/>
        </w:r>
        <w:r w:rsidR="00737138" w:rsidRPr="005E61BB">
          <w:rPr>
            <w:rFonts w:asciiTheme="majorBidi" w:hAnsiTheme="majorBidi" w:cstheme="majorBidi"/>
            <w:noProof/>
            <w:webHidden/>
            <w:sz w:val="24"/>
            <w:szCs w:val="24"/>
          </w:rPr>
          <w:fldChar w:fldCharType="begin"/>
        </w:r>
        <w:r w:rsidR="00737138" w:rsidRPr="005E61BB">
          <w:rPr>
            <w:rFonts w:asciiTheme="majorBidi" w:hAnsiTheme="majorBidi" w:cstheme="majorBidi"/>
            <w:noProof/>
            <w:webHidden/>
            <w:sz w:val="24"/>
            <w:szCs w:val="24"/>
          </w:rPr>
          <w:instrText xml:space="preserve"> PAGEREF _Toc199695824 \h </w:instrText>
        </w:r>
        <w:r w:rsidR="00737138" w:rsidRPr="005E61BB">
          <w:rPr>
            <w:rFonts w:asciiTheme="majorBidi" w:hAnsiTheme="majorBidi" w:cstheme="majorBidi"/>
            <w:noProof/>
            <w:webHidden/>
            <w:sz w:val="24"/>
            <w:szCs w:val="24"/>
          </w:rPr>
        </w:r>
        <w:r w:rsidR="00737138" w:rsidRPr="005E61BB">
          <w:rPr>
            <w:rFonts w:asciiTheme="majorBidi" w:hAnsiTheme="majorBidi" w:cstheme="majorBidi"/>
            <w:noProof/>
            <w:webHidden/>
            <w:sz w:val="24"/>
            <w:szCs w:val="24"/>
          </w:rPr>
          <w:fldChar w:fldCharType="separate"/>
        </w:r>
        <w:r w:rsidR="00DC3231">
          <w:rPr>
            <w:rFonts w:asciiTheme="majorBidi" w:hAnsiTheme="majorBidi" w:cstheme="majorBidi"/>
            <w:noProof/>
            <w:webHidden/>
            <w:sz w:val="24"/>
            <w:szCs w:val="24"/>
          </w:rPr>
          <w:t>64</w:t>
        </w:r>
        <w:r w:rsidR="00737138" w:rsidRPr="005E61BB">
          <w:rPr>
            <w:rFonts w:asciiTheme="majorBidi" w:hAnsiTheme="majorBidi" w:cstheme="majorBidi"/>
            <w:noProof/>
            <w:webHidden/>
            <w:sz w:val="24"/>
            <w:szCs w:val="24"/>
          </w:rPr>
          <w:fldChar w:fldCharType="end"/>
        </w:r>
      </w:hyperlink>
    </w:p>
    <w:p w14:paraId="3EF62BD5" w14:textId="128D29E6" w:rsidR="00737138" w:rsidRPr="005E61BB" w:rsidRDefault="00A8731A" w:rsidP="00EE485A">
      <w:pPr>
        <w:pStyle w:val="Tabledesillustrations"/>
        <w:tabs>
          <w:tab w:val="right" w:leader="dot" w:pos="9062"/>
        </w:tabs>
        <w:spacing w:line="360" w:lineRule="auto"/>
        <w:ind w:hanging="2"/>
        <w:rPr>
          <w:rFonts w:asciiTheme="majorBidi" w:eastAsiaTheme="minorEastAsia" w:hAnsiTheme="majorBidi" w:cstheme="majorBidi"/>
          <w:noProof/>
          <w:sz w:val="24"/>
          <w:szCs w:val="24"/>
        </w:rPr>
      </w:pPr>
      <w:hyperlink w:anchor="_Toc199695825" w:history="1">
        <w:r w:rsidR="00737138" w:rsidRPr="005E61BB">
          <w:rPr>
            <w:rStyle w:val="Lienhypertexte"/>
            <w:rFonts w:asciiTheme="majorBidi" w:hAnsiTheme="majorBidi" w:cstheme="majorBidi"/>
            <w:b/>
            <w:bCs/>
            <w:noProof/>
            <w:sz w:val="24"/>
            <w:szCs w:val="24"/>
          </w:rPr>
          <w:t>Graph 10</w:t>
        </w:r>
        <w:r w:rsidR="00737138" w:rsidRPr="005E61BB">
          <w:rPr>
            <w:rStyle w:val="Lienhypertexte"/>
            <w:rFonts w:asciiTheme="majorBidi" w:hAnsiTheme="majorBidi" w:cstheme="majorBidi"/>
            <w:noProof/>
            <w:sz w:val="24"/>
            <w:szCs w:val="24"/>
          </w:rPr>
          <w:t xml:space="preserve"> Frequency of Applying Assessment Techniques Shared in OTCs</w:t>
        </w:r>
        <w:r w:rsidR="00737138" w:rsidRPr="005E61BB">
          <w:rPr>
            <w:rFonts w:asciiTheme="majorBidi" w:hAnsiTheme="majorBidi" w:cstheme="majorBidi"/>
            <w:noProof/>
            <w:webHidden/>
            <w:sz w:val="24"/>
            <w:szCs w:val="24"/>
          </w:rPr>
          <w:tab/>
        </w:r>
        <w:r w:rsidR="00737138" w:rsidRPr="005E61BB">
          <w:rPr>
            <w:rFonts w:asciiTheme="majorBidi" w:hAnsiTheme="majorBidi" w:cstheme="majorBidi"/>
            <w:noProof/>
            <w:webHidden/>
            <w:sz w:val="24"/>
            <w:szCs w:val="24"/>
          </w:rPr>
          <w:fldChar w:fldCharType="begin"/>
        </w:r>
        <w:r w:rsidR="00737138" w:rsidRPr="005E61BB">
          <w:rPr>
            <w:rFonts w:asciiTheme="majorBidi" w:hAnsiTheme="majorBidi" w:cstheme="majorBidi"/>
            <w:noProof/>
            <w:webHidden/>
            <w:sz w:val="24"/>
            <w:szCs w:val="24"/>
          </w:rPr>
          <w:instrText xml:space="preserve"> PAGEREF _Toc199695825 \h </w:instrText>
        </w:r>
        <w:r w:rsidR="00737138" w:rsidRPr="005E61BB">
          <w:rPr>
            <w:rFonts w:asciiTheme="majorBidi" w:hAnsiTheme="majorBidi" w:cstheme="majorBidi"/>
            <w:noProof/>
            <w:webHidden/>
            <w:sz w:val="24"/>
            <w:szCs w:val="24"/>
          </w:rPr>
        </w:r>
        <w:r w:rsidR="00737138" w:rsidRPr="005E61BB">
          <w:rPr>
            <w:rFonts w:asciiTheme="majorBidi" w:hAnsiTheme="majorBidi" w:cstheme="majorBidi"/>
            <w:noProof/>
            <w:webHidden/>
            <w:sz w:val="24"/>
            <w:szCs w:val="24"/>
          </w:rPr>
          <w:fldChar w:fldCharType="separate"/>
        </w:r>
        <w:r w:rsidR="00DC3231">
          <w:rPr>
            <w:rFonts w:asciiTheme="majorBidi" w:hAnsiTheme="majorBidi" w:cstheme="majorBidi"/>
            <w:noProof/>
            <w:webHidden/>
            <w:sz w:val="24"/>
            <w:szCs w:val="24"/>
          </w:rPr>
          <w:t>65</w:t>
        </w:r>
        <w:r w:rsidR="00737138" w:rsidRPr="005E61BB">
          <w:rPr>
            <w:rFonts w:asciiTheme="majorBidi" w:hAnsiTheme="majorBidi" w:cstheme="majorBidi"/>
            <w:noProof/>
            <w:webHidden/>
            <w:sz w:val="24"/>
            <w:szCs w:val="24"/>
          </w:rPr>
          <w:fldChar w:fldCharType="end"/>
        </w:r>
      </w:hyperlink>
    </w:p>
    <w:p w14:paraId="04FC6A97" w14:textId="5C1CC406" w:rsidR="00737138" w:rsidRPr="005E61BB" w:rsidRDefault="00A8731A" w:rsidP="00EE485A">
      <w:pPr>
        <w:pStyle w:val="Tabledesillustrations"/>
        <w:tabs>
          <w:tab w:val="right" w:leader="dot" w:pos="9062"/>
        </w:tabs>
        <w:spacing w:line="360" w:lineRule="auto"/>
        <w:ind w:hanging="2"/>
        <w:rPr>
          <w:rFonts w:asciiTheme="majorBidi" w:eastAsiaTheme="minorEastAsia" w:hAnsiTheme="majorBidi" w:cstheme="majorBidi"/>
          <w:noProof/>
          <w:sz w:val="24"/>
          <w:szCs w:val="24"/>
        </w:rPr>
      </w:pPr>
      <w:hyperlink w:anchor="_Toc199695826" w:history="1">
        <w:r w:rsidR="00737138" w:rsidRPr="005E61BB">
          <w:rPr>
            <w:rStyle w:val="Lienhypertexte"/>
            <w:rFonts w:asciiTheme="majorBidi" w:hAnsiTheme="majorBidi" w:cstheme="majorBidi"/>
            <w:b/>
            <w:bCs/>
            <w:noProof/>
            <w:sz w:val="24"/>
            <w:szCs w:val="24"/>
          </w:rPr>
          <w:t>Graph 12</w:t>
        </w:r>
        <w:r w:rsidR="00737138" w:rsidRPr="005E61BB">
          <w:rPr>
            <w:rStyle w:val="Lienhypertexte"/>
            <w:rFonts w:asciiTheme="majorBidi" w:hAnsiTheme="majorBidi" w:cstheme="majorBidi"/>
            <w:noProof/>
            <w:sz w:val="24"/>
            <w:szCs w:val="24"/>
          </w:rPr>
          <w:t xml:space="preserve"> How Teachers Rate the Effectiveness of OTCs</w:t>
        </w:r>
        <w:r w:rsidR="00737138" w:rsidRPr="005E61BB">
          <w:rPr>
            <w:rFonts w:asciiTheme="majorBidi" w:hAnsiTheme="majorBidi" w:cstheme="majorBidi"/>
            <w:noProof/>
            <w:webHidden/>
            <w:sz w:val="24"/>
            <w:szCs w:val="24"/>
          </w:rPr>
          <w:tab/>
        </w:r>
        <w:r w:rsidR="00737138" w:rsidRPr="005E61BB">
          <w:rPr>
            <w:rFonts w:asciiTheme="majorBidi" w:hAnsiTheme="majorBidi" w:cstheme="majorBidi"/>
            <w:noProof/>
            <w:webHidden/>
            <w:sz w:val="24"/>
            <w:szCs w:val="24"/>
          </w:rPr>
          <w:fldChar w:fldCharType="begin"/>
        </w:r>
        <w:r w:rsidR="00737138" w:rsidRPr="005E61BB">
          <w:rPr>
            <w:rFonts w:asciiTheme="majorBidi" w:hAnsiTheme="majorBidi" w:cstheme="majorBidi"/>
            <w:noProof/>
            <w:webHidden/>
            <w:sz w:val="24"/>
            <w:szCs w:val="24"/>
          </w:rPr>
          <w:instrText xml:space="preserve"> PAGEREF _Toc199695826 \h </w:instrText>
        </w:r>
        <w:r w:rsidR="00737138" w:rsidRPr="005E61BB">
          <w:rPr>
            <w:rFonts w:asciiTheme="majorBidi" w:hAnsiTheme="majorBidi" w:cstheme="majorBidi"/>
            <w:noProof/>
            <w:webHidden/>
            <w:sz w:val="24"/>
            <w:szCs w:val="24"/>
          </w:rPr>
        </w:r>
        <w:r w:rsidR="00737138" w:rsidRPr="005E61BB">
          <w:rPr>
            <w:rFonts w:asciiTheme="majorBidi" w:hAnsiTheme="majorBidi" w:cstheme="majorBidi"/>
            <w:noProof/>
            <w:webHidden/>
            <w:sz w:val="24"/>
            <w:szCs w:val="24"/>
          </w:rPr>
          <w:fldChar w:fldCharType="separate"/>
        </w:r>
        <w:r w:rsidR="00DC3231">
          <w:rPr>
            <w:rFonts w:asciiTheme="majorBidi" w:hAnsiTheme="majorBidi" w:cstheme="majorBidi"/>
            <w:noProof/>
            <w:webHidden/>
            <w:sz w:val="24"/>
            <w:szCs w:val="24"/>
          </w:rPr>
          <w:t>66</w:t>
        </w:r>
        <w:r w:rsidR="00737138" w:rsidRPr="005E61BB">
          <w:rPr>
            <w:rFonts w:asciiTheme="majorBidi" w:hAnsiTheme="majorBidi" w:cstheme="majorBidi"/>
            <w:noProof/>
            <w:webHidden/>
            <w:sz w:val="24"/>
            <w:szCs w:val="24"/>
          </w:rPr>
          <w:fldChar w:fldCharType="end"/>
        </w:r>
      </w:hyperlink>
    </w:p>
    <w:p w14:paraId="6291DF05" w14:textId="4634E5B6" w:rsidR="00737138" w:rsidRPr="005E61BB" w:rsidRDefault="00A8731A" w:rsidP="00EE485A">
      <w:pPr>
        <w:pStyle w:val="Tabledesillustrations"/>
        <w:tabs>
          <w:tab w:val="right" w:leader="dot" w:pos="9062"/>
        </w:tabs>
        <w:spacing w:line="360" w:lineRule="auto"/>
        <w:ind w:hanging="2"/>
        <w:rPr>
          <w:rFonts w:asciiTheme="majorBidi" w:eastAsiaTheme="minorEastAsia" w:hAnsiTheme="majorBidi" w:cstheme="majorBidi"/>
          <w:noProof/>
          <w:sz w:val="24"/>
          <w:szCs w:val="24"/>
        </w:rPr>
      </w:pPr>
      <w:hyperlink w:anchor="_Toc199695827" w:history="1">
        <w:r w:rsidR="00737138" w:rsidRPr="005E61BB">
          <w:rPr>
            <w:rStyle w:val="Lienhypertexte"/>
            <w:rFonts w:asciiTheme="majorBidi" w:hAnsiTheme="majorBidi" w:cstheme="majorBidi"/>
            <w:b/>
            <w:bCs/>
            <w:noProof/>
            <w:sz w:val="24"/>
            <w:szCs w:val="24"/>
          </w:rPr>
          <w:t>Graph 13</w:t>
        </w:r>
        <w:r w:rsidR="00737138" w:rsidRPr="005E61BB">
          <w:rPr>
            <w:rStyle w:val="Lienhypertexte"/>
            <w:rFonts w:asciiTheme="majorBidi" w:hAnsiTheme="majorBidi" w:cstheme="majorBidi"/>
            <w:noProof/>
            <w:sz w:val="24"/>
            <w:szCs w:val="24"/>
          </w:rPr>
          <w:t xml:space="preserve"> OTCs Role in Enhancing Teachers’ Ability to Design Assessment Tools</w:t>
        </w:r>
        <w:r w:rsidR="00737138" w:rsidRPr="005E61BB">
          <w:rPr>
            <w:rFonts w:asciiTheme="majorBidi" w:hAnsiTheme="majorBidi" w:cstheme="majorBidi"/>
            <w:noProof/>
            <w:webHidden/>
            <w:sz w:val="24"/>
            <w:szCs w:val="24"/>
          </w:rPr>
          <w:tab/>
        </w:r>
        <w:r w:rsidR="00737138" w:rsidRPr="005E61BB">
          <w:rPr>
            <w:rFonts w:asciiTheme="majorBidi" w:hAnsiTheme="majorBidi" w:cstheme="majorBidi"/>
            <w:noProof/>
            <w:webHidden/>
            <w:sz w:val="24"/>
            <w:szCs w:val="24"/>
          </w:rPr>
          <w:fldChar w:fldCharType="begin"/>
        </w:r>
        <w:r w:rsidR="00737138" w:rsidRPr="005E61BB">
          <w:rPr>
            <w:rFonts w:asciiTheme="majorBidi" w:hAnsiTheme="majorBidi" w:cstheme="majorBidi"/>
            <w:noProof/>
            <w:webHidden/>
            <w:sz w:val="24"/>
            <w:szCs w:val="24"/>
          </w:rPr>
          <w:instrText xml:space="preserve"> PAGEREF _Toc199695827 \h </w:instrText>
        </w:r>
        <w:r w:rsidR="00737138" w:rsidRPr="005E61BB">
          <w:rPr>
            <w:rFonts w:asciiTheme="majorBidi" w:hAnsiTheme="majorBidi" w:cstheme="majorBidi"/>
            <w:noProof/>
            <w:webHidden/>
            <w:sz w:val="24"/>
            <w:szCs w:val="24"/>
          </w:rPr>
        </w:r>
        <w:r w:rsidR="00737138" w:rsidRPr="005E61BB">
          <w:rPr>
            <w:rFonts w:asciiTheme="majorBidi" w:hAnsiTheme="majorBidi" w:cstheme="majorBidi"/>
            <w:noProof/>
            <w:webHidden/>
            <w:sz w:val="24"/>
            <w:szCs w:val="24"/>
          </w:rPr>
          <w:fldChar w:fldCharType="separate"/>
        </w:r>
        <w:r w:rsidR="00DC3231">
          <w:rPr>
            <w:rFonts w:asciiTheme="majorBidi" w:hAnsiTheme="majorBidi" w:cstheme="majorBidi"/>
            <w:noProof/>
            <w:webHidden/>
            <w:sz w:val="24"/>
            <w:szCs w:val="24"/>
          </w:rPr>
          <w:t>67</w:t>
        </w:r>
        <w:r w:rsidR="00737138" w:rsidRPr="005E61BB">
          <w:rPr>
            <w:rFonts w:asciiTheme="majorBidi" w:hAnsiTheme="majorBidi" w:cstheme="majorBidi"/>
            <w:noProof/>
            <w:webHidden/>
            <w:sz w:val="24"/>
            <w:szCs w:val="24"/>
          </w:rPr>
          <w:fldChar w:fldCharType="end"/>
        </w:r>
      </w:hyperlink>
    </w:p>
    <w:p w14:paraId="1125BD8D" w14:textId="744B206F" w:rsidR="00737138" w:rsidRPr="005E61BB" w:rsidRDefault="00A8731A" w:rsidP="00EE485A">
      <w:pPr>
        <w:pStyle w:val="Tabledesillustrations"/>
        <w:tabs>
          <w:tab w:val="right" w:leader="dot" w:pos="9062"/>
        </w:tabs>
        <w:spacing w:line="360" w:lineRule="auto"/>
        <w:ind w:hanging="2"/>
        <w:rPr>
          <w:rFonts w:asciiTheme="majorBidi" w:eastAsiaTheme="minorEastAsia" w:hAnsiTheme="majorBidi" w:cstheme="majorBidi"/>
          <w:noProof/>
          <w:sz w:val="24"/>
          <w:szCs w:val="24"/>
        </w:rPr>
      </w:pPr>
      <w:hyperlink w:anchor="_Toc199695828" w:history="1">
        <w:r w:rsidR="00737138" w:rsidRPr="005E61BB">
          <w:rPr>
            <w:rStyle w:val="Lienhypertexte"/>
            <w:rFonts w:asciiTheme="majorBidi" w:hAnsiTheme="majorBidi" w:cstheme="majorBidi"/>
            <w:b/>
            <w:bCs/>
            <w:noProof/>
            <w:sz w:val="24"/>
            <w:szCs w:val="24"/>
          </w:rPr>
          <w:t>Graph 14</w:t>
        </w:r>
        <w:r w:rsidR="00737138" w:rsidRPr="005E61BB">
          <w:rPr>
            <w:rStyle w:val="Lienhypertexte"/>
            <w:rFonts w:asciiTheme="majorBidi" w:hAnsiTheme="majorBidi" w:cstheme="majorBidi"/>
            <w:noProof/>
            <w:sz w:val="24"/>
            <w:szCs w:val="24"/>
          </w:rPr>
          <w:t xml:space="preserve"> Descriptive Statistics: Mean Ratings and Standard Deviation for Six Aspects of Summative Assessment Tools Design</w:t>
        </w:r>
        <w:r w:rsidR="00737138" w:rsidRPr="005E61BB">
          <w:rPr>
            <w:rFonts w:asciiTheme="majorBidi" w:hAnsiTheme="majorBidi" w:cstheme="majorBidi"/>
            <w:noProof/>
            <w:webHidden/>
            <w:sz w:val="24"/>
            <w:szCs w:val="24"/>
          </w:rPr>
          <w:tab/>
        </w:r>
        <w:r w:rsidR="00737138" w:rsidRPr="005E61BB">
          <w:rPr>
            <w:rFonts w:asciiTheme="majorBidi" w:hAnsiTheme="majorBidi" w:cstheme="majorBidi"/>
            <w:noProof/>
            <w:webHidden/>
            <w:sz w:val="24"/>
            <w:szCs w:val="24"/>
          </w:rPr>
          <w:fldChar w:fldCharType="begin"/>
        </w:r>
        <w:r w:rsidR="00737138" w:rsidRPr="005E61BB">
          <w:rPr>
            <w:rFonts w:asciiTheme="majorBidi" w:hAnsiTheme="majorBidi" w:cstheme="majorBidi"/>
            <w:noProof/>
            <w:webHidden/>
            <w:sz w:val="24"/>
            <w:szCs w:val="24"/>
          </w:rPr>
          <w:instrText xml:space="preserve"> PAGEREF _Toc199695828 \h </w:instrText>
        </w:r>
        <w:r w:rsidR="00737138" w:rsidRPr="005E61BB">
          <w:rPr>
            <w:rFonts w:asciiTheme="majorBidi" w:hAnsiTheme="majorBidi" w:cstheme="majorBidi"/>
            <w:noProof/>
            <w:webHidden/>
            <w:sz w:val="24"/>
            <w:szCs w:val="24"/>
          </w:rPr>
        </w:r>
        <w:r w:rsidR="00737138" w:rsidRPr="005E61BB">
          <w:rPr>
            <w:rFonts w:asciiTheme="majorBidi" w:hAnsiTheme="majorBidi" w:cstheme="majorBidi"/>
            <w:noProof/>
            <w:webHidden/>
            <w:sz w:val="24"/>
            <w:szCs w:val="24"/>
          </w:rPr>
          <w:fldChar w:fldCharType="separate"/>
        </w:r>
        <w:r w:rsidR="00DC3231">
          <w:rPr>
            <w:rFonts w:asciiTheme="majorBidi" w:hAnsiTheme="majorBidi" w:cstheme="majorBidi"/>
            <w:noProof/>
            <w:webHidden/>
            <w:sz w:val="24"/>
            <w:szCs w:val="24"/>
          </w:rPr>
          <w:t>69</w:t>
        </w:r>
        <w:r w:rsidR="00737138" w:rsidRPr="005E61BB">
          <w:rPr>
            <w:rFonts w:asciiTheme="majorBidi" w:hAnsiTheme="majorBidi" w:cstheme="majorBidi"/>
            <w:noProof/>
            <w:webHidden/>
            <w:sz w:val="24"/>
            <w:szCs w:val="24"/>
          </w:rPr>
          <w:fldChar w:fldCharType="end"/>
        </w:r>
      </w:hyperlink>
    </w:p>
    <w:p w14:paraId="6FE591ED" w14:textId="7D512C08" w:rsidR="00737138" w:rsidRPr="005E61BB" w:rsidRDefault="00A8731A" w:rsidP="00EE485A">
      <w:pPr>
        <w:pStyle w:val="Tabledesillustrations"/>
        <w:tabs>
          <w:tab w:val="right" w:leader="dot" w:pos="9062"/>
        </w:tabs>
        <w:spacing w:line="360" w:lineRule="auto"/>
        <w:ind w:hanging="2"/>
        <w:rPr>
          <w:rFonts w:asciiTheme="majorBidi" w:eastAsiaTheme="minorEastAsia" w:hAnsiTheme="majorBidi" w:cstheme="majorBidi"/>
          <w:noProof/>
          <w:sz w:val="24"/>
          <w:szCs w:val="24"/>
        </w:rPr>
      </w:pPr>
      <w:hyperlink w:anchor="_Toc199695829" w:history="1">
        <w:r w:rsidR="00737138" w:rsidRPr="005E61BB">
          <w:rPr>
            <w:rStyle w:val="Lienhypertexte"/>
            <w:rFonts w:asciiTheme="majorBidi" w:hAnsiTheme="majorBidi" w:cstheme="majorBidi"/>
            <w:b/>
            <w:bCs/>
            <w:noProof/>
            <w:sz w:val="24"/>
            <w:szCs w:val="24"/>
          </w:rPr>
          <w:t>Graph 15</w:t>
        </w:r>
        <w:r w:rsidR="00737138" w:rsidRPr="005E61BB">
          <w:rPr>
            <w:rStyle w:val="Lienhypertexte"/>
            <w:rFonts w:asciiTheme="majorBidi" w:hAnsiTheme="majorBidi" w:cstheme="majorBidi"/>
            <w:noProof/>
            <w:sz w:val="24"/>
            <w:szCs w:val="24"/>
          </w:rPr>
          <w:t xml:space="preserve"> Perception Distribution about OTCs Role in Offering Feedback and Improving Reflective Practices</w:t>
        </w:r>
        <w:r w:rsidR="00737138" w:rsidRPr="005E61BB">
          <w:rPr>
            <w:rFonts w:asciiTheme="majorBidi" w:hAnsiTheme="majorBidi" w:cstheme="majorBidi"/>
            <w:noProof/>
            <w:webHidden/>
            <w:sz w:val="24"/>
            <w:szCs w:val="24"/>
          </w:rPr>
          <w:tab/>
        </w:r>
        <w:r w:rsidR="00737138" w:rsidRPr="005E61BB">
          <w:rPr>
            <w:rFonts w:asciiTheme="majorBidi" w:hAnsiTheme="majorBidi" w:cstheme="majorBidi"/>
            <w:noProof/>
            <w:webHidden/>
            <w:sz w:val="24"/>
            <w:szCs w:val="24"/>
          </w:rPr>
          <w:fldChar w:fldCharType="begin"/>
        </w:r>
        <w:r w:rsidR="00737138" w:rsidRPr="005E61BB">
          <w:rPr>
            <w:rFonts w:asciiTheme="majorBidi" w:hAnsiTheme="majorBidi" w:cstheme="majorBidi"/>
            <w:noProof/>
            <w:webHidden/>
            <w:sz w:val="24"/>
            <w:szCs w:val="24"/>
          </w:rPr>
          <w:instrText xml:space="preserve"> PAGEREF _Toc199695829 \h </w:instrText>
        </w:r>
        <w:r w:rsidR="00737138" w:rsidRPr="005E61BB">
          <w:rPr>
            <w:rFonts w:asciiTheme="majorBidi" w:hAnsiTheme="majorBidi" w:cstheme="majorBidi"/>
            <w:noProof/>
            <w:webHidden/>
            <w:sz w:val="24"/>
            <w:szCs w:val="24"/>
          </w:rPr>
        </w:r>
        <w:r w:rsidR="00737138" w:rsidRPr="005E61BB">
          <w:rPr>
            <w:rFonts w:asciiTheme="majorBidi" w:hAnsiTheme="majorBidi" w:cstheme="majorBidi"/>
            <w:noProof/>
            <w:webHidden/>
            <w:sz w:val="24"/>
            <w:szCs w:val="24"/>
          </w:rPr>
          <w:fldChar w:fldCharType="separate"/>
        </w:r>
        <w:r w:rsidR="00DC3231">
          <w:rPr>
            <w:rFonts w:asciiTheme="majorBidi" w:hAnsiTheme="majorBidi" w:cstheme="majorBidi"/>
            <w:noProof/>
            <w:webHidden/>
            <w:sz w:val="24"/>
            <w:szCs w:val="24"/>
          </w:rPr>
          <w:t>70</w:t>
        </w:r>
        <w:r w:rsidR="00737138" w:rsidRPr="005E61BB">
          <w:rPr>
            <w:rFonts w:asciiTheme="majorBidi" w:hAnsiTheme="majorBidi" w:cstheme="majorBidi"/>
            <w:noProof/>
            <w:webHidden/>
            <w:sz w:val="24"/>
            <w:szCs w:val="24"/>
          </w:rPr>
          <w:fldChar w:fldCharType="end"/>
        </w:r>
      </w:hyperlink>
    </w:p>
    <w:p w14:paraId="551C2AC8" w14:textId="31A13B45" w:rsidR="00737138" w:rsidRPr="005E61BB" w:rsidRDefault="00A8731A" w:rsidP="00EE485A">
      <w:pPr>
        <w:pStyle w:val="Tabledesillustrations"/>
        <w:tabs>
          <w:tab w:val="right" w:leader="dot" w:pos="9062"/>
        </w:tabs>
        <w:spacing w:line="360" w:lineRule="auto"/>
        <w:ind w:hanging="2"/>
        <w:rPr>
          <w:rFonts w:asciiTheme="majorBidi" w:eastAsiaTheme="minorEastAsia" w:hAnsiTheme="majorBidi" w:cstheme="majorBidi"/>
          <w:noProof/>
          <w:sz w:val="24"/>
          <w:szCs w:val="24"/>
        </w:rPr>
      </w:pPr>
      <w:hyperlink w:anchor="_Toc199695830" w:history="1">
        <w:r w:rsidR="00737138" w:rsidRPr="005E61BB">
          <w:rPr>
            <w:rStyle w:val="Lienhypertexte"/>
            <w:rFonts w:asciiTheme="majorBidi" w:hAnsiTheme="majorBidi" w:cstheme="majorBidi"/>
            <w:noProof/>
            <w:sz w:val="24"/>
            <w:szCs w:val="24"/>
          </w:rPr>
          <w:t>Graph 16 Statistical Summary: Mean and Standard Deviation of Reflective Practices within OTCs</w:t>
        </w:r>
        <w:r w:rsidR="00737138" w:rsidRPr="005E61BB">
          <w:rPr>
            <w:rFonts w:asciiTheme="majorBidi" w:hAnsiTheme="majorBidi" w:cstheme="majorBidi"/>
            <w:noProof/>
            <w:webHidden/>
            <w:sz w:val="24"/>
            <w:szCs w:val="24"/>
          </w:rPr>
          <w:tab/>
        </w:r>
        <w:r w:rsidR="00737138" w:rsidRPr="005E61BB">
          <w:rPr>
            <w:rFonts w:asciiTheme="majorBidi" w:hAnsiTheme="majorBidi" w:cstheme="majorBidi"/>
            <w:noProof/>
            <w:webHidden/>
            <w:sz w:val="24"/>
            <w:szCs w:val="24"/>
          </w:rPr>
          <w:fldChar w:fldCharType="begin"/>
        </w:r>
        <w:r w:rsidR="00737138" w:rsidRPr="005E61BB">
          <w:rPr>
            <w:rFonts w:asciiTheme="majorBidi" w:hAnsiTheme="majorBidi" w:cstheme="majorBidi"/>
            <w:noProof/>
            <w:webHidden/>
            <w:sz w:val="24"/>
            <w:szCs w:val="24"/>
          </w:rPr>
          <w:instrText xml:space="preserve"> PAGEREF _Toc199695830 \h </w:instrText>
        </w:r>
        <w:r w:rsidR="00737138" w:rsidRPr="005E61BB">
          <w:rPr>
            <w:rFonts w:asciiTheme="majorBidi" w:hAnsiTheme="majorBidi" w:cstheme="majorBidi"/>
            <w:noProof/>
            <w:webHidden/>
            <w:sz w:val="24"/>
            <w:szCs w:val="24"/>
          </w:rPr>
        </w:r>
        <w:r w:rsidR="00737138" w:rsidRPr="005E61BB">
          <w:rPr>
            <w:rFonts w:asciiTheme="majorBidi" w:hAnsiTheme="majorBidi" w:cstheme="majorBidi"/>
            <w:noProof/>
            <w:webHidden/>
            <w:sz w:val="24"/>
            <w:szCs w:val="24"/>
          </w:rPr>
          <w:fldChar w:fldCharType="separate"/>
        </w:r>
        <w:r w:rsidR="00DC3231">
          <w:rPr>
            <w:rFonts w:asciiTheme="majorBidi" w:hAnsiTheme="majorBidi" w:cstheme="majorBidi"/>
            <w:noProof/>
            <w:webHidden/>
            <w:sz w:val="24"/>
            <w:szCs w:val="24"/>
          </w:rPr>
          <w:t>72</w:t>
        </w:r>
        <w:r w:rsidR="00737138" w:rsidRPr="005E61BB">
          <w:rPr>
            <w:rFonts w:asciiTheme="majorBidi" w:hAnsiTheme="majorBidi" w:cstheme="majorBidi"/>
            <w:noProof/>
            <w:webHidden/>
            <w:sz w:val="24"/>
            <w:szCs w:val="24"/>
          </w:rPr>
          <w:fldChar w:fldCharType="end"/>
        </w:r>
      </w:hyperlink>
    </w:p>
    <w:p w14:paraId="34A213E6" w14:textId="692FF576" w:rsidR="00737138" w:rsidRPr="005E61BB" w:rsidRDefault="00A8731A" w:rsidP="00EE485A">
      <w:pPr>
        <w:pStyle w:val="Tabledesillustrations"/>
        <w:tabs>
          <w:tab w:val="right" w:leader="dot" w:pos="9062"/>
        </w:tabs>
        <w:spacing w:line="360" w:lineRule="auto"/>
        <w:ind w:hanging="2"/>
        <w:rPr>
          <w:rFonts w:asciiTheme="majorBidi" w:eastAsiaTheme="minorEastAsia" w:hAnsiTheme="majorBidi" w:cstheme="majorBidi"/>
          <w:noProof/>
          <w:sz w:val="24"/>
          <w:szCs w:val="24"/>
        </w:rPr>
      </w:pPr>
      <w:hyperlink w:anchor="_Toc199695831" w:history="1">
        <w:r w:rsidR="00737138" w:rsidRPr="005E61BB">
          <w:rPr>
            <w:rStyle w:val="Lienhypertexte"/>
            <w:rFonts w:asciiTheme="majorBidi" w:hAnsiTheme="majorBidi" w:cstheme="majorBidi"/>
            <w:b/>
            <w:bCs/>
            <w:noProof/>
            <w:sz w:val="24"/>
            <w:szCs w:val="24"/>
          </w:rPr>
          <w:t>Graph 17</w:t>
        </w:r>
        <w:r w:rsidR="00737138" w:rsidRPr="005E61BB">
          <w:rPr>
            <w:rStyle w:val="Lienhypertexte"/>
            <w:rFonts w:asciiTheme="majorBidi" w:hAnsiTheme="majorBidi" w:cstheme="majorBidi"/>
            <w:noProof/>
            <w:sz w:val="24"/>
            <w:szCs w:val="24"/>
          </w:rPr>
          <w:t xml:space="preserve"> Perceived Value of Peer Feedback in OTCs</w:t>
        </w:r>
        <w:r w:rsidR="00737138" w:rsidRPr="005E61BB">
          <w:rPr>
            <w:rFonts w:asciiTheme="majorBidi" w:hAnsiTheme="majorBidi" w:cstheme="majorBidi"/>
            <w:noProof/>
            <w:webHidden/>
            <w:sz w:val="24"/>
            <w:szCs w:val="24"/>
          </w:rPr>
          <w:tab/>
        </w:r>
        <w:r w:rsidR="00737138" w:rsidRPr="005E61BB">
          <w:rPr>
            <w:rFonts w:asciiTheme="majorBidi" w:hAnsiTheme="majorBidi" w:cstheme="majorBidi"/>
            <w:noProof/>
            <w:webHidden/>
            <w:sz w:val="24"/>
            <w:szCs w:val="24"/>
          </w:rPr>
          <w:fldChar w:fldCharType="begin"/>
        </w:r>
        <w:r w:rsidR="00737138" w:rsidRPr="005E61BB">
          <w:rPr>
            <w:rFonts w:asciiTheme="majorBidi" w:hAnsiTheme="majorBidi" w:cstheme="majorBidi"/>
            <w:noProof/>
            <w:webHidden/>
            <w:sz w:val="24"/>
            <w:szCs w:val="24"/>
          </w:rPr>
          <w:instrText xml:space="preserve"> PAGEREF _Toc199695831 \h </w:instrText>
        </w:r>
        <w:r w:rsidR="00737138" w:rsidRPr="005E61BB">
          <w:rPr>
            <w:rFonts w:asciiTheme="majorBidi" w:hAnsiTheme="majorBidi" w:cstheme="majorBidi"/>
            <w:noProof/>
            <w:webHidden/>
            <w:sz w:val="24"/>
            <w:szCs w:val="24"/>
          </w:rPr>
        </w:r>
        <w:r w:rsidR="00737138" w:rsidRPr="005E61BB">
          <w:rPr>
            <w:rFonts w:asciiTheme="majorBidi" w:hAnsiTheme="majorBidi" w:cstheme="majorBidi"/>
            <w:noProof/>
            <w:webHidden/>
            <w:sz w:val="24"/>
            <w:szCs w:val="24"/>
          </w:rPr>
          <w:fldChar w:fldCharType="separate"/>
        </w:r>
        <w:r w:rsidR="00DC3231">
          <w:rPr>
            <w:rFonts w:asciiTheme="majorBidi" w:hAnsiTheme="majorBidi" w:cstheme="majorBidi"/>
            <w:noProof/>
            <w:webHidden/>
            <w:sz w:val="24"/>
            <w:szCs w:val="24"/>
          </w:rPr>
          <w:t>73</w:t>
        </w:r>
        <w:r w:rsidR="00737138" w:rsidRPr="005E61BB">
          <w:rPr>
            <w:rFonts w:asciiTheme="majorBidi" w:hAnsiTheme="majorBidi" w:cstheme="majorBidi"/>
            <w:noProof/>
            <w:webHidden/>
            <w:sz w:val="24"/>
            <w:szCs w:val="24"/>
          </w:rPr>
          <w:fldChar w:fldCharType="end"/>
        </w:r>
      </w:hyperlink>
    </w:p>
    <w:p w14:paraId="48E21ED8" w14:textId="4779109B" w:rsidR="00737138" w:rsidRPr="005E61BB" w:rsidRDefault="00A8731A" w:rsidP="00EE485A">
      <w:pPr>
        <w:pStyle w:val="Tabledesillustrations"/>
        <w:tabs>
          <w:tab w:val="right" w:leader="dot" w:pos="9062"/>
        </w:tabs>
        <w:spacing w:line="360" w:lineRule="auto"/>
        <w:ind w:hanging="2"/>
        <w:rPr>
          <w:rFonts w:asciiTheme="majorBidi" w:eastAsiaTheme="minorEastAsia" w:hAnsiTheme="majorBidi" w:cstheme="majorBidi"/>
          <w:noProof/>
          <w:sz w:val="24"/>
          <w:szCs w:val="24"/>
        </w:rPr>
      </w:pPr>
      <w:hyperlink w:anchor="_Toc199695832" w:history="1">
        <w:r w:rsidR="00737138" w:rsidRPr="005E61BB">
          <w:rPr>
            <w:rStyle w:val="Lienhypertexte"/>
            <w:rFonts w:asciiTheme="majorBidi" w:hAnsiTheme="majorBidi" w:cstheme="majorBidi"/>
            <w:b/>
            <w:bCs/>
            <w:noProof/>
            <w:sz w:val="24"/>
            <w:szCs w:val="24"/>
          </w:rPr>
          <w:t>Graph 18</w:t>
        </w:r>
        <w:r w:rsidR="00737138" w:rsidRPr="005E61BB">
          <w:rPr>
            <w:rStyle w:val="Lienhypertexte"/>
            <w:rFonts w:asciiTheme="majorBidi" w:hAnsiTheme="majorBidi" w:cstheme="majorBidi"/>
            <w:noProof/>
            <w:sz w:val="24"/>
            <w:szCs w:val="24"/>
          </w:rPr>
          <w:t xml:space="preserve"> Perceived Level of Support for Developing Reflective Practice-Oriented Assessment Design</w:t>
        </w:r>
        <w:r w:rsidR="00737138" w:rsidRPr="005E61BB">
          <w:rPr>
            <w:rFonts w:asciiTheme="majorBidi" w:hAnsiTheme="majorBidi" w:cstheme="majorBidi"/>
            <w:noProof/>
            <w:webHidden/>
            <w:sz w:val="24"/>
            <w:szCs w:val="24"/>
          </w:rPr>
          <w:tab/>
        </w:r>
        <w:r w:rsidR="00737138" w:rsidRPr="005E61BB">
          <w:rPr>
            <w:rFonts w:asciiTheme="majorBidi" w:hAnsiTheme="majorBidi" w:cstheme="majorBidi"/>
            <w:noProof/>
            <w:webHidden/>
            <w:sz w:val="24"/>
            <w:szCs w:val="24"/>
          </w:rPr>
          <w:fldChar w:fldCharType="begin"/>
        </w:r>
        <w:r w:rsidR="00737138" w:rsidRPr="005E61BB">
          <w:rPr>
            <w:rFonts w:asciiTheme="majorBidi" w:hAnsiTheme="majorBidi" w:cstheme="majorBidi"/>
            <w:noProof/>
            <w:webHidden/>
            <w:sz w:val="24"/>
            <w:szCs w:val="24"/>
          </w:rPr>
          <w:instrText xml:space="preserve"> PAGEREF _Toc199695832 \h </w:instrText>
        </w:r>
        <w:r w:rsidR="00737138" w:rsidRPr="005E61BB">
          <w:rPr>
            <w:rFonts w:asciiTheme="majorBidi" w:hAnsiTheme="majorBidi" w:cstheme="majorBidi"/>
            <w:noProof/>
            <w:webHidden/>
            <w:sz w:val="24"/>
            <w:szCs w:val="24"/>
          </w:rPr>
        </w:r>
        <w:r w:rsidR="00737138" w:rsidRPr="005E61BB">
          <w:rPr>
            <w:rFonts w:asciiTheme="majorBidi" w:hAnsiTheme="majorBidi" w:cstheme="majorBidi"/>
            <w:noProof/>
            <w:webHidden/>
            <w:sz w:val="24"/>
            <w:szCs w:val="24"/>
          </w:rPr>
          <w:fldChar w:fldCharType="separate"/>
        </w:r>
        <w:r w:rsidR="00DC3231">
          <w:rPr>
            <w:rFonts w:asciiTheme="majorBidi" w:hAnsiTheme="majorBidi" w:cstheme="majorBidi"/>
            <w:noProof/>
            <w:webHidden/>
            <w:sz w:val="24"/>
            <w:szCs w:val="24"/>
          </w:rPr>
          <w:t>74</w:t>
        </w:r>
        <w:r w:rsidR="00737138" w:rsidRPr="005E61BB">
          <w:rPr>
            <w:rFonts w:asciiTheme="majorBidi" w:hAnsiTheme="majorBidi" w:cstheme="majorBidi"/>
            <w:noProof/>
            <w:webHidden/>
            <w:sz w:val="24"/>
            <w:szCs w:val="24"/>
          </w:rPr>
          <w:fldChar w:fldCharType="end"/>
        </w:r>
      </w:hyperlink>
    </w:p>
    <w:p w14:paraId="25C61877" w14:textId="41E94D21" w:rsidR="00737138" w:rsidRPr="005E61BB" w:rsidRDefault="00A8731A" w:rsidP="00EE485A">
      <w:pPr>
        <w:pStyle w:val="Tabledesillustrations"/>
        <w:tabs>
          <w:tab w:val="right" w:leader="dot" w:pos="9062"/>
        </w:tabs>
        <w:spacing w:line="360" w:lineRule="auto"/>
        <w:ind w:hanging="2"/>
        <w:rPr>
          <w:rFonts w:asciiTheme="majorBidi" w:eastAsiaTheme="minorEastAsia" w:hAnsiTheme="majorBidi" w:cstheme="majorBidi"/>
          <w:noProof/>
          <w:sz w:val="24"/>
          <w:szCs w:val="24"/>
        </w:rPr>
      </w:pPr>
      <w:hyperlink w:anchor="_Toc199695833" w:history="1">
        <w:r w:rsidR="00737138" w:rsidRPr="005E61BB">
          <w:rPr>
            <w:rStyle w:val="Lienhypertexte"/>
            <w:rFonts w:asciiTheme="majorBidi" w:hAnsiTheme="majorBidi" w:cstheme="majorBidi"/>
            <w:b/>
            <w:bCs/>
            <w:noProof/>
            <w:sz w:val="24"/>
            <w:szCs w:val="24"/>
          </w:rPr>
          <w:t>Graph 19</w:t>
        </w:r>
        <w:r w:rsidR="00737138" w:rsidRPr="005E61BB">
          <w:rPr>
            <w:rStyle w:val="Lienhypertexte"/>
            <w:rFonts w:asciiTheme="majorBidi" w:hAnsiTheme="majorBidi" w:cstheme="majorBidi"/>
            <w:noProof/>
            <w:sz w:val="24"/>
            <w:szCs w:val="24"/>
          </w:rPr>
          <w:t xml:space="preserve"> Frequency of Implementing Reflective Assessment Strategies by OTCs Teacher Practitioners.</w:t>
        </w:r>
        <w:r w:rsidR="00737138" w:rsidRPr="005E61BB">
          <w:rPr>
            <w:rFonts w:asciiTheme="majorBidi" w:hAnsiTheme="majorBidi" w:cstheme="majorBidi"/>
            <w:noProof/>
            <w:webHidden/>
            <w:sz w:val="24"/>
            <w:szCs w:val="24"/>
          </w:rPr>
          <w:tab/>
        </w:r>
        <w:r w:rsidR="00737138" w:rsidRPr="005E61BB">
          <w:rPr>
            <w:rFonts w:asciiTheme="majorBidi" w:hAnsiTheme="majorBidi" w:cstheme="majorBidi"/>
            <w:noProof/>
            <w:webHidden/>
            <w:sz w:val="24"/>
            <w:szCs w:val="24"/>
          </w:rPr>
          <w:fldChar w:fldCharType="begin"/>
        </w:r>
        <w:r w:rsidR="00737138" w:rsidRPr="005E61BB">
          <w:rPr>
            <w:rFonts w:asciiTheme="majorBidi" w:hAnsiTheme="majorBidi" w:cstheme="majorBidi"/>
            <w:noProof/>
            <w:webHidden/>
            <w:sz w:val="24"/>
            <w:szCs w:val="24"/>
          </w:rPr>
          <w:instrText xml:space="preserve"> PAGEREF _Toc199695833 \h </w:instrText>
        </w:r>
        <w:r w:rsidR="00737138" w:rsidRPr="005E61BB">
          <w:rPr>
            <w:rFonts w:asciiTheme="majorBidi" w:hAnsiTheme="majorBidi" w:cstheme="majorBidi"/>
            <w:noProof/>
            <w:webHidden/>
            <w:sz w:val="24"/>
            <w:szCs w:val="24"/>
          </w:rPr>
        </w:r>
        <w:r w:rsidR="00737138" w:rsidRPr="005E61BB">
          <w:rPr>
            <w:rFonts w:asciiTheme="majorBidi" w:hAnsiTheme="majorBidi" w:cstheme="majorBidi"/>
            <w:noProof/>
            <w:webHidden/>
            <w:sz w:val="24"/>
            <w:szCs w:val="24"/>
          </w:rPr>
          <w:fldChar w:fldCharType="separate"/>
        </w:r>
        <w:r w:rsidR="00DC3231">
          <w:rPr>
            <w:rFonts w:asciiTheme="majorBidi" w:hAnsiTheme="majorBidi" w:cstheme="majorBidi"/>
            <w:noProof/>
            <w:webHidden/>
            <w:sz w:val="24"/>
            <w:szCs w:val="24"/>
          </w:rPr>
          <w:t>75</w:t>
        </w:r>
        <w:r w:rsidR="00737138" w:rsidRPr="005E61BB">
          <w:rPr>
            <w:rFonts w:asciiTheme="majorBidi" w:hAnsiTheme="majorBidi" w:cstheme="majorBidi"/>
            <w:noProof/>
            <w:webHidden/>
            <w:sz w:val="24"/>
            <w:szCs w:val="24"/>
          </w:rPr>
          <w:fldChar w:fldCharType="end"/>
        </w:r>
      </w:hyperlink>
    </w:p>
    <w:p w14:paraId="3BA55876" w14:textId="08107091" w:rsidR="00737138" w:rsidRPr="005E61BB" w:rsidRDefault="00A8731A" w:rsidP="00EE485A">
      <w:pPr>
        <w:pStyle w:val="Tabledesillustrations"/>
        <w:tabs>
          <w:tab w:val="right" w:leader="dot" w:pos="9062"/>
        </w:tabs>
        <w:spacing w:line="360" w:lineRule="auto"/>
        <w:ind w:hanging="2"/>
        <w:rPr>
          <w:rFonts w:asciiTheme="majorBidi" w:eastAsiaTheme="minorEastAsia" w:hAnsiTheme="majorBidi" w:cstheme="majorBidi"/>
          <w:noProof/>
          <w:sz w:val="24"/>
          <w:szCs w:val="24"/>
        </w:rPr>
      </w:pPr>
      <w:hyperlink w:anchor="_Toc199695834" w:history="1">
        <w:r w:rsidR="00737138" w:rsidRPr="005E61BB">
          <w:rPr>
            <w:rStyle w:val="Lienhypertexte"/>
            <w:rFonts w:asciiTheme="majorBidi" w:hAnsiTheme="majorBidi" w:cstheme="majorBidi"/>
            <w:b/>
            <w:bCs/>
            <w:noProof/>
            <w:sz w:val="24"/>
            <w:szCs w:val="24"/>
          </w:rPr>
          <w:t>Graph 20</w:t>
        </w:r>
        <w:r w:rsidR="00737138" w:rsidRPr="005E61BB">
          <w:rPr>
            <w:rStyle w:val="Lienhypertexte"/>
            <w:rFonts w:asciiTheme="majorBidi" w:hAnsiTheme="majorBidi" w:cstheme="majorBidi"/>
            <w:noProof/>
            <w:sz w:val="24"/>
            <w:szCs w:val="24"/>
          </w:rPr>
          <w:t xml:space="preserve"> Mean and Standard Deviation of Frequency of Engaging in Reflective Practices within OTCs.</w:t>
        </w:r>
        <w:r w:rsidR="00737138" w:rsidRPr="005E61BB">
          <w:rPr>
            <w:rFonts w:asciiTheme="majorBidi" w:hAnsiTheme="majorBidi" w:cstheme="majorBidi"/>
            <w:noProof/>
            <w:webHidden/>
            <w:sz w:val="24"/>
            <w:szCs w:val="24"/>
          </w:rPr>
          <w:tab/>
        </w:r>
        <w:r w:rsidR="00737138" w:rsidRPr="005E61BB">
          <w:rPr>
            <w:rFonts w:asciiTheme="majorBidi" w:hAnsiTheme="majorBidi" w:cstheme="majorBidi"/>
            <w:noProof/>
            <w:webHidden/>
            <w:sz w:val="24"/>
            <w:szCs w:val="24"/>
          </w:rPr>
          <w:fldChar w:fldCharType="begin"/>
        </w:r>
        <w:r w:rsidR="00737138" w:rsidRPr="005E61BB">
          <w:rPr>
            <w:rFonts w:asciiTheme="majorBidi" w:hAnsiTheme="majorBidi" w:cstheme="majorBidi"/>
            <w:noProof/>
            <w:webHidden/>
            <w:sz w:val="24"/>
            <w:szCs w:val="24"/>
          </w:rPr>
          <w:instrText xml:space="preserve"> PAGEREF _Toc199695834 \h </w:instrText>
        </w:r>
        <w:r w:rsidR="00737138" w:rsidRPr="005E61BB">
          <w:rPr>
            <w:rFonts w:asciiTheme="majorBidi" w:hAnsiTheme="majorBidi" w:cstheme="majorBidi"/>
            <w:noProof/>
            <w:webHidden/>
            <w:sz w:val="24"/>
            <w:szCs w:val="24"/>
          </w:rPr>
        </w:r>
        <w:r w:rsidR="00737138" w:rsidRPr="005E61BB">
          <w:rPr>
            <w:rFonts w:asciiTheme="majorBidi" w:hAnsiTheme="majorBidi" w:cstheme="majorBidi"/>
            <w:noProof/>
            <w:webHidden/>
            <w:sz w:val="24"/>
            <w:szCs w:val="24"/>
          </w:rPr>
          <w:fldChar w:fldCharType="separate"/>
        </w:r>
        <w:r w:rsidR="00DC3231">
          <w:rPr>
            <w:rFonts w:asciiTheme="majorBidi" w:hAnsiTheme="majorBidi" w:cstheme="majorBidi"/>
            <w:noProof/>
            <w:webHidden/>
            <w:sz w:val="24"/>
            <w:szCs w:val="24"/>
          </w:rPr>
          <w:t>77</w:t>
        </w:r>
        <w:r w:rsidR="00737138" w:rsidRPr="005E61BB">
          <w:rPr>
            <w:rFonts w:asciiTheme="majorBidi" w:hAnsiTheme="majorBidi" w:cstheme="majorBidi"/>
            <w:noProof/>
            <w:webHidden/>
            <w:sz w:val="24"/>
            <w:szCs w:val="24"/>
          </w:rPr>
          <w:fldChar w:fldCharType="end"/>
        </w:r>
      </w:hyperlink>
    </w:p>
    <w:p w14:paraId="513F686E" w14:textId="1C29FCB4" w:rsidR="00737138" w:rsidRDefault="00A8731A" w:rsidP="00EE485A">
      <w:pPr>
        <w:pStyle w:val="Tabledesillustrations"/>
        <w:tabs>
          <w:tab w:val="right" w:leader="dot" w:pos="9062"/>
        </w:tabs>
        <w:spacing w:line="360" w:lineRule="auto"/>
        <w:ind w:hanging="2"/>
        <w:rPr>
          <w:noProof/>
        </w:rPr>
      </w:pPr>
      <w:hyperlink w:anchor="_Toc199695835" w:history="1">
        <w:r w:rsidR="00737138" w:rsidRPr="005E61BB">
          <w:rPr>
            <w:rStyle w:val="Lienhypertexte"/>
            <w:rFonts w:asciiTheme="majorBidi" w:hAnsiTheme="majorBidi" w:cstheme="majorBidi"/>
            <w:b/>
            <w:bCs/>
            <w:noProof/>
            <w:sz w:val="24"/>
            <w:szCs w:val="24"/>
          </w:rPr>
          <w:t>Graph 21</w:t>
        </w:r>
        <w:r w:rsidR="00737138" w:rsidRPr="005E61BB">
          <w:rPr>
            <w:rStyle w:val="Lienhypertexte"/>
            <w:rFonts w:asciiTheme="majorBidi" w:hAnsiTheme="majorBidi" w:cstheme="majorBidi"/>
            <w:noProof/>
            <w:sz w:val="24"/>
            <w:szCs w:val="24"/>
          </w:rPr>
          <w:t xml:space="preserve"> Distribution of Major Obstacles and Difficulties within OTCs</w:t>
        </w:r>
        <w:r w:rsidR="00737138" w:rsidRPr="005E61BB">
          <w:rPr>
            <w:rFonts w:asciiTheme="majorBidi" w:hAnsiTheme="majorBidi" w:cstheme="majorBidi"/>
            <w:noProof/>
            <w:webHidden/>
            <w:sz w:val="24"/>
            <w:szCs w:val="24"/>
          </w:rPr>
          <w:tab/>
        </w:r>
        <w:r w:rsidR="00737138" w:rsidRPr="005E61BB">
          <w:rPr>
            <w:rFonts w:asciiTheme="majorBidi" w:hAnsiTheme="majorBidi" w:cstheme="majorBidi"/>
            <w:noProof/>
            <w:webHidden/>
            <w:sz w:val="24"/>
            <w:szCs w:val="24"/>
          </w:rPr>
          <w:fldChar w:fldCharType="begin"/>
        </w:r>
        <w:r w:rsidR="00737138" w:rsidRPr="005E61BB">
          <w:rPr>
            <w:rFonts w:asciiTheme="majorBidi" w:hAnsiTheme="majorBidi" w:cstheme="majorBidi"/>
            <w:noProof/>
            <w:webHidden/>
            <w:sz w:val="24"/>
            <w:szCs w:val="24"/>
          </w:rPr>
          <w:instrText xml:space="preserve"> PAGEREF _Toc199695835 \h </w:instrText>
        </w:r>
        <w:r w:rsidR="00737138" w:rsidRPr="005E61BB">
          <w:rPr>
            <w:rFonts w:asciiTheme="majorBidi" w:hAnsiTheme="majorBidi" w:cstheme="majorBidi"/>
            <w:noProof/>
            <w:webHidden/>
            <w:sz w:val="24"/>
            <w:szCs w:val="24"/>
          </w:rPr>
        </w:r>
        <w:r w:rsidR="00737138" w:rsidRPr="005E61BB">
          <w:rPr>
            <w:rFonts w:asciiTheme="majorBidi" w:hAnsiTheme="majorBidi" w:cstheme="majorBidi"/>
            <w:noProof/>
            <w:webHidden/>
            <w:sz w:val="24"/>
            <w:szCs w:val="24"/>
          </w:rPr>
          <w:fldChar w:fldCharType="separate"/>
        </w:r>
        <w:r w:rsidR="00DC3231">
          <w:rPr>
            <w:rFonts w:asciiTheme="majorBidi" w:hAnsiTheme="majorBidi" w:cstheme="majorBidi"/>
            <w:noProof/>
            <w:webHidden/>
            <w:sz w:val="24"/>
            <w:szCs w:val="24"/>
          </w:rPr>
          <w:t>78</w:t>
        </w:r>
        <w:r w:rsidR="00737138" w:rsidRPr="005E61BB">
          <w:rPr>
            <w:rFonts w:asciiTheme="majorBidi" w:hAnsiTheme="majorBidi" w:cstheme="majorBidi"/>
            <w:noProof/>
            <w:webHidden/>
            <w:sz w:val="24"/>
            <w:szCs w:val="24"/>
          </w:rPr>
          <w:fldChar w:fldCharType="end"/>
        </w:r>
      </w:hyperlink>
    </w:p>
    <w:p w14:paraId="08961B55" w14:textId="77777777" w:rsidR="00737138" w:rsidRDefault="00737138" w:rsidP="00723C7A">
      <w:pPr>
        <w:spacing w:line="276" w:lineRule="auto"/>
        <w:ind w:hanging="2"/>
        <w:rPr>
          <w:noProof/>
        </w:rPr>
      </w:pPr>
    </w:p>
    <w:p w14:paraId="01A3376B" w14:textId="77777777" w:rsidR="00737138" w:rsidRDefault="00737138" w:rsidP="00723C7A">
      <w:pPr>
        <w:spacing w:line="276" w:lineRule="auto"/>
        <w:ind w:hanging="2"/>
        <w:rPr>
          <w:noProof/>
        </w:rPr>
      </w:pPr>
      <w:r>
        <w:rPr>
          <w:noProof/>
        </w:rPr>
        <w:br w:type="page"/>
      </w:r>
    </w:p>
    <w:sdt>
      <w:sdtPr>
        <w:rPr>
          <w:rFonts w:ascii="Times New Roman" w:eastAsia="Times New Roman" w:hAnsi="Times New Roman" w:cs="Times New Roman"/>
          <w:b w:val="0"/>
          <w:noProof/>
          <w:color w:val="auto"/>
          <w:position w:val="-1"/>
          <w:sz w:val="24"/>
          <w:szCs w:val="24"/>
        </w:rPr>
        <w:id w:val="1065530913"/>
        <w:docPartObj>
          <w:docPartGallery w:val="Table of Contents"/>
          <w:docPartUnique/>
        </w:docPartObj>
      </w:sdtPr>
      <w:sdtEndPr>
        <w:rPr>
          <w:bCs/>
        </w:rPr>
      </w:sdtEndPr>
      <w:sdtContent>
        <w:p w14:paraId="494F31AD" w14:textId="599E9451" w:rsidR="00F62025" w:rsidRPr="00C51C72" w:rsidRDefault="00E319DB" w:rsidP="00AA5DBF">
          <w:pPr>
            <w:pStyle w:val="En-ttedetabledesmatires"/>
            <w:rPr>
              <w:noProof/>
            </w:rPr>
          </w:pPr>
          <w:r>
            <w:rPr>
              <w:noProof/>
            </w:rPr>
            <w:t>Table of Contents</w:t>
          </w:r>
          <w:r>
            <w:rPr>
              <w:rFonts w:eastAsiaTheme="minorHAnsi" w:cstheme="minorBidi"/>
              <w:noProof/>
              <w:kern w:val="2"/>
              <w:sz w:val="22"/>
              <w:szCs w:val="22"/>
              <w14:ligatures w14:val="standardContextual"/>
            </w:rPr>
            <w:fldChar w:fldCharType="begin"/>
          </w:r>
          <w:r>
            <w:rPr>
              <w:noProof/>
            </w:rPr>
            <w:instrText xml:space="preserve"> TOC \o "1-3" \h \z \u </w:instrText>
          </w:r>
          <w:r>
            <w:rPr>
              <w:rFonts w:eastAsiaTheme="minorHAnsi" w:cstheme="minorBidi"/>
              <w:noProof/>
              <w:kern w:val="2"/>
              <w:sz w:val="22"/>
              <w:szCs w:val="22"/>
              <w14:ligatures w14:val="standardContextual"/>
            </w:rPr>
            <w:fldChar w:fldCharType="separate"/>
          </w:r>
        </w:p>
        <w:p w14:paraId="7E319B1A" w14:textId="7CAC681C" w:rsidR="00F62025" w:rsidRDefault="00A8731A">
          <w:pPr>
            <w:pStyle w:val="TM1"/>
            <w:rPr>
              <w:rFonts w:asciiTheme="minorHAnsi" w:eastAsiaTheme="minorEastAsia" w:hAnsiTheme="minorHAnsi"/>
              <w:sz w:val="24"/>
              <w:szCs w:val="24"/>
            </w:rPr>
          </w:pPr>
          <w:hyperlink w:anchor="_Toc200485971" w:history="1">
            <w:r w:rsidR="00F62025" w:rsidRPr="00487687">
              <w:rPr>
                <w:rStyle w:val="Lienhypertexte"/>
                <w:lang w:bidi="ar-DZ"/>
              </w:rPr>
              <w:t>Dedication</w:t>
            </w:r>
            <w:r w:rsidR="0038145C">
              <w:rPr>
                <w:rStyle w:val="Lienhypertexte"/>
                <w:lang w:bidi="ar-DZ"/>
              </w:rPr>
              <w:t>s</w:t>
            </w:r>
            <w:r w:rsidR="00F62025">
              <w:rPr>
                <w:webHidden/>
              </w:rPr>
              <w:tab/>
            </w:r>
            <w:r w:rsidR="00F62025">
              <w:rPr>
                <w:webHidden/>
              </w:rPr>
              <w:fldChar w:fldCharType="begin"/>
            </w:r>
            <w:r w:rsidR="00F62025">
              <w:rPr>
                <w:webHidden/>
              </w:rPr>
              <w:instrText xml:space="preserve"> PAGEREF _Toc200485971 \h </w:instrText>
            </w:r>
            <w:r w:rsidR="00F62025">
              <w:rPr>
                <w:webHidden/>
              </w:rPr>
            </w:r>
            <w:r w:rsidR="00F62025">
              <w:rPr>
                <w:webHidden/>
              </w:rPr>
              <w:fldChar w:fldCharType="separate"/>
            </w:r>
            <w:r w:rsidR="00DC3231">
              <w:rPr>
                <w:webHidden/>
              </w:rPr>
              <w:t>I</w:t>
            </w:r>
            <w:r w:rsidR="00F62025">
              <w:rPr>
                <w:webHidden/>
              </w:rPr>
              <w:fldChar w:fldCharType="end"/>
            </w:r>
          </w:hyperlink>
        </w:p>
        <w:p w14:paraId="2F06C441" w14:textId="40F4D1BE" w:rsidR="00F62025" w:rsidRDefault="00A8731A" w:rsidP="005A2289">
          <w:pPr>
            <w:pStyle w:val="TM1"/>
            <w:rPr>
              <w:rFonts w:asciiTheme="minorHAnsi" w:eastAsiaTheme="minorEastAsia" w:hAnsiTheme="minorHAnsi"/>
              <w:sz w:val="24"/>
              <w:szCs w:val="24"/>
            </w:rPr>
          </w:pPr>
          <w:hyperlink w:anchor="_Toc200485973" w:history="1">
            <w:r w:rsidR="00F62025" w:rsidRPr="00487687">
              <w:rPr>
                <w:rStyle w:val="Lienhypertexte"/>
                <w:lang w:bidi="ar-DZ"/>
              </w:rPr>
              <w:t>Acknowledgement</w:t>
            </w:r>
            <w:r w:rsidR="00F62025">
              <w:rPr>
                <w:webHidden/>
              </w:rPr>
              <w:tab/>
            </w:r>
            <w:r w:rsidR="00F62025">
              <w:rPr>
                <w:webHidden/>
              </w:rPr>
              <w:fldChar w:fldCharType="begin"/>
            </w:r>
            <w:r w:rsidR="00F62025">
              <w:rPr>
                <w:webHidden/>
              </w:rPr>
              <w:instrText xml:space="preserve"> PAGEREF _Toc200485973 \h </w:instrText>
            </w:r>
            <w:r w:rsidR="00F62025">
              <w:rPr>
                <w:webHidden/>
              </w:rPr>
            </w:r>
            <w:r w:rsidR="00F62025">
              <w:rPr>
                <w:webHidden/>
              </w:rPr>
              <w:fldChar w:fldCharType="separate"/>
            </w:r>
            <w:r w:rsidR="00DC3231">
              <w:rPr>
                <w:webHidden/>
              </w:rPr>
              <w:t>III</w:t>
            </w:r>
            <w:r w:rsidR="00F62025">
              <w:rPr>
                <w:webHidden/>
              </w:rPr>
              <w:fldChar w:fldCharType="end"/>
            </w:r>
          </w:hyperlink>
        </w:p>
        <w:p w14:paraId="2F4B3AAD" w14:textId="4B3D77CC" w:rsidR="00F62025" w:rsidRDefault="00A8731A" w:rsidP="005A2289">
          <w:pPr>
            <w:pStyle w:val="TM1"/>
            <w:rPr>
              <w:rFonts w:asciiTheme="minorHAnsi" w:eastAsiaTheme="minorEastAsia" w:hAnsiTheme="minorHAnsi"/>
              <w:sz w:val="24"/>
              <w:szCs w:val="24"/>
            </w:rPr>
          </w:pPr>
          <w:hyperlink w:anchor="_Toc200485980" w:history="1">
            <w:r w:rsidR="00F62025" w:rsidRPr="00487687">
              <w:rPr>
                <w:rStyle w:val="Lienhypertexte"/>
                <w:lang w:bidi="ar-DZ"/>
              </w:rPr>
              <w:t>ABSTRACT</w:t>
            </w:r>
            <w:r w:rsidR="00F62025">
              <w:rPr>
                <w:webHidden/>
              </w:rPr>
              <w:tab/>
            </w:r>
            <w:r w:rsidR="00F62025">
              <w:rPr>
                <w:webHidden/>
              </w:rPr>
              <w:fldChar w:fldCharType="begin"/>
            </w:r>
            <w:r w:rsidR="00F62025">
              <w:rPr>
                <w:webHidden/>
              </w:rPr>
              <w:instrText xml:space="preserve"> PAGEREF _Toc200485980 \h </w:instrText>
            </w:r>
            <w:r w:rsidR="00F62025">
              <w:rPr>
                <w:webHidden/>
              </w:rPr>
            </w:r>
            <w:r w:rsidR="00F62025">
              <w:rPr>
                <w:webHidden/>
              </w:rPr>
              <w:fldChar w:fldCharType="separate"/>
            </w:r>
            <w:r w:rsidR="00DC3231">
              <w:rPr>
                <w:webHidden/>
              </w:rPr>
              <w:t>IV</w:t>
            </w:r>
            <w:r w:rsidR="00F62025">
              <w:rPr>
                <w:webHidden/>
              </w:rPr>
              <w:fldChar w:fldCharType="end"/>
            </w:r>
          </w:hyperlink>
        </w:p>
        <w:p w14:paraId="7416BEE9" w14:textId="2B6EED80" w:rsidR="00F62025" w:rsidRDefault="00A8731A">
          <w:pPr>
            <w:pStyle w:val="TM1"/>
            <w:rPr>
              <w:rFonts w:asciiTheme="minorHAnsi" w:eastAsiaTheme="minorEastAsia" w:hAnsiTheme="minorHAnsi"/>
              <w:sz w:val="24"/>
              <w:szCs w:val="24"/>
            </w:rPr>
          </w:pPr>
          <w:hyperlink w:anchor="_Toc200485983" w:history="1">
            <w:r w:rsidR="00F62025" w:rsidRPr="00487687">
              <w:rPr>
                <w:rStyle w:val="Lienhypertexte"/>
                <w:lang w:bidi="ar-DZ"/>
              </w:rPr>
              <w:t>List of Abbreviations</w:t>
            </w:r>
            <w:r w:rsidR="00F62025">
              <w:rPr>
                <w:webHidden/>
              </w:rPr>
              <w:tab/>
            </w:r>
            <w:r w:rsidR="00F62025">
              <w:rPr>
                <w:webHidden/>
              </w:rPr>
              <w:fldChar w:fldCharType="begin"/>
            </w:r>
            <w:r w:rsidR="00F62025">
              <w:rPr>
                <w:webHidden/>
              </w:rPr>
              <w:instrText xml:space="preserve"> PAGEREF _Toc200485983 \h </w:instrText>
            </w:r>
            <w:r w:rsidR="00F62025">
              <w:rPr>
                <w:webHidden/>
              </w:rPr>
            </w:r>
            <w:r w:rsidR="00F62025">
              <w:rPr>
                <w:webHidden/>
              </w:rPr>
              <w:fldChar w:fldCharType="separate"/>
            </w:r>
            <w:r w:rsidR="00DC3231">
              <w:rPr>
                <w:webHidden/>
              </w:rPr>
              <w:t>V</w:t>
            </w:r>
            <w:r w:rsidR="00F62025">
              <w:rPr>
                <w:webHidden/>
              </w:rPr>
              <w:fldChar w:fldCharType="end"/>
            </w:r>
          </w:hyperlink>
        </w:p>
        <w:p w14:paraId="1621E8F7" w14:textId="054942F5" w:rsidR="00F62025" w:rsidRDefault="00A8731A">
          <w:pPr>
            <w:pStyle w:val="TM1"/>
            <w:rPr>
              <w:rFonts w:asciiTheme="minorHAnsi" w:eastAsiaTheme="minorEastAsia" w:hAnsiTheme="minorHAnsi"/>
              <w:sz w:val="24"/>
              <w:szCs w:val="24"/>
            </w:rPr>
          </w:pPr>
          <w:hyperlink w:anchor="_Toc200486002" w:history="1">
            <w:r w:rsidR="00F62025" w:rsidRPr="00487687">
              <w:rPr>
                <w:rStyle w:val="Lienhypertexte"/>
                <w:lang w:bidi="ar-DZ"/>
              </w:rPr>
              <w:t>List of Figures:</w:t>
            </w:r>
            <w:r w:rsidR="00F62025">
              <w:rPr>
                <w:webHidden/>
              </w:rPr>
              <w:tab/>
            </w:r>
            <w:r w:rsidR="00F62025">
              <w:rPr>
                <w:webHidden/>
              </w:rPr>
              <w:fldChar w:fldCharType="begin"/>
            </w:r>
            <w:r w:rsidR="00F62025">
              <w:rPr>
                <w:webHidden/>
              </w:rPr>
              <w:instrText xml:space="preserve"> PAGEREF _Toc200486002 \h </w:instrText>
            </w:r>
            <w:r w:rsidR="00F62025">
              <w:rPr>
                <w:webHidden/>
              </w:rPr>
            </w:r>
            <w:r w:rsidR="00F62025">
              <w:rPr>
                <w:webHidden/>
              </w:rPr>
              <w:fldChar w:fldCharType="separate"/>
            </w:r>
            <w:r w:rsidR="00DC3231">
              <w:rPr>
                <w:webHidden/>
              </w:rPr>
              <w:t>VI</w:t>
            </w:r>
            <w:r w:rsidR="00F62025">
              <w:rPr>
                <w:webHidden/>
              </w:rPr>
              <w:fldChar w:fldCharType="end"/>
            </w:r>
          </w:hyperlink>
        </w:p>
        <w:p w14:paraId="2DF30042" w14:textId="4E917763" w:rsidR="00F62025" w:rsidRDefault="00A8731A">
          <w:pPr>
            <w:pStyle w:val="TM1"/>
            <w:rPr>
              <w:rFonts w:asciiTheme="minorHAnsi" w:eastAsiaTheme="minorEastAsia" w:hAnsiTheme="minorHAnsi"/>
              <w:sz w:val="24"/>
              <w:szCs w:val="24"/>
            </w:rPr>
          </w:pPr>
          <w:hyperlink w:anchor="_Toc200486003" w:history="1">
            <w:r w:rsidR="00F62025" w:rsidRPr="00487687">
              <w:rPr>
                <w:rStyle w:val="Lienhypertexte"/>
                <w:lang w:bidi="ar-DZ"/>
              </w:rPr>
              <w:t>List of Tables</w:t>
            </w:r>
            <w:r w:rsidR="00F62025">
              <w:rPr>
                <w:webHidden/>
              </w:rPr>
              <w:tab/>
            </w:r>
            <w:r w:rsidR="00F62025">
              <w:rPr>
                <w:webHidden/>
              </w:rPr>
              <w:fldChar w:fldCharType="begin"/>
            </w:r>
            <w:r w:rsidR="00F62025">
              <w:rPr>
                <w:webHidden/>
              </w:rPr>
              <w:instrText xml:space="preserve"> PAGEREF _Toc200486003 \h </w:instrText>
            </w:r>
            <w:r w:rsidR="00F62025">
              <w:rPr>
                <w:webHidden/>
              </w:rPr>
            </w:r>
            <w:r w:rsidR="00F62025">
              <w:rPr>
                <w:webHidden/>
              </w:rPr>
              <w:fldChar w:fldCharType="separate"/>
            </w:r>
            <w:r w:rsidR="00DC3231">
              <w:rPr>
                <w:webHidden/>
              </w:rPr>
              <w:t>VII</w:t>
            </w:r>
            <w:r w:rsidR="00F62025">
              <w:rPr>
                <w:webHidden/>
              </w:rPr>
              <w:fldChar w:fldCharType="end"/>
            </w:r>
          </w:hyperlink>
        </w:p>
        <w:p w14:paraId="5E5DA41D" w14:textId="6DD8776B" w:rsidR="00F62025" w:rsidRDefault="00A8731A">
          <w:pPr>
            <w:pStyle w:val="TM1"/>
          </w:pPr>
          <w:hyperlink w:anchor="_Toc200486004" w:history="1">
            <w:r w:rsidR="00F62025" w:rsidRPr="00487687">
              <w:rPr>
                <w:rStyle w:val="Lienhypertexte"/>
                <w:lang w:bidi="ar-DZ"/>
              </w:rPr>
              <w:t>List of Graphs:</w:t>
            </w:r>
            <w:r w:rsidR="00F62025">
              <w:rPr>
                <w:webHidden/>
              </w:rPr>
              <w:tab/>
            </w:r>
            <w:r w:rsidR="00F62025">
              <w:rPr>
                <w:webHidden/>
              </w:rPr>
              <w:fldChar w:fldCharType="begin"/>
            </w:r>
            <w:r w:rsidR="00F62025">
              <w:rPr>
                <w:webHidden/>
              </w:rPr>
              <w:instrText xml:space="preserve"> PAGEREF _Toc200486004 \h </w:instrText>
            </w:r>
            <w:r w:rsidR="00F62025">
              <w:rPr>
                <w:webHidden/>
              </w:rPr>
            </w:r>
            <w:r w:rsidR="00F62025">
              <w:rPr>
                <w:webHidden/>
              </w:rPr>
              <w:fldChar w:fldCharType="separate"/>
            </w:r>
            <w:r w:rsidR="00DC3231">
              <w:rPr>
                <w:webHidden/>
              </w:rPr>
              <w:t>VIII</w:t>
            </w:r>
            <w:r w:rsidR="00F62025">
              <w:rPr>
                <w:webHidden/>
              </w:rPr>
              <w:fldChar w:fldCharType="end"/>
            </w:r>
          </w:hyperlink>
        </w:p>
        <w:p w14:paraId="2CD61800" w14:textId="4083DC9D" w:rsidR="00013A78" w:rsidRPr="00013A78" w:rsidRDefault="00013A78" w:rsidP="00013A78">
          <w:pPr>
            <w:ind w:hanging="2"/>
            <w:jc w:val="center"/>
            <w:rPr>
              <w:rFonts w:eastAsiaTheme="minorEastAsia"/>
              <w:b/>
              <w:bCs/>
              <w:noProof/>
            </w:rPr>
          </w:pPr>
          <w:r>
            <w:rPr>
              <w:rFonts w:eastAsiaTheme="minorEastAsia"/>
              <w:b/>
              <w:bCs/>
              <w:noProof/>
            </w:rPr>
            <w:t>General Introduction</w:t>
          </w:r>
        </w:p>
        <w:p w14:paraId="496DD8F5" w14:textId="1C29D9FF" w:rsidR="00F62025" w:rsidRDefault="00A8731A">
          <w:pPr>
            <w:pStyle w:val="TM1"/>
            <w:tabs>
              <w:tab w:val="left" w:pos="440"/>
            </w:tabs>
            <w:rPr>
              <w:rFonts w:asciiTheme="minorHAnsi" w:eastAsiaTheme="minorEastAsia" w:hAnsiTheme="minorHAnsi"/>
              <w:sz w:val="24"/>
              <w:szCs w:val="24"/>
            </w:rPr>
          </w:pPr>
          <w:hyperlink w:anchor="_Toc200486005" w:history="1">
            <w:r w:rsidR="00F62025" w:rsidRPr="00487687">
              <w:rPr>
                <w:rStyle w:val="Lienhypertexte"/>
                <w:rFonts w:asciiTheme="majorBidi" w:hAnsiTheme="majorBidi" w:cstheme="majorBidi"/>
                <w:b/>
                <w:bCs/>
              </w:rPr>
              <w:t>1.</w:t>
            </w:r>
            <w:r w:rsidR="00F62025">
              <w:rPr>
                <w:rFonts w:asciiTheme="minorHAnsi" w:eastAsiaTheme="minorEastAsia" w:hAnsiTheme="minorHAnsi"/>
                <w:sz w:val="24"/>
                <w:szCs w:val="24"/>
              </w:rPr>
              <w:tab/>
            </w:r>
            <w:r w:rsidR="00F62025" w:rsidRPr="00487687">
              <w:rPr>
                <w:rStyle w:val="Lienhypertexte"/>
                <w:rFonts w:asciiTheme="majorBidi" w:hAnsiTheme="majorBidi" w:cstheme="majorBidi"/>
                <w:b/>
                <w:bCs/>
              </w:rPr>
              <w:t>Background of the Study</w:t>
            </w:r>
            <w:r w:rsidR="00F62025">
              <w:rPr>
                <w:webHidden/>
              </w:rPr>
              <w:tab/>
            </w:r>
            <w:r w:rsidR="00F62025">
              <w:rPr>
                <w:webHidden/>
              </w:rPr>
              <w:fldChar w:fldCharType="begin"/>
            </w:r>
            <w:r w:rsidR="00F62025">
              <w:rPr>
                <w:webHidden/>
              </w:rPr>
              <w:instrText xml:space="preserve"> PAGEREF _Toc200486005 \h </w:instrText>
            </w:r>
            <w:r w:rsidR="00F62025">
              <w:rPr>
                <w:webHidden/>
              </w:rPr>
            </w:r>
            <w:r w:rsidR="00F62025">
              <w:rPr>
                <w:webHidden/>
              </w:rPr>
              <w:fldChar w:fldCharType="separate"/>
            </w:r>
            <w:r w:rsidR="00DC3231">
              <w:rPr>
                <w:webHidden/>
              </w:rPr>
              <w:t>1</w:t>
            </w:r>
            <w:r w:rsidR="00F62025">
              <w:rPr>
                <w:webHidden/>
              </w:rPr>
              <w:fldChar w:fldCharType="end"/>
            </w:r>
          </w:hyperlink>
        </w:p>
        <w:p w14:paraId="07589837" w14:textId="761A1929" w:rsidR="00F62025" w:rsidRDefault="00A8731A">
          <w:pPr>
            <w:pStyle w:val="TM1"/>
            <w:tabs>
              <w:tab w:val="left" w:pos="440"/>
            </w:tabs>
            <w:rPr>
              <w:rFonts w:asciiTheme="minorHAnsi" w:eastAsiaTheme="minorEastAsia" w:hAnsiTheme="minorHAnsi"/>
              <w:sz w:val="24"/>
              <w:szCs w:val="24"/>
            </w:rPr>
          </w:pPr>
          <w:hyperlink w:anchor="_Toc200486012" w:history="1">
            <w:r w:rsidR="00F62025" w:rsidRPr="00487687">
              <w:rPr>
                <w:rStyle w:val="Lienhypertexte"/>
                <w:rFonts w:asciiTheme="majorBidi" w:hAnsiTheme="majorBidi" w:cstheme="majorBidi"/>
                <w:b/>
                <w:bCs/>
              </w:rPr>
              <w:t>2.</w:t>
            </w:r>
            <w:r w:rsidR="00F62025">
              <w:rPr>
                <w:rFonts w:asciiTheme="minorHAnsi" w:eastAsiaTheme="minorEastAsia" w:hAnsiTheme="minorHAnsi"/>
                <w:sz w:val="24"/>
                <w:szCs w:val="24"/>
              </w:rPr>
              <w:tab/>
            </w:r>
            <w:r w:rsidR="00F62025" w:rsidRPr="00487687">
              <w:rPr>
                <w:rStyle w:val="Lienhypertexte"/>
                <w:rFonts w:asciiTheme="majorBidi" w:hAnsiTheme="majorBidi" w:cstheme="majorBidi"/>
                <w:b/>
                <w:bCs/>
              </w:rPr>
              <w:t>Statement of the Problem</w:t>
            </w:r>
            <w:r w:rsidR="00F62025">
              <w:rPr>
                <w:webHidden/>
              </w:rPr>
              <w:tab/>
            </w:r>
            <w:r w:rsidR="00F62025">
              <w:rPr>
                <w:webHidden/>
              </w:rPr>
              <w:fldChar w:fldCharType="begin"/>
            </w:r>
            <w:r w:rsidR="00F62025">
              <w:rPr>
                <w:webHidden/>
              </w:rPr>
              <w:instrText xml:space="preserve"> PAGEREF _Toc200486012 \h </w:instrText>
            </w:r>
            <w:r w:rsidR="00F62025">
              <w:rPr>
                <w:webHidden/>
              </w:rPr>
            </w:r>
            <w:r w:rsidR="00F62025">
              <w:rPr>
                <w:webHidden/>
              </w:rPr>
              <w:fldChar w:fldCharType="separate"/>
            </w:r>
            <w:r w:rsidR="00DC3231">
              <w:rPr>
                <w:webHidden/>
              </w:rPr>
              <w:t>3</w:t>
            </w:r>
            <w:r w:rsidR="00F62025">
              <w:rPr>
                <w:webHidden/>
              </w:rPr>
              <w:fldChar w:fldCharType="end"/>
            </w:r>
          </w:hyperlink>
        </w:p>
        <w:p w14:paraId="10B501E3" w14:textId="6AA72E98" w:rsidR="00F62025" w:rsidRDefault="00A8731A">
          <w:pPr>
            <w:pStyle w:val="TM1"/>
            <w:tabs>
              <w:tab w:val="left" w:pos="440"/>
            </w:tabs>
            <w:rPr>
              <w:rFonts w:asciiTheme="minorHAnsi" w:eastAsiaTheme="minorEastAsia" w:hAnsiTheme="minorHAnsi"/>
              <w:sz w:val="24"/>
              <w:szCs w:val="24"/>
            </w:rPr>
          </w:pPr>
          <w:hyperlink w:anchor="_Toc200486015" w:history="1">
            <w:r w:rsidR="00F62025" w:rsidRPr="00487687">
              <w:rPr>
                <w:rStyle w:val="Lienhypertexte"/>
                <w:rFonts w:asciiTheme="majorBidi" w:hAnsiTheme="majorBidi" w:cstheme="majorBidi"/>
                <w:b/>
                <w:bCs/>
              </w:rPr>
              <w:t>3.</w:t>
            </w:r>
            <w:r w:rsidR="00F62025">
              <w:rPr>
                <w:rFonts w:asciiTheme="minorHAnsi" w:eastAsiaTheme="minorEastAsia" w:hAnsiTheme="minorHAnsi"/>
                <w:sz w:val="24"/>
                <w:szCs w:val="24"/>
              </w:rPr>
              <w:tab/>
            </w:r>
            <w:r w:rsidR="00F62025" w:rsidRPr="00487687">
              <w:rPr>
                <w:rStyle w:val="Lienhypertexte"/>
                <w:rFonts w:asciiTheme="majorBidi" w:hAnsiTheme="majorBidi" w:cstheme="majorBidi"/>
                <w:b/>
                <w:bCs/>
              </w:rPr>
              <w:t>Research Questions</w:t>
            </w:r>
            <w:r w:rsidR="00F62025">
              <w:rPr>
                <w:webHidden/>
              </w:rPr>
              <w:tab/>
            </w:r>
            <w:r w:rsidR="00F62025">
              <w:rPr>
                <w:webHidden/>
              </w:rPr>
              <w:fldChar w:fldCharType="begin"/>
            </w:r>
            <w:r w:rsidR="00F62025">
              <w:rPr>
                <w:webHidden/>
              </w:rPr>
              <w:instrText xml:space="preserve"> PAGEREF _Toc200486015 \h </w:instrText>
            </w:r>
            <w:r w:rsidR="00F62025">
              <w:rPr>
                <w:webHidden/>
              </w:rPr>
            </w:r>
            <w:r w:rsidR="00F62025">
              <w:rPr>
                <w:webHidden/>
              </w:rPr>
              <w:fldChar w:fldCharType="separate"/>
            </w:r>
            <w:r w:rsidR="00DC3231">
              <w:rPr>
                <w:webHidden/>
              </w:rPr>
              <w:t>3</w:t>
            </w:r>
            <w:r w:rsidR="00F62025">
              <w:rPr>
                <w:webHidden/>
              </w:rPr>
              <w:fldChar w:fldCharType="end"/>
            </w:r>
          </w:hyperlink>
        </w:p>
        <w:p w14:paraId="3BC628B7" w14:textId="3F72B15A" w:rsidR="00F62025" w:rsidRDefault="00A8731A">
          <w:pPr>
            <w:pStyle w:val="TM1"/>
            <w:tabs>
              <w:tab w:val="left" w:pos="440"/>
            </w:tabs>
            <w:rPr>
              <w:rFonts w:asciiTheme="minorHAnsi" w:eastAsiaTheme="minorEastAsia" w:hAnsiTheme="minorHAnsi"/>
              <w:sz w:val="24"/>
              <w:szCs w:val="24"/>
            </w:rPr>
          </w:pPr>
          <w:hyperlink w:anchor="_Toc200486018" w:history="1">
            <w:r w:rsidR="00F62025" w:rsidRPr="00487687">
              <w:rPr>
                <w:rStyle w:val="Lienhypertexte"/>
                <w:rFonts w:asciiTheme="majorBidi" w:hAnsiTheme="majorBidi" w:cstheme="majorBidi"/>
                <w:b/>
                <w:bCs/>
              </w:rPr>
              <w:t>4.</w:t>
            </w:r>
            <w:r w:rsidR="00F62025">
              <w:rPr>
                <w:rFonts w:asciiTheme="minorHAnsi" w:eastAsiaTheme="minorEastAsia" w:hAnsiTheme="minorHAnsi"/>
                <w:sz w:val="24"/>
                <w:szCs w:val="24"/>
              </w:rPr>
              <w:tab/>
            </w:r>
            <w:r w:rsidR="00F62025" w:rsidRPr="00487687">
              <w:rPr>
                <w:rStyle w:val="Lienhypertexte"/>
                <w:rFonts w:asciiTheme="majorBidi" w:hAnsiTheme="majorBidi" w:cstheme="majorBidi"/>
                <w:b/>
                <w:bCs/>
              </w:rPr>
              <w:t>Research Objectives</w:t>
            </w:r>
            <w:r w:rsidR="00F62025">
              <w:rPr>
                <w:webHidden/>
              </w:rPr>
              <w:tab/>
            </w:r>
            <w:r w:rsidR="00F62025">
              <w:rPr>
                <w:webHidden/>
              </w:rPr>
              <w:fldChar w:fldCharType="begin"/>
            </w:r>
            <w:r w:rsidR="00F62025">
              <w:rPr>
                <w:webHidden/>
              </w:rPr>
              <w:instrText xml:space="preserve"> PAGEREF _Toc200486018 \h </w:instrText>
            </w:r>
            <w:r w:rsidR="00F62025">
              <w:rPr>
                <w:webHidden/>
              </w:rPr>
            </w:r>
            <w:r w:rsidR="00F62025">
              <w:rPr>
                <w:webHidden/>
              </w:rPr>
              <w:fldChar w:fldCharType="separate"/>
            </w:r>
            <w:r w:rsidR="00DC3231">
              <w:rPr>
                <w:webHidden/>
              </w:rPr>
              <w:t>4</w:t>
            </w:r>
            <w:r w:rsidR="00F62025">
              <w:rPr>
                <w:webHidden/>
              </w:rPr>
              <w:fldChar w:fldCharType="end"/>
            </w:r>
          </w:hyperlink>
        </w:p>
        <w:p w14:paraId="0483F9BE" w14:textId="67C380DD" w:rsidR="00F62025" w:rsidRDefault="00A8731A">
          <w:pPr>
            <w:pStyle w:val="TM1"/>
            <w:tabs>
              <w:tab w:val="left" w:pos="440"/>
            </w:tabs>
            <w:rPr>
              <w:rFonts w:asciiTheme="minorHAnsi" w:eastAsiaTheme="minorEastAsia" w:hAnsiTheme="minorHAnsi"/>
              <w:sz w:val="24"/>
              <w:szCs w:val="24"/>
            </w:rPr>
          </w:pPr>
          <w:hyperlink w:anchor="_Toc200486020" w:history="1">
            <w:r w:rsidR="00F62025" w:rsidRPr="00487687">
              <w:rPr>
                <w:rStyle w:val="Lienhypertexte"/>
                <w:rFonts w:asciiTheme="majorBidi" w:hAnsiTheme="majorBidi" w:cstheme="majorBidi"/>
                <w:b/>
                <w:bCs/>
              </w:rPr>
              <w:t>5.</w:t>
            </w:r>
            <w:r w:rsidR="00F62025">
              <w:rPr>
                <w:rFonts w:asciiTheme="minorHAnsi" w:eastAsiaTheme="minorEastAsia" w:hAnsiTheme="minorHAnsi"/>
                <w:sz w:val="24"/>
                <w:szCs w:val="24"/>
              </w:rPr>
              <w:tab/>
            </w:r>
            <w:r w:rsidR="00F62025" w:rsidRPr="00487687">
              <w:rPr>
                <w:rStyle w:val="Lienhypertexte"/>
                <w:rFonts w:asciiTheme="majorBidi" w:hAnsiTheme="majorBidi" w:cstheme="majorBidi"/>
                <w:b/>
                <w:bCs/>
              </w:rPr>
              <w:t>Significance of the Study</w:t>
            </w:r>
            <w:r w:rsidR="00F62025">
              <w:rPr>
                <w:webHidden/>
              </w:rPr>
              <w:tab/>
            </w:r>
            <w:r w:rsidR="00F62025">
              <w:rPr>
                <w:webHidden/>
              </w:rPr>
              <w:fldChar w:fldCharType="begin"/>
            </w:r>
            <w:r w:rsidR="00F62025">
              <w:rPr>
                <w:webHidden/>
              </w:rPr>
              <w:instrText xml:space="preserve"> PAGEREF _Toc200486020 \h </w:instrText>
            </w:r>
            <w:r w:rsidR="00F62025">
              <w:rPr>
                <w:webHidden/>
              </w:rPr>
            </w:r>
            <w:r w:rsidR="00F62025">
              <w:rPr>
                <w:webHidden/>
              </w:rPr>
              <w:fldChar w:fldCharType="separate"/>
            </w:r>
            <w:r w:rsidR="00DC3231">
              <w:rPr>
                <w:webHidden/>
              </w:rPr>
              <w:t>4</w:t>
            </w:r>
            <w:r w:rsidR="00F62025">
              <w:rPr>
                <w:webHidden/>
              </w:rPr>
              <w:fldChar w:fldCharType="end"/>
            </w:r>
          </w:hyperlink>
        </w:p>
        <w:p w14:paraId="56474639" w14:textId="1F34AB87" w:rsidR="00F62025" w:rsidRDefault="00A8731A">
          <w:pPr>
            <w:pStyle w:val="TM1"/>
            <w:tabs>
              <w:tab w:val="left" w:pos="440"/>
            </w:tabs>
            <w:rPr>
              <w:rFonts w:asciiTheme="minorHAnsi" w:eastAsiaTheme="minorEastAsia" w:hAnsiTheme="minorHAnsi"/>
              <w:sz w:val="24"/>
              <w:szCs w:val="24"/>
            </w:rPr>
          </w:pPr>
          <w:hyperlink w:anchor="_Toc200486022" w:history="1">
            <w:r w:rsidR="00F62025" w:rsidRPr="00487687">
              <w:rPr>
                <w:rStyle w:val="Lienhypertexte"/>
                <w:rFonts w:asciiTheme="majorBidi" w:hAnsiTheme="majorBidi" w:cstheme="majorBidi"/>
                <w:b/>
                <w:bCs/>
              </w:rPr>
              <w:t>6.</w:t>
            </w:r>
            <w:r w:rsidR="00F62025">
              <w:rPr>
                <w:rFonts w:asciiTheme="minorHAnsi" w:eastAsiaTheme="minorEastAsia" w:hAnsiTheme="minorHAnsi"/>
                <w:sz w:val="24"/>
                <w:szCs w:val="24"/>
              </w:rPr>
              <w:tab/>
            </w:r>
            <w:r w:rsidR="00F62025" w:rsidRPr="00487687">
              <w:rPr>
                <w:rStyle w:val="Lienhypertexte"/>
                <w:rFonts w:asciiTheme="majorBidi" w:hAnsiTheme="majorBidi" w:cstheme="majorBidi"/>
                <w:b/>
                <w:bCs/>
              </w:rPr>
              <w:t>Research Methodology</w:t>
            </w:r>
            <w:r w:rsidR="00F62025">
              <w:rPr>
                <w:webHidden/>
              </w:rPr>
              <w:tab/>
            </w:r>
            <w:r w:rsidR="00F62025">
              <w:rPr>
                <w:webHidden/>
              </w:rPr>
              <w:fldChar w:fldCharType="begin"/>
            </w:r>
            <w:r w:rsidR="00F62025">
              <w:rPr>
                <w:webHidden/>
              </w:rPr>
              <w:instrText xml:space="preserve"> PAGEREF _Toc200486022 \h </w:instrText>
            </w:r>
            <w:r w:rsidR="00F62025">
              <w:rPr>
                <w:webHidden/>
              </w:rPr>
            </w:r>
            <w:r w:rsidR="00F62025">
              <w:rPr>
                <w:webHidden/>
              </w:rPr>
              <w:fldChar w:fldCharType="separate"/>
            </w:r>
            <w:r w:rsidR="00DC3231">
              <w:rPr>
                <w:webHidden/>
              </w:rPr>
              <w:t>5</w:t>
            </w:r>
            <w:r w:rsidR="00F62025">
              <w:rPr>
                <w:webHidden/>
              </w:rPr>
              <w:fldChar w:fldCharType="end"/>
            </w:r>
          </w:hyperlink>
        </w:p>
        <w:p w14:paraId="34E7C45E" w14:textId="52B0C5B8" w:rsidR="00F62025" w:rsidRDefault="00A8731A">
          <w:pPr>
            <w:pStyle w:val="TM1"/>
            <w:tabs>
              <w:tab w:val="left" w:pos="440"/>
            </w:tabs>
            <w:rPr>
              <w:rFonts w:asciiTheme="minorHAnsi" w:eastAsiaTheme="minorEastAsia" w:hAnsiTheme="minorHAnsi"/>
              <w:sz w:val="24"/>
              <w:szCs w:val="24"/>
            </w:rPr>
          </w:pPr>
          <w:hyperlink w:anchor="_Toc200486025" w:history="1">
            <w:r w:rsidR="00F62025" w:rsidRPr="00487687">
              <w:rPr>
                <w:rStyle w:val="Lienhypertexte"/>
                <w:rFonts w:asciiTheme="majorBidi" w:hAnsiTheme="majorBidi" w:cstheme="majorBidi"/>
                <w:b/>
                <w:bCs/>
              </w:rPr>
              <w:t>7.</w:t>
            </w:r>
            <w:r w:rsidR="00F62025">
              <w:rPr>
                <w:rFonts w:asciiTheme="minorHAnsi" w:eastAsiaTheme="minorEastAsia" w:hAnsiTheme="minorHAnsi"/>
                <w:sz w:val="24"/>
                <w:szCs w:val="24"/>
              </w:rPr>
              <w:tab/>
            </w:r>
            <w:r w:rsidR="00F62025" w:rsidRPr="00487687">
              <w:rPr>
                <w:rStyle w:val="Lienhypertexte"/>
                <w:rFonts w:asciiTheme="majorBidi" w:hAnsiTheme="majorBidi" w:cstheme="majorBidi"/>
                <w:b/>
                <w:bCs/>
              </w:rPr>
              <w:t>Thesis Structure</w:t>
            </w:r>
            <w:r w:rsidR="00F62025">
              <w:rPr>
                <w:webHidden/>
              </w:rPr>
              <w:tab/>
            </w:r>
            <w:r w:rsidR="00F62025">
              <w:rPr>
                <w:webHidden/>
              </w:rPr>
              <w:fldChar w:fldCharType="begin"/>
            </w:r>
            <w:r w:rsidR="00F62025">
              <w:rPr>
                <w:webHidden/>
              </w:rPr>
              <w:instrText xml:space="preserve"> PAGEREF _Toc200486025 \h </w:instrText>
            </w:r>
            <w:r w:rsidR="00F62025">
              <w:rPr>
                <w:webHidden/>
              </w:rPr>
            </w:r>
            <w:r w:rsidR="00F62025">
              <w:rPr>
                <w:webHidden/>
              </w:rPr>
              <w:fldChar w:fldCharType="separate"/>
            </w:r>
            <w:r w:rsidR="00DC3231">
              <w:rPr>
                <w:webHidden/>
              </w:rPr>
              <w:t>5</w:t>
            </w:r>
            <w:r w:rsidR="00F62025">
              <w:rPr>
                <w:webHidden/>
              </w:rPr>
              <w:fldChar w:fldCharType="end"/>
            </w:r>
          </w:hyperlink>
        </w:p>
        <w:p w14:paraId="568746E5" w14:textId="62001569" w:rsidR="00F62025" w:rsidRDefault="00A8731A">
          <w:pPr>
            <w:pStyle w:val="TM1"/>
            <w:tabs>
              <w:tab w:val="left" w:pos="440"/>
            </w:tabs>
          </w:pPr>
          <w:hyperlink w:anchor="_Toc200486030" w:history="1">
            <w:r w:rsidR="00F62025" w:rsidRPr="00487687">
              <w:rPr>
                <w:rStyle w:val="Lienhypertexte"/>
                <w:rFonts w:asciiTheme="majorBidi" w:hAnsiTheme="majorBidi" w:cstheme="majorBidi"/>
                <w:b/>
                <w:bCs/>
              </w:rPr>
              <w:t>8.</w:t>
            </w:r>
            <w:r w:rsidR="00F62025">
              <w:rPr>
                <w:rFonts w:asciiTheme="minorHAnsi" w:eastAsiaTheme="minorEastAsia" w:hAnsiTheme="minorHAnsi"/>
                <w:sz w:val="24"/>
                <w:szCs w:val="24"/>
              </w:rPr>
              <w:tab/>
            </w:r>
            <w:r w:rsidR="00F62025" w:rsidRPr="00487687">
              <w:rPr>
                <w:rStyle w:val="Lienhypertexte"/>
                <w:rFonts w:asciiTheme="majorBidi" w:hAnsiTheme="majorBidi" w:cstheme="majorBidi"/>
                <w:b/>
                <w:bCs/>
              </w:rPr>
              <w:t>Operational Definitions of Research Variables:</w:t>
            </w:r>
            <w:r w:rsidR="00F62025">
              <w:rPr>
                <w:webHidden/>
              </w:rPr>
              <w:tab/>
            </w:r>
            <w:r w:rsidR="00F62025">
              <w:rPr>
                <w:webHidden/>
              </w:rPr>
              <w:fldChar w:fldCharType="begin"/>
            </w:r>
            <w:r w:rsidR="00F62025">
              <w:rPr>
                <w:webHidden/>
              </w:rPr>
              <w:instrText xml:space="preserve"> PAGEREF _Toc200486030 \h </w:instrText>
            </w:r>
            <w:r w:rsidR="00F62025">
              <w:rPr>
                <w:webHidden/>
              </w:rPr>
            </w:r>
            <w:r w:rsidR="00F62025">
              <w:rPr>
                <w:webHidden/>
              </w:rPr>
              <w:fldChar w:fldCharType="separate"/>
            </w:r>
            <w:r w:rsidR="00DC3231">
              <w:rPr>
                <w:webHidden/>
              </w:rPr>
              <w:t>7</w:t>
            </w:r>
            <w:r w:rsidR="00F62025">
              <w:rPr>
                <w:webHidden/>
              </w:rPr>
              <w:fldChar w:fldCharType="end"/>
            </w:r>
          </w:hyperlink>
        </w:p>
        <w:p w14:paraId="3738FA69" w14:textId="71F8C0EA" w:rsidR="007667CC" w:rsidRDefault="007667CC" w:rsidP="007667CC">
          <w:pPr>
            <w:ind w:hanging="2"/>
            <w:jc w:val="center"/>
            <w:rPr>
              <w:rFonts w:eastAsiaTheme="minorEastAsia"/>
              <w:b/>
              <w:bCs/>
              <w:noProof/>
            </w:rPr>
          </w:pPr>
          <w:r>
            <w:rPr>
              <w:rFonts w:eastAsiaTheme="minorEastAsia"/>
              <w:b/>
              <w:bCs/>
              <w:noProof/>
            </w:rPr>
            <w:t>Chapter One</w:t>
          </w:r>
        </w:p>
        <w:p w14:paraId="7E25ED1F" w14:textId="5322F0C5" w:rsidR="007667CC" w:rsidRPr="007667CC" w:rsidRDefault="007667CC" w:rsidP="007667CC">
          <w:pPr>
            <w:ind w:hanging="2"/>
            <w:jc w:val="center"/>
            <w:rPr>
              <w:rFonts w:eastAsiaTheme="minorEastAsia"/>
              <w:b/>
              <w:bCs/>
              <w:noProof/>
            </w:rPr>
          </w:pPr>
          <w:r>
            <w:rPr>
              <w:rFonts w:eastAsiaTheme="minorEastAsia"/>
              <w:b/>
              <w:bCs/>
              <w:noProof/>
            </w:rPr>
            <w:t>Summative Assessment and Online Teacher Communities</w:t>
          </w:r>
        </w:p>
        <w:p w14:paraId="583FEFDB" w14:textId="5F021631" w:rsidR="00F62025" w:rsidRDefault="00A8731A">
          <w:pPr>
            <w:pStyle w:val="TM1"/>
            <w:rPr>
              <w:rFonts w:asciiTheme="minorHAnsi" w:eastAsiaTheme="minorEastAsia" w:hAnsiTheme="minorHAnsi"/>
              <w:sz w:val="24"/>
              <w:szCs w:val="24"/>
            </w:rPr>
          </w:pPr>
          <w:hyperlink w:anchor="_Toc200486033" w:history="1">
            <w:r w:rsidR="00F62025">
              <w:rPr>
                <w:webHidden/>
              </w:rPr>
              <w:tab/>
            </w:r>
            <w:r w:rsidR="00F62025">
              <w:rPr>
                <w:webHidden/>
              </w:rPr>
              <w:fldChar w:fldCharType="begin"/>
            </w:r>
            <w:r w:rsidR="00F62025">
              <w:rPr>
                <w:webHidden/>
              </w:rPr>
              <w:instrText xml:space="preserve"> PAGEREF _Toc200486033 \h </w:instrText>
            </w:r>
            <w:r w:rsidR="00F62025">
              <w:rPr>
                <w:webHidden/>
              </w:rPr>
            </w:r>
            <w:r w:rsidR="00F62025">
              <w:rPr>
                <w:webHidden/>
              </w:rPr>
              <w:fldChar w:fldCharType="separate"/>
            </w:r>
            <w:r w:rsidR="00DC3231">
              <w:rPr>
                <w:webHidden/>
              </w:rPr>
              <w:t>8</w:t>
            </w:r>
            <w:r w:rsidR="00F62025">
              <w:rPr>
                <w:webHidden/>
              </w:rPr>
              <w:fldChar w:fldCharType="end"/>
            </w:r>
          </w:hyperlink>
        </w:p>
        <w:p w14:paraId="27E17C14" w14:textId="0045F9DD" w:rsidR="00F62025" w:rsidRDefault="00A8731A">
          <w:pPr>
            <w:pStyle w:val="TM1"/>
            <w:rPr>
              <w:rFonts w:asciiTheme="minorHAnsi" w:eastAsiaTheme="minorEastAsia" w:hAnsiTheme="minorHAnsi"/>
              <w:sz w:val="24"/>
              <w:szCs w:val="24"/>
            </w:rPr>
          </w:pPr>
          <w:hyperlink w:anchor="_Toc200486034" w:history="1">
            <w:r w:rsidR="00F62025" w:rsidRPr="00487687">
              <w:rPr>
                <w:rStyle w:val="Lienhypertexte"/>
                <w:lang w:bidi="ar-DZ"/>
              </w:rPr>
              <w:t>Introduction</w:t>
            </w:r>
            <w:r w:rsidR="00F62025">
              <w:rPr>
                <w:webHidden/>
              </w:rPr>
              <w:tab/>
            </w:r>
            <w:r w:rsidR="00F62025">
              <w:rPr>
                <w:webHidden/>
              </w:rPr>
              <w:fldChar w:fldCharType="begin"/>
            </w:r>
            <w:r w:rsidR="00F62025">
              <w:rPr>
                <w:webHidden/>
              </w:rPr>
              <w:instrText xml:space="preserve"> PAGEREF _Toc200486034 \h </w:instrText>
            </w:r>
            <w:r w:rsidR="00F62025">
              <w:rPr>
                <w:webHidden/>
              </w:rPr>
            </w:r>
            <w:r w:rsidR="00F62025">
              <w:rPr>
                <w:webHidden/>
              </w:rPr>
              <w:fldChar w:fldCharType="separate"/>
            </w:r>
            <w:r w:rsidR="00DC3231">
              <w:rPr>
                <w:webHidden/>
              </w:rPr>
              <w:t>9</w:t>
            </w:r>
            <w:r w:rsidR="00F62025">
              <w:rPr>
                <w:webHidden/>
              </w:rPr>
              <w:fldChar w:fldCharType="end"/>
            </w:r>
          </w:hyperlink>
        </w:p>
        <w:p w14:paraId="1061C4BD" w14:textId="6D24C953" w:rsidR="00F62025" w:rsidRDefault="00A8731A">
          <w:pPr>
            <w:pStyle w:val="TM1"/>
            <w:tabs>
              <w:tab w:val="left" w:pos="440"/>
            </w:tabs>
            <w:rPr>
              <w:rFonts w:asciiTheme="minorHAnsi" w:eastAsiaTheme="minorEastAsia" w:hAnsiTheme="minorHAnsi"/>
              <w:sz w:val="24"/>
              <w:szCs w:val="24"/>
            </w:rPr>
          </w:pPr>
          <w:hyperlink w:anchor="_Toc200486035" w:history="1">
            <w:r w:rsidR="00F62025" w:rsidRPr="00487687">
              <w:rPr>
                <w:rStyle w:val="Lienhypertexte"/>
                <w:lang w:bidi="ar-DZ"/>
              </w:rPr>
              <w:t>I.</w:t>
            </w:r>
            <w:r w:rsidR="00F62025">
              <w:rPr>
                <w:rFonts w:asciiTheme="minorHAnsi" w:eastAsiaTheme="minorEastAsia" w:hAnsiTheme="minorHAnsi"/>
                <w:sz w:val="24"/>
                <w:szCs w:val="24"/>
              </w:rPr>
              <w:tab/>
            </w:r>
            <w:r w:rsidR="00F62025" w:rsidRPr="001107C6">
              <w:rPr>
                <w:rStyle w:val="Lienhypertexte"/>
                <w:b/>
                <w:bCs/>
                <w:lang w:bidi="ar-DZ"/>
              </w:rPr>
              <w:t>Language Assessment</w:t>
            </w:r>
            <w:r w:rsidR="00F62025">
              <w:rPr>
                <w:webHidden/>
              </w:rPr>
              <w:tab/>
            </w:r>
            <w:r w:rsidR="00F62025">
              <w:rPr>
                <w:webHidden/>
              </w:rPr>
              <w:fldChar w:fldCharType="begin"/>
            </w:r>
            <w:r w:rsidR="00F62025">
              <w:rPr>
                <w:webHidden/>
              </w:rPr>
              <w:instrText xml:space="preserve"> PAGEREF _Toc200486035 \h </w:instrText>
            </w:r>
            <w:r w:rsidR="00F62025">
              <w:rPr>
                <w:webHidden/>
              </w:rPr>
            </w:r>
            <w:r w:rsidR="00F62025">
              <w:rPr>
                <w:webHidden/>
              </w:rPr>
              <w:fldChar w:fldCharType="separate"/>
            </w:r>
            <w:r w:rsidR="00DC3231">
              <w:rPr>
                <w:webHidden/>
              </w:rPr>
              <w:t>9</w:t>
            </w:r>
            <w:r w:rsidR="00F62025">
              <w:rPr>
                <w:webHidden/>
              </w:rPr>
              <w:fldChar w:fldCharType="end"/>
            </w:r>
          </w:hyperlink>
        </w:p>
        <w:p w14:paraId="11C5465A" w14:textId="07616A46" w:rsidR="00F62025" w:rsidRDefault="00A8731A">
          <w:pPr>
            <w:pStyle w:val="TM1"/>
            <w:tabs>
              <w:tab w:val="left" w:pos="720"/>
            </w:tabs>
            <w:rPr>
              <w:rFonts w:asciiTheme="minorHAnsi" w:eastAsiaTheme="minorEastAsia" w:hAnsiTheme="minorHAnsi"/>
              <w:sz w:val="24"/>
              <w:szCs w:val="24"/>
            </w:rPr>
          </w:pPr>
          <w:hyperlink w:anchor="_Toc200486036" w:history="1">
            <w:r w:rsidR="00F62025" w:rsidRPr="00487687">
              <w:rPr>
                <w:rStyle w:val="Lienhypertexte"/>
                <w:lang w:bidi="ar-DZ"/>
              </w:rPr>
              <w:t>1.1.</w:t>
            </w:r>
            <w:r w:rsidR="00F62025">
              <w:rPr>
                <w:rFonts w:asciiTheme="minorHAnsi" w:eastAsiaTheme="minorEastAsia" w:hAnsiTheme="minorHAnsi"/>
                <w:sz w:val="24"/>
                <w:szCs w:val="24"/>
              </w:rPr>
              <w:tab/>
            </w:r>
            <w:r w:rsidR="00F62025" w:rsidRPr="00487687">
              <w:rPr>
                <w:rStyle w:val="Lienhypertexte"/>
                <w:lang w:bidi="ar-DZ"/>
              </w:rPr>
              <w:t>Definition of Assessment</w:t>
            </w:r>
            <w:r w:rsidR="00F62025">
              <w:rPr>
                <w:webHidden/>
              </w:rPr>
              <w:tab/>
            </w:r>
            <w:r w:rsidR="00F62025">
              <w:rPr>
                <w:webHidden/>
              </w:rPr>
              <w:fldChar w:fldCharType="begin"/>
            </w:r>
            <w:r w:rsidR="00F62025">
              <w:rPr>
                <w:webHidden/>
              </w:rPr>
              <w:instrText xml:space="preserve"> PAGEREF _Toc200486036 \h </w:instrText>
            </w:r>
            <w:r w:rsidR="00F62025">
              <w:rPr>
                <w:webHidden/>
              </w:rPr>
            </w:r>
            <w:r w:rsidR="00F62025">
              <w:rPr>
                <w:webHidden/>
              </w:rPr>
              <w:fldChar w:fldCharType="separate"/>
            </w:r>
            <w:r w:rsidR="00DC3231">
              <w:rPr>
                <w:webHidden/>
              </w:rPr>
              <w:t>9</w:t>
            </w:r>
            <w:r w:rsidR="00F62025">
              <w:rPr>
                <w:webHidden/>
              </w:rPr>
              <w:fldChar w:fldCharType="end"/>
            </w:r>
          </w:hyperlink>
        </w:p>
        <w:p w14:paraId="5828AD4E" w14:textId="308E5F0D" w:rsidR="00F62025" w:rsidRDefault="00A8731A">
          <w:pPr>
            <w:pStyle w:val="TM1"/>
            <w:tabs>
              <w:tab w:val="left" w:pos="960"/>
            </w:tabs>
            <w:rPr>
              <w:rFonts w:asciiTheme="minorHAnsi" w:eastAsiaTheme="minorEastAsia" w:hAnsiTheme="minorHAnsi"/>
              <w:sz w:val="24"/>
              <w:szCs w:val="24"/>
            </w:rPr>
          </w:pPr>
          <w:hyperlink w:anchor="_Toc200486037" w:history="1">
            <w:r w:rsidR="00F62025" w:rsidRPr="00487687">
              <w:rPr>
                <w:rStyle w:val="Lienhypertexte"/>
                <w:lang w:bidi="ar-DZ"/>
              </w:rPr>
              <w:t>1.1.1.</w:t>
            </w:r>
            <w:r w:rsidR="00F62025">
              <w:rPr>
                <w:rFonts w:asciiTheme="minorHAnsi" w:eastAsiaTheme="minorEastAsia" w:hAnsiTheme="minorHAnsi"/>
                <w:sz w:val="24"/>
                <w:szCs w:val="24"/>
              </w:rPr>
              <w:tab/>
            </w:r>
            <w:r w:rsidR="00F62025" w:rsidRPr="00487687">
              <w:rPr>
                <w:rStyle w:val="Lienhypertexte"/>
                <w:lang w:bidi="ar-DZ"/>
              </w:rPr>
              <w:t>Purpose of Assessment</w:t>
            </w:r>
            <w:r w:rsidR="00F62025">
              <w:rPr>
                <w:webHidden/>
              </w:rPr>
              <w:tab/>
            </w:r>
            <w:r w:rsidR="00F62025">
              <w:rPr>
                <w:webHidden/>
              </w:rPr>
              <w:fldChar w:fldCharType="begin"/>
            </w:r>
            <w:r w:rsidR="00F62025">
              <w:rPr>
                <w:webHidden/>
              </w:rPr>
              <w:instrText xml:space="preserve"> PAGEREF _Toc200486037 \h </w:instrText>
            </w:r>
            <w:r w:rsidR="00F62025">
              <w:rPr>
                <w:webHidden/>
              </w:rPr>
            </w:r>
            <w:r w:rsidR="00F62025">
              <w:rPr>
                <w:webHidden/>
              </w:rPr>
              <w:fldChar w:fldCharType="separate"/>
            </w:r>
            <w:r w:rsidR="00DC3231">
              <w:rPr>
                <w:webHidden/>
              </w:rPr>
              <w:t>10</w:t>
            </w:r>
            <w:r w:rsidR="00F62025">
              <w:rPr>
                <w:webHidden/>
              </w:rPr>
              <w:fldChar w:fldCharType="end"/>
            </w:r>
          </w:hyperlink>
        </w:p>
        <w:p w14:paraId="2B8D7589" w14:textId="3A522B8D" w:rsidR="00F62025" w:rsidRDefault="003A6A16">
          <w:pPr>
            <w:pStyle w:val="TM1"/>
            <w:rPr>
              <w:rFonts w:asciiTheme="minorHAnsi" w:eastAsiaTheme="minorEastAsia" w:hAnsiTheme="minorHAnsi"/>
              <w:sz w:val="24"/>
              <w:szCs w:val="24"/>
            </w:rPr>
          </w:pPr>
          <w:r>
            <w:t xml:space="preserve">1.1.1.1 </w:t>
          </w:r>
          <w:hyperlink w:anchor="_Toc200486038" w:history="1">
            <w:r w:rsidR="00F62025" w:rsidRPr="00487687">
              <w:rPr>
                <w:rStyle w:val="Lienhypertexte"/>
                <w:rFonts w:eastAsia="Calibri"/>
                <w:lang w:bidi="ar-DZ"/>
              </w:rPr>
              <w:t>Assessment for Learning (Formative Assessment)</w:t>
            </w:r>
            <w:r w:rsidR="00F62025">
              <w:rPr>
                <w:webHidden/>
              </w:rPr>
              <w:tab/>
            </w:r>
            <w:r w:rsidR="00F62025">
              <w:rPr>
                <w:webHidden/>
              </w:rPr>
              <w:fldChar w:fldCharType="begin"/>
            </w:r>
            <w:r w:rsidR="00F62025">
              <w:rPr>
                <w:webHidden/>
              </w:rPr>
              <w:instrText xml:space="preserve"> PAGEREF _Toc200486038 \h </w:instrText>
            </w:r>
            <w:r w:rsidR="00F62025">
              <w:rPr>
                <w:webHidden/>
              </w:rPr>
            </w:r>
            <w:r w:rsidR="00F62025">
              <w:rPr>
                <w:webHidden/>
              </w:rPr>
              <w:fldChar w:fldCharType="separate"/>
            </w:r>
            <w:r w:rsidR="00DC3231">
              <w:rPr>
                <w:webHidden/>
              </w:rPr>
              <w:t>10</w:t>
            </w:r>
            <w:r w:rsidR="00F62025">
              <w:rPr>
                <w:webHidden/>
              </w:rPr>
              <w:fldChar w:fldCharType="end"/>
            </w:r>
          </w:hyperlink>
        </w:p>
        <w:p w14:paraId="6CE2C755" w14:textId="0ADDCA22" w:rsidR="00F62025" w:rsidRDefault="00A8731A">
          <w:pPr>
            <w:pStyle w:val="TM1"/>
            <w:tabs>
              <w:tab w:val="left" w:pos="960"/>
            </w:tabs>
            <w:rPr>
              <w:rFonts w:asciiTheme="minorHAnsi" w:eastAsiaTheme="minorEastAsia" w:hAnsiTheme="minorHAnsi"/>
              <w:sz w:val="24"/>
              <w:szCs w:val="24"/>
            </w:rPr>
          </w:pPr>
          <w:hyperlink w:anchor="_Toc200486039" w:history="1">
            <w:r w:rsidR="00F62025" w:rsidRPr="00487687">
              <w:rPr>
                <w:rStyle w:val="Lienhypertexte"/>
                <w:rFonts w:eastAsia="Calibri" w:cs="Times New Roman"/>
                <w:b/>
                <w:bCs/>
              </w:rPr>
              <w:t>1.1.1.</w:t>
            </w:r>
            <w:r w:rsidR="003A6A16">
              <w:rPr>
                <w:rStyle w:val="Lienhypertexte"/>
                <w:rFonts w:eastAsia="Calibri" w:cs="Times New Roman"/>
                <w:b/>
                <w:bCs/>
              </w:rPr>
              <w:t>2</w:t>
            </w:r>
            <w:r w:rsidR="00F62025">
              <w:rPr>
                <w:rFonts w:asciiTheme="minorHAnsi" w:eastAsiaTheme="minorEastAsia" w:hAnsiTheme="minorHAnsi"/>
                <w:sz w:val="24"/>
                <w:szCs w:val="24"/>
              </w:rPr>
              <w:tab/>
            </w:r>
            <w:r w:rsidR="00F62025" w:rsidRPr="00487687">
              <w:rPr>
                <w:rStyle w:val="Lienhypertexte"/>
                <w:rFonts w:eastAsia="Calibri" w:cs="Times New Roman"/>
                <w:b/>
                <w:bCs/>
              </w:rPr>
              <w:t>Assessment of Learning (Summative Assessment)</w:t>
            </w:r>
            <w:r w:rsidR="00F62025">
              <w:rPr>
                <w:webHidden/>
              </w:rPr>
              <w:tab/>
            </w:r>
            <w:r w:rsidR="00F62025">
              <w:rPr>
                <w:webHidden/>
              </w:rPr>
              <w:fldChar w:fldCharType="begin"/>
            </w:r>
            <w:r w:rsidR="00F62025">
              <w:rPr>
                <w:webHidden/>
              </w:rPr>
              <w:instrText xml:space="preserve"> PAGEREF _Toc200486039 \h </w:instrText>
            </w:r>
            <w:r w:rsidR="00F62025">
              <w:rPr>
                <w:webHidden/>
              </w:rPr>
            </w:r>
            <w:r w:rsidR="00F62025">
              <w:rPr>
                <w:webHidden/>
              </w:rPr>
              <w:fldChar w:fldCharType="separate"/>
            </w:r>
            <w:r w:rsidR="00DC3231">
              <w:rPr>
                <w:webHidden/>
              </w:rPr>
              <w:t>11</w:t>
            </w:r>
            <w:r w:rsidR="00F62025">
              <w:rPr>
                <w:webHidden/>
              </w:rPr>
              <w:fldChar w:fldCharType="end"/>
            </w:r>
          </w:hyperlink>
        </w:p>
        <w:p w14:paraId="5305FB6B" w14:textId="14130CC6" w:rsidR="00F62025" w:rsidRDefault="003A6A16">
          <w:pPr>
            <w:pStyle w:val="TM1"/>
            <w:rPr>
              <w:rFonts w:asciiTheme="minorHAnsi" w:eastAsiaTheme="minorEastAsia" w:hAnsiTheme="minorHAnsi"/>
              <w:sz w:val="24"/>
              <w:szCs w:val="24"/>
            </w:rPr>
          </w:pPr>
          <w:r>
            <w:t xml:space="preserve">1.1.1.2.1.  </w:t>
          </w:r>
          <w:hyperlink w:anchor="_Toc200486040" w:history="1">
            <w:r w:rsidR="00F62025" w:rsidRPr="00487687">
              <w:rPr>
                <w:rStyle w:val="Lienhypertexte"/>
                <w:rFonts w:eastAsia="Calibri"/>
                <w:lang w:bidi="ar-DZ"/>
              </w:rPr>
              <w:t>Curriculum-Based Assessment:</w:t>
            </w:r>
            <w:r w:rsidR="00F62025">
              <w:rPr>
                <w:webHidden/>
              </w:rPr>
              <w:tab/>
            </w:r>
            <w:r w:rsidR="00F62025">
              <w:rPr>
                <w:webHidden/>
              </w:rPr>
              <w:fldChar w:fldCharType="begin"/>
            </w:r>
            <w:r w:rsidR="00F62025">
              <w:rPr>
                <w:webHidden/>
              </w:rPr>
              <w:instrText xml:space="preserve"> PAGEREF _Toc200486040 \h </w:instrText>
            </w:r>
            <w:r w:rsidR="00F62025">
              <w:rPr>
                <w:webHidden/>
              </w:rPr>
            </w:r>
            <w:r w:rsidR="00F62025">
              <w:rPr>
                <w:webHidden/>
              </w:rPr>
              <w:fldChar w:fldCharType="separate"/>
            </w:r>
            <w:r w:rsidR="00DC3231">
              <w:rPr>
                <w:webHidden/>
              </w:rPr>
              <w:t>12</w:t>
            </w:r>
            <w:r w:rsidR="00F62025">
              <w:rPr>
                <w:webHidden/>
              </w:rPr>
              <w:fldChar w:fldCharType="end"/>
            </w:r>
          </w:hyperlink>
        </w:p>
        <w:p w14:paraId="278B154F" w14:textId="0A54577E" w:rsidR="00F62025" w:rsidRDefault="00A8731A">
          <w:pPr>
            <w:pStyle w:val="TM1"/>
            <w:tabs>
              <w:tab w:val="left" w:pos="1200"/>
            </w:tabs>
            <w:rPr>
              <w:rFonts w:asciiTheme="minorHAnsi" w:eastAsiaTheme="minorEastAsia" w:hAnsiTheme="minorHAnsi"/>
              <w:sz w:val="24"/>
              <w:szCs w:val="24"/>
            </w:rPr>
          </w:pPr>
          <w:hyperlink w:anchor="_Toc200486041" w:history="1">
            <w:r w:rsidR="00F62025" w:rsidRPr="00487687">
              <w:rPr>
                <w:rStyle w:val="Lienhypertexte"/>
                <w:rFonts w:eastAsia="Calibri"/>
                <w:lang w:bidi="ar-DZ"/>
              </w:rPr>
              <w:t>1.1.1.2.2.</w:t>
            </w:r>
            <w:r w:rsidR="00F62025">
              <w:rPr>
                <w:rFonts w:asciiTheme="minorHAnsi" w:eastAsiaTheme="minorEastAsia" w:hAnsiTheme="minorHAnsi"/>
                <w:sz w:val="24"/>
                <w:szCs w:val="24"/>
              </w:rPr>
              <w:tab/>
            </w:r>
            <w:r w:rsidR="00F62025" w:rsidRPr="00487687">
              <w:rPr>
                <w:rStyle w:val="Lienhypertexte"/>
                <w:rFonts w:eastAsia="Calibri"/>
                <w:lang w:bidi="ar-DZ"/>
              </w:rPr>
              <w:t>Structured Summative Assessment (SSA): Standardized Tests</w:t>
            </w:r>
            <w:r w:rsidR="00F62025">
              <w:rPr>
                <w:webHidden/>
              </w:rPr>
              <w:tab/>
            </w:r>
            <w:r w:rsidR="00F62025">
              <w:rPr>
                <w:webHidden/>
              </w:rPr>
              <w:fldChar w:fldCharType="begin"/>
            </w:r>
            <w:r w:rsidR="00F62025">
              <w:rPr>
                <w:webHidden/>
              </w:rPr>
              <w:instrText xml:space="preserve"> PAGEREF _Toc200486041 \h </w:instrText>
            </w:r>
            <w:r w:rsidR="00F62025">
              <w:rPr>
                <w:webHidden/>
              </w:rPr>
            </w:r>
            <w:r w:rsidR="00F62025">
              <w:rPr>
                <w:webHidden/>
              </w:rPr>
              <w:fldChar w:fldCharType="separate"/>
            </w:r>
            <w:r w:rsidR="00DC3231">
              <w:rPr>
                <w:webHidden/>
              </w:rPr>
              <w:t>13</w:t>
            </w:r>
            <w:r w:rsidR="00F62025">
              <w:rPr>
                <w:webHidden/>
              </w:rPr>
              <w:fldChar w:fldCharType="end"/>
            </w:r>
          </w:hyperlink>
        </w:p>
        <w:p w14:paraId="1DBD3E95" w14:textId="6E40A302" w:rsidR="00F62025" w:rsidRDefault="00A8731A">
          <w:pPr>
            <w:pStyle w:val="TM1"/>
            <w:tabs>
              <w:tab w:val="left" w:pos="1200"/>
            </w:tabs>
            <w:rPr>
              <w:rFonts w:asciiTheme="minorHAnsi" w:eastAsiaTheme="minorEastAsia" w:hAnsiTheme="minorHAnsi"/>
              <w:sz w:val="24"/>
              <w:szCs w:val="24"/>
            </w:rPr>
          </w:pPr>
          <w:hyperlink w:anchor="_Toc200486042" w:history="1">
            <w:r w:rsidR="00F62025" w:rsidRPr="00487687">
              <w:rPr>
                <w:rStyle w:val="Lienhypertexte"/>
                <w:rFonts w:eastAsia="Calibri"/>
                <w:lang w:bidi="ar-DZ"/>
              </w:rPr>
              <w:t>1.1.1.2.3.</w:t>
            </w:r>
            <w:r w:rsidR="00F62025">
              <w:rPr>
                <w:rFonts w:asciiTheme="minorHAnsi" w:eastAsiaTheme="minorEastAsia" w:hAnsiTheme="minorHAnsi"/>
                <w:sz w:val="24"/>
                <w:szCs w:val="24"/>
              </w:rPr>
              <w:tab/>
            </w:r>
            <w:r w:rsidR="00F62025" w:rsidRPr="00487687">
              <w:rPr>
                <w:rStyle w:val="Lienhypertexte"/>
                <w:rFonts w:eastAsia="Calibri"/>
                <w:lang w:bidi="ar-DZ"/>
              </w:rPr>
              <w:t>Portfolio Assessment</w:t>
            </w:r>
            <w:r w:rsidR="00F62025">
              <w:rPr>
                <w:webHidden/>
              </w:rPr>
              <w:tab/>
            </w:r>
            <w:r w:rsidR="00F62025">
              <w:rPr>
                <w:webHidden/>
              </w:rPr>
              <w:fldChar w:fldCharType="begin"/>
            </w:r>
            <w:r w:rsidR="00F62025">
              <w:rPr>
                <w:webHidden/>
              </w:rPr>
              <w:instrText xml:space="preserve"> PAGEREF _Toc200486042 \h </w:instrText>
            </w:r>
            <w:r w:rsidR="00F62025">
              <w:rPr>
                <w:webHidden/>
              </w:rPr>
            </w:r>
            <w:r w:rsidR="00F62025">
              <w:rPr>
                <w:webHidden/>
              </w:rPr>
              <w:fldChar w:fldCharType="separate"/>
            </w:r>
            <w:r w:rsidR="00DC3231">
              <w:rPr>
                <w:webHidden/>
              </w:rPr>
              <w:t>14</w:t>
            </w:r>
            <w:r w:rsidR="00F62025">
              <w:rPr>
                <w:webHidden/>
              </w:rPr>
              <w:fldChar w:fldCharType="end"/>
            </w:r>
          </w:hyperlink>
        </w:p>
        <w:p w14:paraId="0016AD87" w14:textId="4AC0BD1C" w:rsidR="00F62025" w:rsidRDefault="00A8731A">
          <w:pPr>
            <w:pStyle w:val="TM1"/>
            <w:tabs>
              <w:tab w:val="left" w:pos="960"/>
            </w:tabs>
            <w:rPr>
              <w:rFonts w:asciiTheme="minorHAnsi" w:eastAsiaTheme="minorEastAsia" w:hAnsiTheme="minorHAnsi"/>
              <w:sz w:val="24"/>
              <w:szCs w:val="24"/>
            </w:rPr>
          </w:pPr>
          <w:hyperlink w:anchor="_Toc200486043" w:history="1">
            <w:r w:rsidR="00F62025" w:rsidRPr="00487687">
              <w:rPr>
                <w:rStyle w:val="Lienhypertexte"/>
                <w:rFonts w:eastAsia="Calibri"/>
                <w:lang w:bidi="ar-DZ"/>
              </w:rPr>
              <w:t>1.1.1.3.</w:t>
            </w:r>
            <w:r w:rsidR="00F62025">
              <w:rPr>
                <w:rFonts w:asciiTheme="minorHAnsi" w:eastAsiaTheme="minorEastAsia" w:hAnsiTheme="minorHAnsi"/>
                <w:sz w:val="24"/>
                <w:szCs w:val="24"/>
              </w:rPr>
              <w:tab/>
            </w:r>
            <w:r w:rsidR="00F62025" w:rsidRPr="00487687">
              <w:rPr>
                <w:rStyle w:val="Lienhypertexte"/>
                <w:rFonts w:eastAsia="Calibri"/>
                <w:lang w:bidi="ar-DZ"/>
              </w:rPr>
              <w:t>Assessment as Learning (Self-Assessment)</w:t>
            </w:r>
            <w:r w:rsidR="00F62025">
              <w:rPr>
                <w:webHidden/>
              </w:rPr>
              <w:tab/>
            </w:r>
            <w:r w:rsidR="00F62025">
              <w:rPr>
                <w:webHidden/>
              </w:rPr>
              <w:fldChar w:fldCharType="begin"/>
            </w:r>
            <w:r w:rsidR="00F62025">
              <w:rPr>
                <w:webHidden/>
              </w:rPr>
              <w:instrText xml:space="preserve"> PAGEREF _Toc200486043 \h </w:instrText>
            </w:r>
            <w:r w:rsidR="00F62025">
              <w:rPr>
                <w:webHidden/>
              </w:rPr>
            </w:r>
            <w:r w:rsidR="00F62025">
              <w:rPr>
                <w:webHidden/>
              </w:rPr>
              <w:fldChar w:fldCharType="separate"/>
            </w:r>
            <w:r w:rsidR="00DC3231">
              <w:rPr>
                <w:webHidden/>
              </w:rPr>
              <w:t>14</w:t>
            </w:r>
            <w:r w:rsidR="00F62025">
              <w:rPr>
                <w:webHidden/>
              </w:rPr>
              <w:fldChar w:fldCharType="end"/>
            </w:r>
          </w:hyperlink>
        </w:p>
        <w:p w14:paraId="010BCDE4" w14:textId="77BEA771" w:rsidR="00F62025" w:rsidRDefault="00A8731A">
          <w:pPr>
            <w:pStyle w:val="TM1"/>
            <w:tabs>
              <w:tab w:val="left" w:pos="960"/>
            </w:tabs>
            <w:rPr>
              <w:rFonts w:asciiTheme="minorHAnsi" w:eastAsiaTheme="minorEastAsia" w:hAnsiTheme="minorHAnsi"/>
              <w:sz w:val="24"/>
              <w:szCs w:val="24"/>
            </w:rPr>
          </w:pPr>
          <w:hyperlink w:anchor="_Toc200486044" w:history="1">
            <w:r w:rsidR="00F62025" w:rsidRPr="00487687">
              <w:rPr>
                <w:rStyle w:val="Lienhypertexte"/>
                <w:rFonts w:eastAsia="Calibri"/>
                <w:lang w:bidi="ar-DZ"/>
              </w:rPr>
              <w:t>1.1.2.</w:t>
            </w:r>
            <w:r w:rsidR="00F62025">
              <w:rPr>
                <w:rFonts w:asciiTheme="minorHAnsi" w:eastAsiaTheme="minorEastAsia" w:hAnsiTheme="minorHAnsi"/>
                <w:sz w:val="24"/>
                <w:szCs w:val="24"/>
              </w:rPr>
              <w:tab/>
            </w:r>
            <w:r w:rsidR="00F62025" w:rsidRPr="00487687">
              <w:rPr>
                <w:rStyle w:val="Lienhypertexte"/>
                <w:rFonts w:eastAsia="Calibri"/>
                <w:lang w:bidi="ar-DZ"/>
              </w:rPr>
              <w:t>Assessment Literacy</w:t>
            </w:r>
            <w:r w:rsidR="00F62025">
              <w:rPr>
                <w:webHidden/>
              </w:rPr>
              <w:tab/>
            </w:r>
            <w:r w:rsidR="00F62025">
              <w:rPr>
                <w:webHidden/>
              </w:rPr>
              <w:fldChar w:fldCharType="begin"/>
            </w:r>
            <w:r w:rsidR="00F62025">
              <w:rPr>
                <w:webHidden/>
              </w:rPr>
              <w:instrText xml:space="preserve"> PAGEREF _Toc200486044 \h </w:instrText>
            </w:r>
            <w:r w:rsidR="00F62025">
              <w:rPr>
                <w:webHidden/>
              </w:rPr>
            </w:r>
            <w:r w:rsidR="00F62025">
              <w:rPr>
                <w:webHidden/>
              </w:rPr>
              <w:fldChar w:fldCharType="separate"/>
            </w:r>
            <w:r w:rsidR="00DC3231">
              <w:rPr>
                <w:webHidden/>
              </w:rPr>
              <w:t>15</w:t>
            </w:r>
            <w:r w:rsidR="00F62025">
              <w:rPr>
                <w:webHidden/>
              </w:rPr>
              <w:fldChar w:fldCharType="end"/>
            </w:r>
          </w:hyperlink>
        </w:p>
        <w:p w14:paraId="3CE65FFF" w14:textId="41E30A06" w:rsidR="00F62025" w:rsidRDefault="00A8731A">
          <w:pPr>
            <w:pStyle w:val="TM1"/>
            <w:tabs>
              <w:tab w:val="left" w:pos="960"/>
            </w:tabs>
            <w:rPr>
              <w:rFonts w:asciiTheme="minorHAnsi" w:eastAsiaTheme="minorEastAsia" w:hAnsiTheme="minorHAnsi"/>
              <w:sz w:val="24"/>
              <w:szCs w:val="24"/>
            </w:rPr>
          </w:pPr>
          <w:hyperlink w:anchor="_Toc200486045" w:history="1">
            <w:r w:rsidR="00F62025" w:rsidRPr="00487687">
              <w:rPr>
                <w:rStyle w:val="Lienhypertexte"/>
                <w:rFonts w:eastAsia="Calibri"/>
                <w:lang w:bidi="ar-DZ"/>
              </w:rPr>
              <w:t>1.1.3.</w:t>
            </w:r>
            <w:r w:rsidR="00F62025">
              <w:rPr>
                <w:rFonts w:asciiTheme="minorHAnsi" w:eastAsiaTheme="minorEastAsia" w:hAnsiTheme="minorHAnsi"/>
                <w:sz w:val="24"/>
                <w:szCs w:val="24"/>
              </w:rPr>
              <w:tab/>
            </w:r>
            <w:r w:rsidR="00F62025" w:rsidRPr="00487687">
              <w:rPr>
                <w:rStyle w:val="Lienhypertexte"/>
                <w:rFonts w:eastAsia="Calibri"/>
                <w:lang w:bidi="ar-DZ"/>
              </w:rPr>
              <w:t>Feedback and Reflection</w:t>
            </w:r>
            <w:r w:rsidR="00F62025">
              <w:rPr>
                <w:webHidden/>
              </w:rPr>
              <w:tab/>
            </w:r>
            <w:r w:rsidR="00F62025">
              <w:rPr>
                <w:webHidden/>
              </w:rPr>
              <w:fldChar w:fldCharType="begin"/>
            </w:r>
            <w:r w:rsidR="00F62025">
              <w:rPr>
                <w:webHidden/>
              </w:rPr>
              <w:instrText xml:space="preserve"> PAGEREF _Toc200486045 \h </w:instrText>
            </w:r>
            <w:r w:rsidR="00F62025">
              <w:rPr>
                <w:webHidden/>
              </w:rPr>
            </w:r>
            <w:r w:rsidR="00F62025">
              <w:rPr>
                <w:webHidden/>
              </w:rPr>
              <w:fldChar w:fldCharType="separate"/>
            </w:r>
            <w:r w:rsidR="00DC3231">
              <w:rPr>
                <w:webHidden/>
              </w:rPr>
              <w:t>16</w:t>
            </w:r>
            <w:r w:rsidR="00F62025">
              <w:rPr>
                <w:webHidden/>
              </w:rPr>
              <w:fldChar w:fldCharType="end"/>
            </w:r>
          </w:hyperlink>
        </w:p>
        <w:p w14:paraId="6CFD9BA8" w14:textId="48315700" w:rsidR="00F62025" w:rsidRDefault="00A8731A">
          <w:pPr>
            <w:pStyle w:val="TM1"/>
            <w:tabs>
              <w:tab w:val="left" w:pos="960"/>
            </w:tabs>
            <w:rPr>
              <w:rFonts w:asciiTheme="minorHAnsi" w:eastAsiaTheme="minorEastAsia" w:hAnsiTheme="minorHAnsi"/>
              <w:sz w:val="24"/>
              <w:szCs w:val="24"/>
            </w:rPr>
          </w:pPr>
          <w:hyperlink w:anchor="_Toc200486046" w:history="1">
            <w:r w:rsidR="00F62025" w:rsidRPr="00487687">
              <w:rPr>
                <w:rStyle w:val="Lienhypertexte"/>
                <w:rFonts w:eastAsia="Calibri"/>
                <w:lang w:bidi="ar-DZ"/>
              </w:rPr>
              <w:t>1.1.3.2.</w:t>
            </w:r>
            <w:r w:rsidR="00F62025">
              <w:rPr>
                <w:rFonts w:asciiTheme="minorHAnsi" w:eastAsiaTheme="minorEastAsia" w:hAnsiTheme="minorHAnsi"/>
                <w:sz w:val="24"/>
                <w:szCs w:val="24"/>
              </w:rPr>
              <w:tab/>
            </w:r>
            <w:r w:rsidR="00F62025" w:rsidRPr="00487687">
              <w:rPr>
                <w:rStyle w:val="Lienhypertexte"/>
                <w:rFonts w:eastAsia="Calibri"/>
                <w:lang w:bidi="ar-DZ"/>
              </w:rPr>
              <w:t>Peer and Mentor Feedback</w:t>
            </w:r>
            <w:r w:rsidR="00F62025">
              <w:rPr>
                <w:webHidden/>
              </w:rPr>
              <w:tab/>
            </w:r>
            <w:r w:rsidR="00F62025">
              <w:rPr>
                <w:webHidden/>
              </w:rPr>
              <w:fldChar w:fldCharType="begin"/>
            </w:r>
            <w:r w:rsidR="00F62025">
              <w:rPr>
                <w:webHidden/>
              </w:rPr>
              <w:instrText xml:space="preserve"> PAGEREF _Toc200486046 \h </w:instrText>
            </w:r>
            <w:r w:rsidR="00F62025">
              <w:rPr>
                <w:webHidden/>
              </w:rPr>
            </w:r>
            <w:r w:rsidR="00F62025">
              <w:rPr>
                <w:webHidden/>
              </w:rPr>
              <w:fldChar w:fldCharType="separate"/>
            </w:r>
            <w:r w:rsidR="00DC3231">
              <w:rPr>
                <w:webHidden/>
              </w:rPr>
              <w:t>17</w:t>
            </w:r>
            <w:r w:rsidR="00F62025">
              <w:rPr>
                <w:webHidden/>
              </w:rPr>
              <w:fldChar w:fldCharType="end"/>
            </w:r>
          </w:hyperlink>
        </w:p>
        <w:p w14:paraId="58497F61" w14:textId="596E2BA6" w:rsidR="00F62025" w:rsidRDefault="00A8731A">
          <w:pPr>
            <w:pStyle w:val="TM1"/>
            <w:tabs>
              <w:tab w:val="left" w:pos="960"/>
            </w:tabs>
            <w:rPr>
              <w:rFonts w:asciiTheme="minorHAnsi" w:eastAsiaTheme="minorEastAsia" w:hAnsiTheme="minorHAnsi"/>
              <w:sz w:val="24"/>
              <w:szCs w:val="24"/>
            </w:rPr>
          </w:pPr>
          <w:hyperlink w:anchor="_Toc200486047" w:history="1">
            <w:r w:rsidR="00F62025" w:rsidRPr="00487687">
              <w:rPr>
                <w:rStyle w:val="Lienhypertexte"/>
                <w:rFonts w:eastAsia="Calibri"/>
                <w:lang w:bidi="ar-DZ"/>
              </w:rPr>
              <w:t>1.1.3.3.</w:t>
            </w:r>
            <w:r w:rsidR="00F62025">
              <w:rPr>
                <w:rFonts w:asciiTheme="minorHAnsi" w:eastAsiaTheme="minorEastAsia" w:hAnsiTheme="minorHAnsi"/>
                <w:sz w:val="24"/>
                <w:szCs w:val="24"/>
              </w:rPr>
              <w:tab/>
            </w:r>
            <w:r w:rsidR="00F62025" w:rsidRPr="00487687">
              <w:rPr>
                <w:rStyle w:val="Lienhypertexte"/>
                <w:rFonts w:eastAsia="Calibri"/>
                <w:lang w:bidi="ar-DZ"/>
              </w:rPr>
              <w:t>Reflective Practice</w:t>
            </w:r>
            <w:r w:rsidR="00F62025">
              <w:rPr>
                <w:webHidden/>
              </w:rPr>
              <w:tab/>
            </w:r>
            <w:r w:rsidR="00F62025">
              <w:rPr>
                <w:webHidden/>
              </w:rPr>
              <w:fldChar w:fldCharType="begin"/>
            </w:r>
            <w:r w:rsidR="00F62025">
              <w:rPr>
                <w:webHidden/>
              </w:rPr>
              <w:instrText xml:space="preserve"> PAGEREF _Toc200486047 \h </w:instrText>
            </w:r>
            <w:r w:rsidR="00F62025">
              <w:rPr>
                <w:webHidden/>
              </w:rPr>
            </w:r>
            <w:r w:rsidR="00F62025">
              <w:rPr>
                <w:webHidden/>
              </w:rPr>
              <w:fldChar w:fldCharType="separate"/>
            </w:r>
            <w:r w:rsidR="00DC3231">
              <w:rPr>
                <w:webHidden/>
              </w:rPr>
              <w:t>18</w:t>
            </w:r>
            <w:r w:rsidR="00F62025">
              <w:rPr>
                <w:webHidden/>
              </w:rPr>
              <w:fldChar w:fldCharType="end"/>
            </w:r>
          </w:hyperlink>
        </w:p>
        <w:p w14:paraId="16A8961D" w14:textId="383F1CF6" w:rsidR="00F62025" w:rsidRDefault="00A8731A">
          <w:pPr>
            <w:pStyle w:val="TM1"/>
            <w:tabs>
              <w:tab w:val="left" w:pos="720"/>
            </w:tabs>
            <w:rPr>
              <w:rFonts w:asciiTheme="minorHAnsi" w:eastAsiaTheme="minorEastAsia" w:hAnsiTheme="minorHAnsi"/>
              <w:sz w:val="24"/>
              <w:szCs w:val="24"/>
            </w:rPr>
          </w:pPr>
          <w:hyperlink w:anchor="_Toc200486048" w:history="1">
            <w:r w:rsidR="00F62025" w:rsidRPr="00487687">
              <w:rPr>
                <w:rStyle w:val="Lienhypertexte"/>
                <w:rFonts w:eastAsia="Calibri"/>
                <w:lang w:bidi="ar-DZ"/>
              </w:rPr>
              <w:t>1.2.</w:t>
            </w:r>
            <w:r w:rsidR="00F62025">
              <w:rPr>
                <w:rFonts w:asciiTheme="minorHAnsi" w:eastAsiaTheme="minorEastAsia" w:hAnsiTheme="minorHAnsi"/>
                <w:sz w:val="24"/>
                <w:szCs w:val="24"/>
              </w:rPr>
              <w:tab/>
            </w:r>
            <w:r w:rsidR="00F62025" w:rsidRPr="00487687">
              <w:rPr>
                <w:rStyle w:val="Lienhypertexte"/>
                <w:rFonts w:eastAsia="Calibri"/>
                <w:lang w:bidi="ar-DZ"/>
              </w:rPr>
              <w:t>Understanding Current Teacher’s Training Needs</w:t>
            </w:r>
            <w:r w:rsidR="00F62025">
              <w:rPr>
                <w:webHidden/>
              </w:rPr>
              <w:tab/>
            </w:r>
            <w:r w:rsidR="00F62025">
              <w:rPr>
                <w:webHidden/>
              </w:rPr>
              <w:fldChar w:fldCharType="begin"/>
            </w:r>
            <w:r w:rsidR="00F62025">
              <w:rPr>
                <w:webHidden/>
              </w:rPr>
              <w:instrText xml:space="preserve"> PAGEREF _Toc200486048 \h </w:instrText>
            </w:r>
            <w:r w:rsidR="00F62025">
              <w:rPr>
                <w:webHidden/>
              </w:rPr>
            </w:r>
            <w:r w:rsidR="00F62025">
              <w:rPr>
                <w:webHidden/>
              </w:rPr>
              <w:fldChar w:fldCharType="separate"/>
            </w:r>
            <w:r w:rsidR="00DC3231">
              <w:rPr>
                <w:webHidden/>
              </w:rPr>
              <w:t>20</w:t>
            </w:r>
            <w:r w:rsidR="00F62025">
              <w:rPr>
                <w:webHidden/>
              </w:rPr>
              <w:fldChar w:fldCharType="end"/>
            </w:r>
          </w:hyperlink>
        </w:p>
        <w:p w14:paraId="5C93A343" w14:textId="019B8489" w:rsidR="00F62025" w:rsidRDefault="00A8731A">
          <w:pPr>
            <w:pStyle w:val="TM1"/>
            <w:tabs>
              <w:tab w:val="left" w:pos="720"/>
            </w:tabs>
            <w:rPr>
              <w:rFonts w:asciiTheme="minorHAnsi" w:eastAsiaTheme="minorEastAsia" w:hAnsiTheme="minorHAnsi"/>
              <w:sz w:val="24"/>
              <w:szCs w:val="24"/>
            </w:rPr>
          </w:pPr>
          <w:hyperlink w:anchor="_Toc200486049" w:history="1">
            <w:r w:rsidR="00F62025" w:rsidRPr="00487687">
              <w:rPr>
                <w:rStyle w:val="Lienhypertexte"/>
                <w:rFonts w:eastAsia="Calibri"/>
                <w:lang w:bidi="ar-DZ"/>
              </w:rPr>
              <w:t>II.</w:t>
            </w:r>
            <w:r w:rsidR="00F62025">
              <w:rPr>
                <w:rFonts w:asciiTheme="minorHAnsi" w:eastAsiaTheme="minorEastAsia" w:hAnsiTheme="minorHAnsi"/>
                <w:sz w:val="24"/>
                <w:szCs w:val="24"/>
              </w:rPr>
              <w:tab/>
            </w:r>
            <w:r w:rsidR="00F62025" w:rsidRPr="00487687">
              <w:rPr>
                <w:rStyle w:val="Lienhypertexte"/>
                <w:rFonts w:eastAsia="Calibri"/>
                <w:lang w:bidi="ar-DZ"/>
              </w:rPr>
              <w:t>Online Teacher Communities</w:t>
            </w:r>
            <w:r w:rsidR="00F62025">
              <w:rPr>
                <w:webHidden/>
              </w:rPr>
              <w:tab/>
            </w:r>
            <w:r w:rsidR="00F62025">
              <w:rPr>
                <w:webHidden/>
              </w:rPr>
              <w:fldChar w:fldCharType="begin"/>
            </w:r>
            <w:r w:rsidR="00F62025">
              <w:rPr>
                <w:webHidden/>
              </w:rPr>
              <w:instrText xml:space="preserve"> PAGEREF _Toc200486049 \h </w:instrText>
            </w:r>
            <w:r w:rsidR="00F62025">
              <w:rPr>
                <w:webHidden/>
              </w:rPr>
            </w:r>
            <w:r w:rsidR="00F62025">
              <w:rPr>
                <w:webHidden/>
              </w:rPr>
              <w:fldChar w:fldCharType="separate"/>
            </w:r>
            <w:r w:rsidR="00DC3231">
              <w:rPr>
                <w:webHidden/>
              </w:rPr>
              <w:t>23</w:t>
            </w:r>
            <w:r w:rsidR="00F62025">
              <w:rPr>
                <w:webHidden/>
              </w:rPr>
              <w:fldChar w:fldCharType="end"/>
            </w:r>
          </w:hyperlink>
        </w:p>
        <w:p w14:paraId="26EB1B2E" w14:textId="734E6302" w:rsidR="00F62025" w:rsidRDefault="00A8731A">
          <w:pPr>
            <w:pStyle w:val="TM1"/>
            <w:tabs>
              <w:tab w:val="left" w:pos="720"/>
            </w:tabs>
            <w:rPr>
              <w:rFonts w:asciiTheme="minorHAnsi" w:eastAsiaTheme="minorEastAsia" w:hAnsiTheme="minorHAnsi"/>
              <w:sz w:val="24"/>
              <w:szCs w:val="24"/>
            </w:rPr>
          </w:pPr>
          <w:hyperlink w:anchor="_Toc200486050" w:history="1">
            <w:r w:rsidR="00F62025" w:rsidRPr="00487687">
              <w:rPr>
                <w:rStyle w:val="Lienhypertexte"/>
                <w:rFonts w:eastAsia="Calibri"/>
                <w:lang w:bidi="ar-DZ"/>
              </w:rPr>
              <w:t>2.1.</w:t>
            </w:r>
            <w:r w:rsidR="00F62025">
              <w:rPr>
                <w:rFonts w:asciiTheme="minorHAnsi" w:eastAsiaTheme="minorEastAsia" w:hAnsiTheme="minorHAnsi"/>
                <w:sz w:val="24"/>
                <w:szCs w:val="24"/>
              </w:rPr>
              <w:tab/>
            </w:r>
            <w:r w:rsidR="00F62025" w:rsidRPr="00487687">
              <w:rPr>
                <w:rStyle w:val="Lienhypertexte"/>
                <w:rFonts w:eastAsia="Calibri"/>
                <w:lang w:bidi="ar-DZ"/>
              </w:rPr>
              <w:t>Definition of Online Teacher Communities (OTCs)</w:t>
            </w:r>
            <w:r w:rsidR="00F62025">
              <w:rPr>
                <w:webHidden/>
              </w:rPr>
              <w:tab/>
            </w:r>
            <w:r w:rsidR="00F62025">
              <w:rPr>
                <w:webHidden/>
              </w:rPr>
              <w:fldChar w:fldCharType="begin"/>
            </w:r>
            <w:r w:rsidR="00F62025">
              <w:rPr>
                <w:webHidden/>
              </w:rPr>
              <w:instrText xml:space="preserve"> PAGEREF _Toc200486050 \h </w:instrText>
            </w:r>
            <w:r w:rsidR="00F62025">
              <w:rPr>
                <w:webHidden/>
              </w:rPr>
            </w:r>
            <w:r w:rsidR="00F62025">
              <w:rPr>
                <w:webHidden/>
              </w:rPr>
              <w:fldChar w:fldCharType="separate"/>
            </w:r>
            <w:r w:rsidR="00DC3231">
              <w:rPr>
                <w:webHidden/>
              </w:rPr>
              <w:t>23</w:t>
            </w:r>
            <w:r w:rsidR="00F62025">
              <w:rPr>
                <w:webHidden/>
              </w:rPr>
              <w:fldChar w:fldCharType="end"/>
            </w:r>
          </w:hyperlink>
        </w:p>
        <w:p w14:paraId="247E8563" w14:textId="29D3971C" w:rsidR="00F62025" w:rsidRDefault="00A8731A">
          <w:pPr>
            <w:pStyle w:val="TM1"/>
            <w:tabs>
              <w:tab w:val="left" w:pos="720"/>
            </w:tabs>
            <w:rPr>
              <w:rFonts w:asciiTheme="minorHAnsi" w:eastAsiaTheme="minorEastAsia" w:hAnsiTheme="minorHAnsi"/>
              <w:sz w:val="24"/>
              <w:szCs w:val="24"/>
            </w:rPr>
          </w:pPr>
          <w:hyperlink w:anchor="_Toc200486051" w:history="1">
            <w:r w:rsidR="00F62025" w:rsidRPr="00487687">
              <w:rPr>
                <w:rStyle w:val="Lienhypertexte"/>
                <w:rFonts w:eastAsia="Calibri"/>
                <w:lang w:bidi="ar-DZ"/>
              </w:rPr>
              <w:t>2.2.</w:t>
            </w:r>
            <w:r w:rsidR="00F62025">
              <w:rPr>
                <w:rFonts w:asciiTheme="minorHAnsi" w:eastAsiaTheme="minorEastAsia" w:hAnsiTheme="minorHAnsi"/>
                <w:sz w:val="24"/>
                <w:szCs w:val="24"/>
              </w:rPr>
              <w:tab/>
            </w:r>
            <w:r w:rsidR="00F62025" w:rsidRPr="00487687">
              <w:rPr>
                <w:rStyle w:val="Lienhypertexte"/>
                <w:rFonts w:eastAsia="Calibri"/>
                <w:lang w:bidi="ar-DZ"/>
              </w:rPr>
              <w:t>OTCs and Professional Development</w:t>
            </w:r>
            <w:r w:rsidR="00F62025">
              <w:rPr>
                <w:webHidden/>
              </w:rPr>
              <w:tab/>
            </w:r>
            <w:r w:rsidR="00F62025">
              <w:rPr>
                <w:webHidden/>
              </w:rPr>
              <w:fldChar w:fldCharType="begin"/>
            </w:r>
            <w:r w:rsidR="00F62025">
              <w:rPr>
                <w:webHidden/>
              </w:rPr>
              <w:instrText xml:space="preserve"> PAGEREF _Toc200486051 \h </w:instrText>
            </w:r>
            <w:r w:rsidR="00F62025">
              <w:rPr>
                <w:webHidden/>
              </w:rPr>
            </w:r>
            <w:r w:rsidR="00F62025">
              <w:rPr>
                <w:webHidden/>
              </w:rPr>
              <w:fldChar w:fldCharType="separate"/>
            </w:r>
            <w:r w:rsidR="00DC3231">
              <w:rPr>
                <w:webHidden/>
              </w:rPr>
              <w:t>24</w:t>
            </w:r>
            <w:r w:rsidR="00F62025">
              <w:rPr>
                <w:webHidden/>
              </w:rPr>
              <w:fldChar w:fldCharType="end"/>
            </w:r>
          </w:hyperlink>
        </w:p>
        <w:p w14:paraId="24CFD9FE" w14:textId="29818ADE" w:rsidR="00F62025" w:rsidRDefault="00A8731A">
          <w:pPr>
            <w:pStyle w:val="TM1"/>
            <w:tabs>
              <w:tab w:val="left" w:pos="720"/>
            </w:tabs>
            <w:rPr>
              <w:rFonts w:asciiTheme="minorHAnsi" w:eastAsiaTheme="minorEastAsia" w:hAnsiTheme="minorHAnsi"/>
              <w:sz w:val="24"/>
              <w:szCs w:val="24"/>
            </w:rPr>
          </w:pPr>
          <w:hyperlink w:anchor="_Toc200486052" w:history="1">
            <w:r w:rsidR="00F62025" w:rsidRPr="00487687">
              <w:rPr>
                <w:rStyle w:val="Lienhypertexte"/>
                <w:rFonts w:eastAsia="Calibri"/>
                <w:lang w:bidi="ar-DZ"/>
              </w:rPr>
              <w:t>2.3.</w:t>
            </w:r>
            <w:r w:rsidR="00F62025">
              <w:rPr>
                <w:rFonts w:asciiTheme="minorHAnsi" w:eastAsiaTheme="minorEastAsia" w:hAnsiTheme="minorHAnsi"/>
                <w:sz w:val="24"/>
                <w:szCs w:val="24"/>
              </w:rPr>
              <w:tab/>
            </w:r>
            <w:r w:rsidR="00F62025" w:rsidRPr="00487687">
              <w:rPr>
                <w:rStyle w:val="Lienhypertexte"/>
                <w:rFonts w:eastAsia="Calibri"/>
                <w:lang w:bidi="ar-DZ"/>
              </w:rPr>
              <w:t>Synchronous and Asynchronous Learning Environments</w:t>
            </w:r>
            <w:r w:rsidR="00F62025">
              <w:rPr>
                <w:webHidden/>
              </w:rPr>
              <w:tab/>
            </w:r>
            <w:r w:rsidR="00F62025">
              <w:rPr>
                <w:webHidden/>
              </w:rPr>
              <w:fldChar w:fldCharType="begin"/>
            </w:r>
            <w:r w:rsidR="00F62025">
              <w:rPr>
                <w:webHidden/>
              </w:rPr>
              <w:instrText xml:space="preserve"> PAGEREF _Toc200486052 \h </w:instrText>
            </w:r>
            <w:r w:rsidR="00F62025">
              <w:rPr>
                <w:webHidden/>
              </w:rPr>
            </w:r>
            <w:r w:rsidR="00F62025">
              <w:rPr>
                <w:webHidden/>
              </w:rPr>
              <w:fldChar w:fldCharType="separate"/>
            </w:r>
            <w:r w:rsidR="00DC3231">
              <w:rPr>
                <w:webHidden/>
              </w:rPr>
              <w:t>26</w:t>
            </w:r>
            <w:r w:rsidR="00F62025">
              <w:rPr>
                <w:webHidden/>
              </w:rPr>
              <w:fldChar w:fldCharType="end"/>
            </w:r>
          </w:hyperlink>
        </w:p>
        <w:p w14:paraId="54EAB37F" w14:textId="7DA1E9FE" w:rsidR="00F62025" w:rsidRDefault="00A8731A">
          <w:pPr>
            <w:pStyle w:val="TM1"/>
            <w:tabs>
              <w:tab w:val="left" w:pos="720"/>
            </w:tabs>
            <w:rPr>
              <w:rFonts w:asciiTheme="minorHAnsi" w:eastAsiaTheme="minorEastAsia" w:hAnsiTheme="minorHAnsi"/>
              <w:sz w:val="24"/>
              <w:szCs w:val="24"/>
            </w:rPr>
          </w:pPr>
          <w:hyperlink w:anchor="_Toc200486053" w:history="1">
            <w:r w:rsidR="00F62025" w:rsidRPr="00487687">
              <w:rPr>
                <w:rStyle w:val="Lienhypertexte"/>
                <w:rFonts w:eastAsia="Calibri"/>
                <w:lang w:bidi="ar-DZ"/>
              </w:rPr>
              <w:t>2.4.</w:t>
            </w:r>
            <w:r w:rsidR="00F62025">
              <w:rPr>
                <w:rFonts w:asciiTheme="minorHAnsi" w:eastAsiaTheme="minorEastAsia" w:hAnsiTheme="minorHAnsi"/>
                <w:sz w:val="24"/>
                <w:szCs w:val="24"/>
              </w:rPr>
              <w:tab/>
            </w:r>
            <w:r w:rsidR="00F62025" w:rsidRPr="00487687">
              <w:rPr>
                <w:rStyle w:val="Lienhypertexte"/>
                <w:rFonts w:eastAsia="Calibri"/>
                <w:lang w:bidi="ar-DZ"/>
              </w:rPr>
              <w:t>Holistic Approach</w:t>
            </w:r>
            <w:r w:rsidR="00F62025">
              <w:rPr>
                <w:webHidden/>
              </w:rPr>
              <w:tab/>
            </w:r>
            <w:r w:rsidR="00F62025">
              <w:rPr>
                <w:webHidden/>
              </w:rPr>
              <w:fldChar w:fldCharType="begin"/>
            </w:r>
            <w:r w:rsidR="00F62025">
              <w:rPr>
                <w:webHidden/>
              </w:rPr>
              <w:instrText xml:space="preserve"> PAGEREF _Toc200486053 \h </w:instrText>
            </w:r>
            <w:r w:rsidR="00F62025">
              <w:rPr>
                <w:webHidden/>
              </w:rPr>
            </w:r>
            <w:r w:rsidR="00F62025">
              <w:rPr>
                <w:webHidden/>
              </w:rPr>
              <w:fldChar w:fldCharType="separate"/>
            </w:r>
            <w:r w:rsidR="00DC3231">
              <w:rPr>
                <w:webHidden/>
              </w:rPr>
              <w:t>28</w:t>
            </w:r>
            <w:r w:rsidR="00F62025">
              <w:rPr>
                <w:webHidden/>
              </w:rPr>
              <w:fldChar w:fldCharType="end"/>
            </w:r>
          </w:hyperlink>
        </w:p>
        <w:p w14:paraId="343DE697" w14:textId="12CC96B1" w:rsidR="00F62025" w:rsidRDefault="00A8731A">
          <w:pPr>
            <w:pStyle w:val="TM1"/>
            <w:tabs>
              <w:tab w:val="left" w:pos="960"/>
            </w:tabs>
            <w:rPr>
              <w:rFonts w:asciiTheme="minorHAnsi" w:eastAsiaTheme="minorEastAsia" w:hAnsiTheme="minorHAnsi"/>
              <w:sz w:val="24"/>
              <w:szCs w:val="24"/>
            </w:rPr>
          </w:pPr>
          <w:hyperlink w:anchor="_Toc200486055" w:history="1">
            <w:r w:rsidR="00F62025" w:rsidRPr="00487687">
              <w:rPr>
                <w:rStyle w:val="Lienhypertexte"/>
                <w:rFonts w:eastAsia="Calibri"/>
                <w:lang w:bidi="ar-DZ"/>
              </w:rPr>
              <w:t>2.4.1.</w:t>
            </w:r>
            <w:r w:rsidR="00F62025">
              <w:rPr>
                <w:rFonts w:asciiTheme="minorHAnsi" w:eastAsiaTheme="minorEastAsia" w:hAnsiTheme="minorHAnsi"/>
                <w:sz w:val="24"/>
                <w:szCs w:val="24"/>
              </w:rPr>
              <w:tab/>
            </w:r>
            <w:r w:rsidR="00F62025" w:rsidRPr="00487687">
              <w:rPr>
                <w:rStyle w:val="Lienhypertexte"/>
                <w:rFonts w:eastAsia="Calibri"/>
                <w:lang w:bidi="ar-DZ"/>
              </w:rPr>
              <w:t>Collaborative Culture</w:t>
            </w:r>
            <w:r w:rsidR="00F62025">
              <w:rPr>
                <w:webHidden/>
              </w:rPr>
              <w:tab/>
            </w:r>
            <w:r w:rsidR="00F62025">
              <w:rPr>
                <w:webHidden/>
              </w:rPr>
              <w:fldChar w:fldCharType="begin"/>
            </w:r>
            <w:r w:rsidR="00F62025">
              <w:rPr>
                <w:webHidden/>
              </w:rPr>
              <w:instrText xml:space="preserve"> PAGEREF _Toc200486055 \h </w:instrText>
            </w:r>
            <w:r w:rsidR="00F62025">
              <w:rPr>
                <w:webHidden/>
              </w:rPr>
            </w:r>
            <w:r w:rsidR="00F62025">
              <w:rPr>
                <w:webHidden/>
              </w:rPr>
              <w:fldChar w:fldCharType="separate"/>
            </w:r>
            <w:r w:rsidR="00DC3231">
              <w:rPr>
                <w:webHidden/>
              </w:rPr>
              <w:t>28</w:t>
            </w:r>
            <w:r w:rsidR="00F62025">
              <w:rPr>
                <w:webHidden/>
              </w:rPr>
              <w:fldChar w:fldCharType="end"/>
            </w:r>
          </w:hyperlink>
        </w:p>
        <w:p w14:paraId="45C40FBD" w14:textId="03962F94" w:rsidR="00F62025" w:rsidRDefault="00A8731A">
          <w:pPr>
            <w:pStyle w:val="TM1"/>
            <w:tabs>
              <w:tab w:val="left" w:pos="960"/>
            </w:tabs>
            <w:rPr>
              <w:rFonts w:asciiTheme="minorHAnsi" w:eastAsiaTheme="minorEastAsia" w:hAnsiTheme="minorHAnsi"/>
              <w:sz w:val="24"/>
              <w:szCs w:val="24"/>
            </w:rPr>
          </w:pPr>
          <w:hyperlink w:anchor="_Toc200486056" w:history="1">
            <w:r w:rsidR="00F62025" w:rsidRPr="00487687">
              <w:rPr>
                <w:rStyle w:val="Lienhypertexte"/>
                <w:rFonts w:eastAsia="Calibri"/>
                <w:lang w:bidi="ar-DZ"/>
              </w:rPr>
              <w:t>2.4.2.</w:t>
            </w:r>
            <w:r w:rsidR="00F62025">
              <w:rPr>
                <w:rFonts w:asciiTheme="minorHAnsi" w:eastAsiaTheme="minorEastAsia" w:hAnsiTheme="minorHAnsi"/>
                <w:sz w:val="24"/>
                <w:szCs w:val="24"/>
              </w:rPr>
              <w:tab/>
            </w:r>
            <w:r w:rsidR="00F62025" w:rsidRPr="00487687">
              <w:rPr>
                <w:rStyle w:val="Lienhypertexte"/>
                <w:rFonts w:eastAsia="Calibri"/>
                <w:lang w:bidi="ar-DZ"/>
              </w:rPr>
              <w:t>Inclusivity and Equity</w:t>
            </w:r>
            <w:r w:rsidR="00F62025">
              <w:rPr>
                <w:webHidden/>
              </w:rPr>
              <w:tab/>
            </w:r>
            <w:r w:rsidR="00F62025">
              <w:rPr>
                <w:webHidden/>
              </w:rPr>
              <w:fldChar w:fldCharType="begin"/>
            </w:r>
            <w:r w:rsidR="00F62025">
              <w:rPr>
                <w:webHidden/>
              </w:rPr>
              <w:instrText xml:space="preserve"> PAGEREF _Toc200486056 \h </w:instrText>
            </w:r>
            <w:r w:rsidR="00F62025">
              <w:rPr>
                <w:webHidden/>
              </w:rPr>
            </w:r>
            <w:r w:rsidR="00F62025">
              <w:rPr>
                <w:webHidden/>
              </w:rPr>
              <w:fldChar w:fldCharType="separate"/>
            </w:r>
            <w:r w:rsidR="00DC3231">
              <w:rPr>
                <w:webHidden/>
              </w:rPr>
              <w:t>28</w:t>
            </w:r>
            <w:r w:rsidR="00F62025">
              <w:rPr>
                <w:webHidden/>
              </w:rPr>
              <w:fldChar w:fldCharType="end"/>
            </w:r>
          </w:hyperlink>
        </w:p>
        <w:p w14:paraId="0D9C9A2F" w14:textId="67F3929D" w:rsidR="00F62025" w:rsidRDefault="00A8731A">
          <w:pPr>
            <w:pStyle w:val="TM1"/>
            <w:tabs>
              <w:tab w:val="left" w:pos="960"/>
            </w:tabs>
            <w:rPr>
              <w:rFonts w:asciiTheme="minorHAnsi" w:eastAsiaTheme="minorEastAsia" w:hAnsiTheme="minorHAnsi"/>
              <w:sz w:val="24"/>
              <w:szCs w:val="24"/>
            </w:rPr>
          </w:pPr>
          <w:hyperlink w:anchor="_Toc200486057" w:history="1">
            <w:r w:rsidR="00F62025" w:rsidRPr="00487687">
              <w:rPr>
                <w:rStyle w:val="Lienhypertexte"/>
                <w:rFonts w:eastAsia="Calibri"/>
                <w:lang w:bidi="ar-DZ"/>
              </w:rPr>
              <w:t>2.4.3.</w:t>
            </w:r>
            <w:r w:rsidR="00F62025">
              <w:rPr>
                <w:rFonts w:asciiTheme="minorHAnsi" w:eastAsiaTheme="minorEastAsia" w:hAnsiTheme="minorHAnsi"/>
                <w:sz w:val="24"/>
                <w:szCs w:val="24"/>
              </w:rPr>
              <w:tab/>
            </w:r>
            <w:r w:rsidR="00F62025" w:rsidRPr="00487687">
              <w:rPr>
                <w:rStyle w:val="Lienhypertexte"/>
                <w:rFonts w:eastAsia="Calibri"/>
                <w:lang w:bidi="ar-DZ"/>
              </w:rPr>
              <w:t>Peer Mentoring</w:t>
            </w:r>
            <w:r w:rsidR="00F62025">
              <w:rPr>
                <w:webHidden/>
              </w:rPr>
              <w:tab/>
            </w:r>
            <w:r w:rsidR="00F62025">
              <w:rPr>
                <w:webHidden/>
              </w:rPr>
              <w:fldChar w:fldCharType="begin"/>
            </w:r>
            <w:r w:rsidR="00F62025">
              <w:rPr>
                <w:webHidden/>
              </w:rPr>
              <w:instrText xml:space="preserve"> PAGEREF _Toc200486057 \h </w:instrText>
            </w:r>
            <w:r w:rsidR="00F62025">
              <w:rPr>
                <w:webHidden/>
              </w:rPr>
            </w:r>
            <w:r w:rsidR="00F62025">
              <w:rPr>
                <w:webHidden/>
              </w:rPr>
              <w:fldChar w:fldCharType="separate"/>
            </w:r>
            <w:r w:rsidR="00DC3231">
              <w:rPr>
                <w:webHidden/>
              </w:rPr>
              <w:t>29</w:t>
            </w:r>
            <w:r w:rsidR="00F62025">
              <w:rPr>
                <w:webHidden/>
              </w:rPr>
              <w:fldChar w:fldCharType="end"/>
            </w:r>
          </w:hyperlink>
        </w:p>
        <w:p w14:paraId="4BD3AC5B" w14:textId="40C0561A" w:rsidR="00F62025" w:rsidRDefault="00A8731A">
          <w:pPr>
            <w:pStyle w:val="TM1"/>
            <w:tabs>
              <w:tab w:val="left" w:pos="720"/>
            </w:tabs>
            <w:rPr>
              <w:rFonts w:asciiTheme="minorHAnsi" w:eastAsiaTheme="minorEastAsia" w:hAnsiTheme="minorHAnsi"/>
              <w:sz w:val="24"/>
              <w:szCs w:val="24"/>
            </w:rPr>
          </w:pPr>
          <w:hyperlink w:anchor="_Toc200486058" w:history="1">
            <w:r w:rsidR="00F62025" w:rsidRPr="00487687">
              <w:rPr>
                <w:rStyle w:val="Lienhypertexte"/>
                <w:lang w:bidi="ar-DZ"/>
              </w:rPr>
              <w:t>III.</w:t>
            </w:r>
            <w:r w:rsidR="00F62025">
              <w:rPr>
                <w:rFonts w:asciiTheme="minorHAnsi" w:eastAsiaTheme="minorEastAsia" w:hAnsiTheme="minorHAnsi"/>
                <w:sz w:val="24"/>
                <w:szCs w:val="24"/>
              </w:rPr>
              <w:tab/>
            </w:r>
            <w:r w:rsidR="00F62025" w:rsidRPr="00487687">
              <w:rPr>
                <w:rStyle w:val="Lienhypertexte"/>
                <w:lang w:bidi="ar-DZ"/>
              </w:rPr>
              <w:t>Theoretical Framework:</w:t>
            </w:r>
            <w:r w:rsidR="00F62025">
              <w:rPr>
                <w:webHidden/>
              </w:rPr>
              <w:tab/>
            </w:r>
            <w:r w:rsidR="00F62025">
              <w:rPr>
                <w:webHidden/>
              </w:rPr>
              <w:fldChar w:fldCharType="begin"/>
            </w:r>
            <w:r w:rsidR="00F62025">
              <w:rPr>
                <w:webHidden/>
              </w:rPr>
              <w:instrText xml:space="preserve"> PAGEREF _Toc200486058 \h </w:instrText>
            </w:r>
            <w:r w:rsidR="00F62025">
              <w:rPr>
                <w:webHidden/>
              </w:rPr>
            </w:r>
            <w:r w:rsidR="00F62025">
              <w:rPr>
                <w:webHidden/>
              </w:rPr>
              <w:fldChar w:fldCharType="separate"/>
            </w:r>
            <w:r w:rsidR="00DC3231">
              <w:rPr>
                <w:webHidden/>
              </w:rPr>
              <w:t>29</w:t>
            </w:r>
            <w:r w:rsidR="00F62025">
              <w:rPr>
                <w:webHidden/>
              </w:rPr>
              <w:fldChar w:fldCharType="end"/>
            </w:r>
          </w:hyperlink>
        </w:p>
        <w:p w14:paraId="1287EA24" w14:textId="6D000B94" w:rsidR="00F62025" w:rsidRDefault="00A8731A">
          <w:pPr>
            <w:pStyle w:val="TM1"/>
            <w:tabs>
              <w:tab w:val="left" w:pos="720"/>
            </w:tabs>
            <w:rPr>
              <w:rFonts w:asciiTheme="minorHAnsi" w:eastAsiaTheme="minorEastAsia" w:hAnsiTheme="minorHAnsi"/>
              <w:sz w:val="24"/>
              <w:szCs w:val="24"/>
            </w:rPr>
          </w:pPr>
          <w:hyperlink w:anchor="_Toc200486059" w:history="1">
            <w:r w:rsidR="00F62025" w:rsidRPr="00487687">
              <w:rPr>
                <w:rStyle w:val="Lienhypertexte"/>
                <w:rFonts w:asciiTheme="majorBidi" w:hAnsiTheme="majorBidi" w:cstheme="majorBidi"/>
              </w:rPr>
              <w:t>IV.</w:t>
            </w:r>
            <w:r w:rsidR="00F62025">
              <w:rPr>
                <w:rFonts w:asciiTheme="minorHAnsi" w:eastAsiaTheme="minorEastAsia" w:hAnsiTheme="minorHAnsi"/>
                <w:sz w:val="24"/>
                <w:szCs w:val="24"/>
              </w:rPr>
              <w:tab/>
            </w:r>
            <w:r w:rsidR="00F62025" w:rsidRPr="00487687">
              <w:rPr>
                <w:rStyle w:val="Lienhypertexte"/>
                <w:rFonts w:asciiTheme="majorBidi" w:hAnsiTheme="majorBidi" w:cstheme="majorBidi"/>
                <w:b/>
              </w:rPr>
              <w:t>The Role of Online Teacher Communities in Developing Teachers Assessment Literacy</w:t>
            </w:r>
            <w:r w:rsidR="00F62025">
              <w:rPr>
                <w:webHidden/>
              </w:rPr>
              <w:tab/>
            </w:r>
            <w:r w:rsidR="00F62025">
              <w:rPr>
                <w:webHidden/>
              </w:rPr>
              <w:fldChar w:fldCharType="begin"/>
            </w:r>
            <w:r w:rsidR="00F62025">
              <w:rPr>
                <w:webHidden/>
              </w:rPr>
              <w:instrText xml:space="preserve"> PAGEREF _Toc200486059 \h </w:instrText>
            </w:r>
            <w:r w:rsidR="00F62025">
              <w:rPr>
                <w:webHidden/>
              </w:rPr>
            </w:r>
            <w:r w:rsidR="00F62025">
              <w:rPr>
                <w:webHidden/>
              </w:rPr>
              <w:fldChar w:fldCharType="separate"/>
            </w:r>
            <w:r w:rsidR="00DC3231">
              <w:rPr>
                <w:webHidden/>
              </w:rPr>
              <w:t>32</w:t>
            </w:r>
            <w:r w:rsidR="00F62025">
              <w:rPr>
                <w:webHidden/>
              </w:rPr>
              <w:fldChar w:fldCharType="end"/>
            </w:r>
          </w:hyperlink>
        </w:p>
        <w:p w14:paraId="032E1AB5" w14:textId="7DD84590" w:rsidR="00F62025" w:rsidRDefault="00A8731A">
          <w:pPr>
            <w:pStyle w:val="TM1"/>
            <w:rPr>
              <w:rFonts w:asciiTheme="minorHAnsi" w:eastAsiaTheme="minorEastAsia" w:hAnsiTheme="minorHAnsi"/>
              <w:sz w:val="24"/>
              <w:szCs w:val="24"/>
            </w:rPr>
          </w:pPr>
          <w:hyperlink w:anchor="_Toc200486060" w:history="1">
            <w:r w:rsidR="00F62025" w:rsidRPr="00487687">
              <w:rPr>
                <w:rStyle w:val="Lienhypertexte"/>
                <w:rFonts w:eastAsia="Calibri"/>
                <w:lang w:bidi="ar-DZ"/>
              </w:rPr>
              <w:t>Conclusion</w:t>
            </w:r>
            <w:r w:rsidR="00F62025">
              <w:rPr>
                <w:webHidden/>
              </w:rPr>
              <w:tab/>
            </w:r>
            <w:r w:rsidR="00F62025">
              <w:rPr>
                <w:webHidden/>
              </w:rPr>
              <w:fldChar w:fldCharType="begin"/>
            </w:r>
            <w:r w:rsidR="00F62025">
              <w:rPr>
                <w:webHidden/>
              </w:rPr>
              <w:instrText xml:space="preserve"> PAGEREF _Toc200486060 \h </w:instrText>
            </w:r>
            <w:r w:rsidR="00F62025">
              <w:rPr>
                <w:webHidden/>
              </w:rPr>
            </w:r>
            <w:r w:rsidR="00F62025">
              <w:rPr>
                <w:webHidden/>
              </w:rPr>
              <w:fldChar w:fldCharType="separate"/>
            </w:r>
            <w:r w:rsidR="00DC3231">
              <w:rPr>
                <w:webHidden/>
              </w:rPr>
              <w:t>35</w:t>
            </w:r>
            <w:r w:rsidR="00F62025">
              <w:rPr>
                <w:webHidden/>
              </w:rPr>
              <w:fldChar w:fldCharType="end"/>
            </w:r>
          </w:hyperlink>
        </w:p>
        <w:p w14:paraId="1AC34B00" w14:textId="0EF718CD" w:rsidR="00F62025" w:rsidRDefault="00A8731A">
          <w:pPr>
            <w:pStyle w:val="TM1"/>
          </w:pPr>
          <w:hyperlink w:anchor="_Toc200486061" w:history="1">
            <w:r w:rsidR="00F62025">
              <w:rPr>
                <w:webHidden/>
              </w:rPr>
              <w:tab/>
            </w:r>
            <w:r w:rsidR="00F62025">
              <w:rPr>
                <w:webHidden/>
              </w:rPr>
              <w:fldChar w:fldCharType="begin"/>
            </w:r>
            <w:r w:rsidR="00F62025">
              <w:rPr>
                <w:webHidden/>
              </w:rPr>
              <w:instrText xml:space="preserve"> PAGEREF _Toc200486061 \h </w:instrText>
            </w:r>
            <w:r w:rsidR="00F62025">
              <w:rPr>
                <w:webHidden/>
              </w:rPr>
            </w:r>
            <w:r w:rsidR="00F62025">
              <w:rPr>
                <w:webHidden/>
              </w:rPr>
              <w:fldChar w:fldCharType="separate"/>
            </w:r>
            <w:r w:rsidR="00DC3231">
              <w:rPr>
                <w:webHidden/>
              </w:rPr>
              <w:t>36</w:t>
            </w:r>
            <w:r w:rsidR="00F62025">
              <w:rPr>
                <w:webHidden/>
              </w:rPr>
              <w:fldChar w:fldCharType="end"/>
            </w:r>
          </w:hyperlink>
        </w:p>
        <w:p w14:paraId="040D44C8" w14:textId="71AE285A" w:rsidR="009168DB" w:rsidRDefault="009168DB" w:rsidP="009168DB">
          <w:pPr>
            <w:ind w:hanging="2"/>
            <w:jc w:val="center"/>
            <w:rPr>
              <w:rFonts w:eastAsiaTheme="minorEastAsia"/>
              <w:b/>
              <w:bCs/>
              <w:noProof/>
            </w:rPr>
          </w:pPr>
          <w:r>
            <w:rPr>
              <w:rFonts w:eastAsiaTheme="minorEastAsia"/>
              <w:b/>
              <w:bCs/>
              <w:noProof/>
            </w:rPr>
            <w:t>Chapter Two</w:t>
          </w:r>
        </w:p>
        <w:p w14:paraId="0DACF234" w14:textId="36E2E33E" w:rsidR="009168DB" w:rsidRPr="009168DB" w:rsidRDefault="00525C32" w:rsidP="009168DB">
          <w:pPr>
            <w:ind w:hanging="2"/>
            <w:jc w:val="center"/>
            <w:rPr>
              <w:rFonts w:eastAsiaTheme="minorEastAsia"/>
              <w:b/>
              <w:bCs/>
              <w:noProof/>
            </w:rPr>
          </w:pPr>
          <w:r>
            <w:rPr>
              <w:rFonts w:eastAsiaTheme="minorEastAsia"/>
              <w:b/>
              <w:bCs/>
              <w:noProof/>
            </w:rPr>
            <w:t>Methodology, Findings and Discussion</w:t>
          </w:r>
        </w:p>
        <w:p w14:paraId="51211026" w14:textId="02FFD705" w:rsidR="00F62025" w:rsidRDefault="00A8731A">
          <w:pPr>
            <w:pStyle w:val="TM1"/>
            <w:rPr>
              <w:rFonts w:asciiTheme="minorHAnsi" w:eastAsiaTheme="minorEastAsia" w:hAnsiTheme="minorHAnsi"/>
              <w:sz w:val="24"/>
              <w:szCs w:val="24"/>
            </w:rPr>
          </w:pPr>
          <w:hyperlink w:anchor="_Toc200486062" w:history="1">
            <w:r w:rsidR="00F62025" w:rsidRPr="00487687">
              <w:rPr>
                <w:rStyle w:val="Lienhypertexte"/>
                <w:b/>
                <w:bCs/>
              </w:rPr>
              <w:t>Introduction</w:t>
            </w:r>
            <w:r w:rsidR="00F62025">
              <w:rPr>
                <w:webHidden/>
              </w:rPr>
              <w:tab/>
            </w:r>
            <w:r w:rsidR="00F62025">
              <w:rPr>
                <w:webHidden/>
              </w:rPr>
              <w:fldChar w:fldCharType="begin"/>
            </w:r>
            <w:r w:rsidR="00F62025">
              <w:rPr>
                <w:webHidden/>
              </w:rPr>
              <w:instrText xml:space="preserve"> PAGEREF _Toc200486062 \h </w:instrText>
            </w:r>
            <w:r w:rsidR="00F62025">
              <w:rPr>
                <w:webHidden/>
              </w:rPr>
            </w:r>
            <w:r w:rsidR="00F62025">
              <w:rPr>
                <w:webHidden/>
              </w:rPr>
              <w:fldChar w:fldCharType="separate"/>
            </w:r>
            <w:r w:rsidR="00DC3231">
              <w:rPr>
                <w:webHidden/>
              </w:rPr>
              <w:t>37</w:t>
            </w:r>
            <w:r w:rsidR="00F62025">
              <w:rPr>
                <w:webHidden/>
              </w:rPr>
              <w:fldChar w:fldCharType="end"/>
            </w:r>
          </w:hyperlink>
        </w:p>
        <w:p w14:paraId="7C7567C7" w14:textId="126B7326" w:rsidR="00F62025" w:rsidRDefault="00A8731A">
          <w:pPr>
            <w:pStyle w:val="TM1"/>
            <w:tabs>
              <w:tab w:val="left" w:pos="720"/>
            </w:tabs>
            <w:rPr>
              <w:rFonts w:asciiTheme="minorHAnsi" w:eastAsiaTheme="minorEastAsia" w:hAnsiTheme="minorHAnsi"/>
              <w:sz w:val="24"/>
              <w:szCs w:val="24"/>
            </w:rPr>
          </w:pPr>
          <w:hyperlink w:anchor="_Toc200486063" w:history="1">
            <w:r w:rsidR="00F62025" w:rsidRPr="00487687">
              <w:rPr>
                <w:rStyle w:val="Lienhypertexte"/>
                <w:lang w:bidi="ar-DZ"/>
              </w:rPr>
              <w:t>2.1.</w:t>
            </w:r>
            <w:r w:rsidR="00F62025">
              <w:rPr>
                <w:rFonts w:asciiTheme="minorHAnsi" w:eastAsiaTheme="minorEastAsia" w:hAnsiTheme="minorHAnsi"/>
                <w:sz w:val="24"/>
                <w:szCs w:val="24"/>
              </w:rPr>
              <w:tab/>
            </w:r>
            <w:r w:rsidR="00F62025" w:rsidRPr="00487687">
              <w:rPr>
                <w:rStyle w:val="Lienhypertexte"/>
                <w:rFonts w:eastAsia="Calibri"/>
                <w:lang w:bidi="ar-DZ"/>
              </w:rPr>
              <w:t>Methodology and Research Design</w:t>
            </w:r>
            <w:r w:rsidR="00F62025">
              <w:rPr>
                <w:webHidden/>
              </w:rPr>
              <w:tab/>
            </w:r>
            <w:r w:rsidR="00F62025">
              <w:rPr>
                <w:webHidden/>
              </w:rPr>
              <w:fldChar w:fldCharType="begin"/>
            </w:r>
            <w:r w:rsidR="00F62025">
              <w:rPr>
                <w:webHidden/>
              </w:rPr>
              <w:instrText xml:space="preserve"> PAGEREF _Toc200486063 \h </w:instrText>
            </w:r>
            <w:r w:rsidR="00F62025">
              <w:rPr>
                <w:webHidden/>
              </w:rPr>
            </w:r>
            <w:r w:rsidR="00F62025">
              <w:rPr>
                <w:webHidden/>
              </w:rPr>
              <w:fldChar w:fldCharType="separate"/>
            </w:r>
            <w:r w:rsidR="00DC3231">
              <w:rPr>
                <w:webHidden/>
              </w:rPr>
              <w:t>37</w:t>
            </w:r>
            <w:r w:rsidR="00F62025">
              <w:rPr>
                <w:webHidden/>
              </w:rPr>
              <w:fldChar w:fldCharType="end"/>
            </w:r>
          </w:hyperlink>
        </w:p>
        <w:p w14:paraId="3F1B45AA" w14:textId="455B9D0F" w:rsidR="00F62025" w:rsidRDefault="00A8731A">
          <w:pPr>
            <w:pStyle w:val="TM1"/>
            <w:tabs>
              <w:tab w:val="left" w:pos="960"/>
            </w:tabs>
            <w:rPr>
              <w:rFonts w:asciiTheme="minorHAnsi" w:eastAsiaTheme="minorEastAsia" w:hAnsiTheme="minorHAnsi"/>
              <w:sz w:val="24"/>
              <w:szCs w:val="24"/>
            </w:rPr>
          </w:pPr>
          <w:hyperlink w:anchor="_Toc200486064" w:history="1">
            <w:r w:rsidR="00F62025" w:rsidRPr="00487687">
              <w:rPr>
                <w:rStyle w:val="Lienhypertexte"/>
                <w:rFonts w:eastAsia="Calibri"/>
                <w:lang w:bidi="ar-DZ"/>
              </w:rPr>
              <w:t>2.1.1.</w:t>
            </w:r>
            <w:r w:rsidR="00F62025">
              <w:rPr>
                <w:rFonts w:asciiTheme="minorHAnsi" w:eastAsiaTheme="minorEastAsia" w:hAnsiTheme="minorHAnsi"/>
                <w:sz w:val="24"/>
                <w:szCs w:val="24"/>
              </w:rPr>
              <w:tab/>
            </w:r>
            <w:r w:rsidR="00F62025" w:rsidRPr="00487687">
              <w:rPr>
                <w:rStyle w:val="Lienhypertexte"/>
                <w:rFonts w:eastAsia="Calibri"/>
                <w:lang w:bidi="ar-DZ"/>
              </w:rPr>
              <w:t>Method:</w:t>
            </w:r>
            <w:r w:rsidR="00F62025">
              <w:rPr>
                <w:webHidden/>
              </w:rPr>
              <w:tab/>
            </w:r>
            <w:r w:rsidR="00F62025">
              <w:rPr>
                <w:webHidden/>
              </w:rPr>
              <w:fldChar w:fldCharType="begin"/>
            </w:r>
            <w:r w:rsidR="00F62025">
              <w:rPr>
                <w:webHidden/>
              </w:rPr>
              <w:instrText xml:space="preserve"> PAGEREF _Toc200486064 \h </w:instrText>
            </w:r>
            <w:r w:rsidR="00F62025">
              <w:rPr>
                <w:webHidden/>
              </w:rPr>
            </w:r>
            <w:r w:rsidR="00F62025">
              <w:rPr>
                <w:webHidden/>
              </w:rPr>
              <w:fldChar w:fldCharType="separate"/>
            </w:r>
            <w:r w:rsidR="00DC3231">
              <w:rPr>
                <w:webHidden/>
              </w:rPr>
              <w:t>37</w:t>
            </w:r>
            <w:r w:rsidR="00F62025">
              <w:rPr>
                <w:webHidden/>
              </w:rPr>
              <w:fldChar w:fldCharType="end"/>
            </w:r>
          </w:hyperlink>
        </w:p>
        <w:p w14:paraId="144C54B7" w14:textId="66B432FA" w:rsidR="00F62025" w:rsidRDefault="00A8731A">
          <w:pPr>
            <w:pStyle w:val="TM1"/>
            <w:tabs>
              <w:tab w:val="left" w:pos="960"/>
            </w:tabs>
            <w:rPr>
              <w:rFonts w:asciiTheme="minorHAnsi" w:eastAsiaTheme="minorEastAsia" w:hAnsiTheme="minorHAnsi"/>
              <w:sz w:val="24"/>
              <w:szCs w:val="24"/>
            </w:rPr>
          </w:pPr>
          <w:hyperlink w:anchor="_Toc200486065" w:history="1">
            <w:r w:rsidR="00F62025" w:rsidRPr="00487687">
              <w:rPr>
                <w:rStyle w:val="Lienhypertexte"/>
                <w:rFonts w:eastAsia="Calibri"/>
                <w:lang w:bidi="ar-DZ"/>
              </w:rPr>
              <w:t>2.1.2.</w:t>
            </w:r>
            <w:r w:rsidR="00F62025">
              <w:rPr>
                <w:rFonts w:asciiTheme="minorHAnsi" w:eastAsiaTheme="minorEastAsia" w:hAnsiTheme="minorHAnsi"/>
                <w:sz w:val="24"/>
                <w:szCs w:val="24"/>
              </w:rPr>
              <w:tab/>
            </w:r>
            <w:r w:rsidR="00F62025" w:rsidRPr="00487687">
              <w:rPr>
                <w:rStyle w:val="Lienhypertexte"/>
                <w:rFonts w:eastAsia="Calibri"/>
                <w:lang w:bidi="ar-DZ"/>
              </w:rPr>
              <w:t>The population and study sample:</w:t>
            </w:r>
            <w:r w:rsidR="00F62025">
              <w:rPr>
                <w:webHidden/>
              </w:rPr>
              <w:tab/>
            </w:r>
            <w:r w:rsidR="00F62025">
              <w:rPr>
                <w:webHidden/>
              </w:rPr>
              <w:fldChar w:fldCharType="begin"/>
            </w:r>
            <w:r w:rsidR="00F62025">
              <w:rPr>
                <w:webHidden/>
              </w:rPr>
              <w:instrText xml:space="preserve"> PAGEREF _Toc200486065 \h </w:instrText>
            </w:r>
            <w:r w:rsidR="00F62025">
              <w:rPr>
                <w:webHidden/>
              </w:rPr>
            </w:r>
            <w:r w:rsidR="00F62025">
              <w:rPr>
                <w:webHidden/>
              </w:rPr>
              <w:fldChar w:fldCharType="separate"/>
            </w:r>
            <w:r w:rsidR="00DC3231">
              <w:rPr>
                <w:webHidden/>
              </w:rPr>
              <w:t>38</w:t>
            </w:r>
            <w:r w:rsidR="00F62025">
              <w:rPr>
                <w:webHidden/>
              </w:rPr>
              <w:fldChar w:fldCharType="end"/>
            </w:r>
          </w:hyperlink>
        </w:p>
        <w:p w14:paraId="4F5AAEAC" w14:textId="7252ED4B" w:rsidR="00F62025" w:rsidRDefault="00A8731A">
          <w:pPr>
            <w:pStyle w:val="TM1"/>
            <w:tabs>
              <w:tab w:val="left" w:pos="960"/>
            </w:tabs>
            <w:rPr>
              <w:rFonts w:asciiTheme="minorHAnsi" w:eastAsiaTheme="minorEastAsia" w:hAnsiTheme="minorHAnsi"/>
              <w:sz w:val="24"/>
              <w:szCs w:val="24"/>
            </w:rPr>
          </w:pPr>
          <w:hyperlink w:anchor="_Toc200486066" w:history="1">
            <w:r w:rsidR="00F62025" w:rsidRPr="00487687">
              <w:rPr>
                <w:rStyle w:val="Lienhypertexte"/>
                <w:rFonts w:eastAsia="Calibri"/>
                <w:lang w:bidi="ar-DZ"/>
              </w:rPr>
              <w:t>2.1.3.</w:t>
            </w:r>
            <w:r w:rsidR="00F62025">
              <w:rPr>
                <w:rFonts w:asciiTheme="minorHAnsi" w:eastAsiaTheme="minorEastAsia" w:hAnsiTheme="minorHAnsi"/>
                <w:sz w:val="24"/>
                <w:szCs w:val="24"/>
              </w:rPr>
              <w:tab/>
            </w:r>
            <w:r w:rsidR="00F62025" w:rsidRPr="00487687">
              <w:rPr>
                <w:rStyle w:val="Lienhypertexte"/>
                <w:rFonts w:eastAsia="Calibri"/>
                <w:lang w:bidi="ar-DZ"/>
              </w:rPr>
              <w:t>The Study Setting</w:t>
            </w:r>
            <w:r w:rsidR="00F62025">
              <w:rPr>
                <w:webHidden/>
              </w:rPr>
              <w:tab/>
            </w:r>
            <w:r w:rsidR="00F62025">
              <w:rPr>
                <w:webHidden/>
              </w:rPr>
              <w:fldChar w:fldCharType="begin"/>
            </w:r>
            <w:r w:rsidR="00F62025">
              <w:rPr>
                <w:webHidden/>
              </w:rPr>
              <w:instrText xml:space="preserve"> PAGEREF _Toc200486066 \h </w:instrText>
            </w:r>
            <w:r w:rsidR="00F62025">
              <w:rPr>
                <w:webHidden/>
              </w:rPr>
            </w:r>
            <w:r w:rsidR="00F62025">
              <w:rPr>
                <w:webHidden/>
              </w:rPr>
              <w:fldChar w:fldCharType="separate"/>
            </w:r>
            <w:r w:rsidR="00DC3231">
              <w:rPr>
                <w:webHidden/>
              </w:rPr>
              <w:t>39</w:t>
            </w:r>
            <w:r w:rsidR="00F62025">
              <w:rPr>
                <w:webHidden/>
              </w:rPr>
              <w:fldChar w:fldCharType="end"/>
            </w:r>
          </w:hyperlink>
        </w:p>
        <w:p w14:paraId="64EBCD2E" w14:textId="56FBDA65" w:rsidR="00F62025" w:rsidRDefault="00A8731A">
          <w:pPr>
            <w:pStyle w:val="TM1"/>
            <w:tabs>
              <w:tab w:val="left" w:pos="960"/>
            </w:tabs>
            <w:rPr>
              <w:rFonts w:asciiTheme="minorHAnsi" w:eastAsiaTheme="minorEastAsia" w:hAnsiTheme="minorHAnsi"/>
              <w:sz w:val="24"/>
              <w:szCs w:val="24"/>
            </w:rPr>
          </w:pPr>
          <w:hyperlink w:anchor="_Toc200486067" w:history="1">
            <w:r w:rsidR="00F62025" w:rsidRPr="00487687">
              <w:rPr>
                <w:rStyle w:val="Lienhypertexte"/>
                <w:rFonts w:eastAsia="Calibri"/>
                <w:lang w:bidi="ar-DZ"/>
              </w:rPr>
              <w:t>2.1.4.</w:t>
            </w:r>
            <w:r w:rsidR="00F62025">
              <w:rPr>
                <w:rFonts w:asciiTheme="minorHAnsi" w:eastAsiaTheme="minorEastAsia" w:hAnsiTheme="minorHAnsi"/>
                <w:sz w:val="24"/>
                <w:szCs w:val="24"/>
              </w:rPr>
              <w:tab/>
            </w:r>
            <w:r w:rsidR="00F62025" w:rsidRPr="00487687">
              <w:rPr>
                <w:rStyle w:val="Lienhypertexte"/>
                <w:rFonts w:eastAsia="Calibri"/>
                <w:lang w:bidi="ar-DZ"/>
              </w:rPr>
              <w:t>Data Collection Tools</w:t>
            </w:r>
            <w:r w:rsidR="00F62025">
              <w:rPr>
                <w:webHidden/>
              </w:rPr>
              <w:tab/>
            </w:r>
            <w:r w:rsidR="00F62025">
              <w:rPr>
                <w:webHidden/>
              </w:rPr>
              <w:fldChar w:fldCharType="begin"/>
            </w:r>
            <w:r w:rsidR="00F62025">
              <w:rPr>
                <w:webHidden/>
              </w:rPr>
              <w:instrText xml:space="preserve"> PAGEREF _Toc200486067 \h </w:instrText>
            </w:r>
            <w:r w:rsidR="00F62025">
              <w:rPr>
                <w:webHidden/>
              </w:rPr>
            </w:r>
            <w:r w:rsidR="00F62025">
              <w:rPr>
                <w:webHidden/>
              </w:rPr>
              <w:fldChar w:fldCharType="separate"/>
            </w:r>
            <w:r w:rsidR="00DC3231">
              <w:rPr>
                <w:webHidden/>
              </w:rPr>
              <w:t>40</w:t>
            </w:r>
            <w:r w:rsidR="00F62025">
              <w:rPr>
                <w:webHidden/>
              </w:rPr>
              <w:fldChar w:fldCharType="end"/>
            </w:r>
          </w:hyperlink>
        </w:p>
        <w:p w14:paraId="452B4F9A" w14:textId="7D4CEA1C" w:rsidR="00F62025" w:rsidRDefault="00A8731A">
          <w:pPr>
            <w:pStyle w:val="TM1"/>
            <w:tabs>
              <w:tab w:val="left" w:pos="960"/>
            </w:tabs>
            <w:rPr>
              <w:rFonts w:asciiTheme="minorHAnsi" w:eastAsiaTheme="minorEastAsia" w:hAnsiTheme="minorHAnsi"/>
              <w:sz w:val="24"/>
              <w:szCs w:val="24"/>
            </w:rPr>
          </w:pPr>
          <w:hyperlink w:anchor="_Toc200486068" w:history="1">
            <w:r w:rsidR="00F62025" w:rsidRPr="00487687">
              <w:rPr>
                <w:rStyle w:val="Lienhypertexte"/>
                <w:rFonts w:eastAsia="Calibri"/>
                <w:lang w:bidi="ar-DZ"/>
              </w:rPr>
              <w:t>2.1.4.1.</w:t>
            </w:r>
            <w:r w:rsidR="00F62025">
              <w:rPr>
                <w:rFonts w:asciiTheme="minorHAnsi" w:eastAsiaTheme="minorEastAsia" w:hAnsiTheme="minorHAnsi"/>
                <w:sz w:val="24"/>
                <w:szCs w:val="24"/>
              </w:rPr>
              <w:tab/>
            </w:r>
            <w:r w:rsidR="00F62025" w:rsidRPr="00487687">
              <w:rPr>
                <w:rStyle w:val="Lienhypertexte"/>
                <w:rFonts w:eastAsia="Calibri"/>
                <w:lang w:bidi="ar-DZ"/>
              </w:rPr>
              <w:t>Platform Observation</w:t>
            </w:r>
            <w:r w:rsidR="00F62025">
              <w:rPr>
                <w:webHidden/>
              </w:rPr>
              <w:tab/>
            </w:r>
            <w:r w:rsidR="00F62025">
              <w:rPr>
                <w:webHidden/>
              </w:rPr>
              <w:fldChar w:fldCharType="begin"/>
            </w:r>
            <w:r w:rsidR="00F62025">
              <w:rPr>
                <w:webHidden/>
              </w:rPr>
              <w:instrText xml:space="preserve"> PAGEREF _Toc200486068 \h </w:instrText>
            </w:r>
            <w:r w:rsidR="00F62025">
              <w:rPr>
                <w:webHidden/>
              </w:rPr>
            </w:r>
            <w:r w:rsidR="00F62025">
              <w:rPr>
                <w:webHidden/>
              </w:rPr>
              <w:fldChar w:fldCharType="separate"/>
            </w:r>
            <w:r w:rsidR="00DC3231">
              <w:rPr>
                <w:webHidden/>
              </w:rPr>
              <w:t>40</w:t>
            </w:r>
            <w:r w:rsidR="00F62025">
              <w:rPr>
                <w:webHidden/>
              </w:rPr>
              <w:fldChar w:fldCharType="end"/>
            </w:r>
          </w:hyperlink>
        </w:p>
        <w:p w14:paraId="2999A462" w14:textId="3D0BE2B6" w:rsidR="00F62025" w:rsidRDefault="00A8731A">
          <w:pPr>
            <w:pStyle w:val="TM1"/>
            <w:tabs>
              <w:tab w:val="left" w:pos="960"/>
            </w:tabs>
            <w:rPr>
              <w:rFonts w:asciiTheme="minorHAnsi" w:eastAsiaTheme="minorEastAsia" w:hAnsiTheme="minorHAnsi"/>
              <w:sz w:val="24"/>
              <w:szCs w:val="24"/>
            </w:rPr>
          </w:pPr>
          <w:hyperlink w:anchor="_Toc200486069" w:history="1">
            <w:r w:rsidR="00F62025" w:rsidRPr="00487687">
              <w:rPr>
                <w:rStyle w:val="Lienhypertexte"/>
                <w:rFonts w:eastAsia="Calibri"/>
                <w:lang w:bidi="ar-DZ"/>
              </w:rPr>
              <w:t>2.1.4.2.</w:t>
            </w:r>
            <w:r w:rsidR="00F62025">
              <w:rPr>
                <w:rFonts w:asciiTheme="minorHAnsi" w:eastAsiaTheme="minorEastAsia" w:hAnsiTheme="minorHAnsi"/>
                <w:sz w:val="24"/>
                <w:szCs w:val="24"/>
              </w:rPr>
              <w:tab/>
            </w:r>
            <w:r w:rsidR="00F62025" w:rsidRPr="00487687">
              <w:rPr>
                <w:rStyle w:val="Lienhypertexte"/>
                <w:rFonts w:eastAsia="Calibri"/>
                <w:lang w:bidi="ar-DZ"/>
              </w:rPr>
              <w:t>The Interviews</w:t>
            </w:r>
            <w:r w:rsidR="00F62025">
              <w:rPr>
                <w:webHidden/>
              </w:rPr>
              <w:tab/>
            </w:r>
            <w:r w:rsidR="00F62025">
              <w:rPr>
                <w:webHidden/>
              </w:rPr>
              <w:fldChar w:fldCharType="begin"/>
            </w:r>
            <w:r w:rsidR="00F62025">
              <w:rPr>
                <w:webHidden/>
              </w:rPr>
              <w:instrText xml:space="preserve"> PAGEREF _Toc200486069 \h </w:instrText>
            </w:r>
            <w:r w:rsidR="00F62025">
              <w:rPr>
                <w:webHidden/>
              </w:rPr>
            </w:r>
            <w:r w:rsidR="00F62025">
              <w:rPr>
                <w:webHidden/>
              </w:rPr>
              <w:fldChar w:fldCharType="separate"/>
            </w:r>
            <w:r w:rsidR="00DC3231">
              <w:rPr>
                <w:webHidden/>
              </w:rPr>
              <w:t>41</w:t>
            </w:r>
            <w:r w:rsidR="00F62025">
              <w:rPr>
                <w:webHidden/>
              </w:rPr>
              <w:fldChar w:fldCharType="end"/>
            </w:r>
          </w:hyperlink>
        </w:p>
        <w:p w14:paraId="06440A7D" w14:textId="3CF53B8D" w:rsidR="00F62025" w:rsidRDefault="00A8731A">
          <w:pPr>
            <w:pStyle w:val="TM1"/>
            <w:tabs>
              <w:tab w:val="left" w:pos="960"/>
            </w:tabs>
            <w:rPr>
              <w:rFonts w:asciiTheme="minorHAnsi" w:eastAsiaTheme="minorEastAsia" w:hAnsiTheme="minorHAnsi"/>
              <w:sz w:val="24"/>
              <w:szCs w:val="24"/>
            </w:rPr>
          </w:pPr>
          <w:hyperlink w:anchor="_Toc200486070" w:history="1">
            <w:r w:rsidR="00F62025" w:rsidRPr="00487687">
              <w:rPr>
                <w:rStyle w:val="Lienhypertexte"/>
                <w:rFonts w:eastAsia="Calibri"/>
                <w:lang w:bidi="ar-DZ"/>
              </w:rPr>
              <w:t>2.1.4.3.</w:t>
            </w:r>
            <w:r w:rsidR="00F62025">
              <w:rPr>
                <w:rFonts w:asciiTheme="minorHAnsi" w:eastAsiaTheme="minorEastAsia" w:hAnsiTheme="minorHAnsi"/>
                <w:sz w:val="24"/>
                <w:szCs w:val="24"/>
              </w:rPr>
              <w:tab/>
            </w:r>
            <w:r w:rsidR="00F62025" w:rsidRPr="00487687">
              <w:rPr>
                <w:rStyle w:val="Lienhypertexte"/>
                <w:rFonts w:eastAsia="Calibri"/>
                <w:lang w:bidi="ar-DZ"/>
              </w:rPr>
              <w:t>The Teachers’ Questionnaire</w:t>
            </w:r>
            <w:r w:rsidR="00F62025">
              <w:rPr>
                <w:webHidden/>
              </w:rPr>
              <w:tab/>
            </w:r>
            <w:r w:rsidR="00F62025">
              <w:rPr>
                <w:webHidden/>
              </w:rPr>
              <w:fldChar w:fldCharType="begin"/>
            </w:r>
            <w:r w:rsidR="00F62025">
              <w:rPr>
                <w:webHidden/>
              </w:rPr>
              <w:instrText xml:space="preserve"> PAGEREF _Toc200486070 \h </w:instrText>
            </w:r>
            <w:r w:rsidR="00F62025">
              <w:rPr>
                <w:webHidden/>
              </w:rPr>
            </w:r>
            <w:r w:rsidR="00F62025">
              <w:rPr>
                <w:webHidden/>
              </w:rPr>
              <w:fldChar w:fldCharType="separate"/>
            </w:r>
            <w:r w:rsidR="00DC3231">
              <w:rPr>
                <w:webHidden/>
              </w:rPr>
              <w:t>42</w:t>
            </w:r>
            <w:r w:rsidR="00F62025">
              <w:rPr>
                <w:webHidden/>
              </w:rPr>
              <w:fldChar w:fldCharType="end"/>
            </w:r>
          </w:hyperlink>
        </w:p>
        <w:p w14:paraId="7B530A70" w14:textId="6EA1668B" w:rsidR="00F62025" w:rsidRDefault="00A8731A">
          <w:pPr>
            <w:pStyle w:val="TM1"/>
            <w:tabs>
              <w:tab w:val="left" w:pos="1200"/>
            </w:tabs>
            <w:rPr>
              <w:rFonts w:asciiTheme="minorHAnsi" w:eastAsiaTheme="minorEastAsia" w:hAnsiTheme="minorHAnsi"/>
              <w:sz w:val="24"/>
              <w:szCs w:val="24"/>
            </w:rPr>
          </w:pPr>
          <w:hyperlink w:anchor="_Toc200486071" w:history="1">
            <w:r w:rsidR="00F62025" w:rsidRPr="00487687">
              <w:rPr>
                <w:rStyle w:val="Lienhypertexte"/>
                <w:rFonts w:eastAsia="Calibri"/>
                <w:lang w:bidi="ar-DZ"/>
              </w:rPr>
              <w:t>2.1.4.3.1.</w:t>
            </w:r>
            <w:r w:rsidR="00F62025">
              <w:rPr>
                <w:rFonts w:asciiTheme="minorHAnsi" w:eastAsiaTheme="minorEastAsia" w:hAnsiTheme="minorHAnsi"/>
                <w:sz w:val="24"/>
                <w:szCs w:val="24"/>
              </w:rPr>
              <w:tab/>
            </w:r>
            <w:r w:rsidR="00F62025" w:rsidRPr="00487687">
              <w:rPr>
                <w:rStyle w:val="Lienhypertexte"/>
                <w:rFonts w:eastAsia="Calibri"/>
                <w:lang w:bidi="ar-DZ"/>
              </w:rPr>
              <w:t>Description of the Questionnaire</w:t>
            </w:r>
            <w:r w:rsidR="00F62025">
              <w:rPr>
                <w:webHidden/>
              </w:rPr>
              <w:tab/>
            </w:r>
            <w:r w:rsidR="00F62025">
              <w:rPr>
                <w:webHidden/>
              </w:rPr>
              <w:fldChar w:fldCharType="begin"/>
            </w:r>
            <w:r w:rsidR="00F62025">
              <w:rPr>
                <w:webHidden/>
              </w:rPr>
              <w:instrText xml:space="preserve"> PAGEREF _Toc200486071 \h </w:instrText>
            </w:r>
            <w:r w:rsidR="00F62025">
              <w:rPr>
                <w:webHidden/>
              </w:rPr>
            </w:r>
            <w:r w:rsidR="00F62025">
              <w:rPr>
                <w:webHidden/>
              </w:rPr>
              <w:fldChar w:fldCharType="separate"/>
            </w:r>
            <w:r w:rsidR="00DC3231">
              <w:rPr>
                <w:webHidden/>
              </w:rPr>
              <w:t>42</w:t>
            </w:r>
            <w:r w:rsidR="00F62025">
              <w:rPr>
                <w:webHidden/>
              </w:rPr>
              <w:fldChar w:fldCharType="end"/>
            </w:r>
          </w:hyperlink>
        </w:p>
        <w:p w14:paraId="3BC47142" w14:textId="1A022970" w:rsidR="00F62025" w:rsidRDefault="00A8731A">
          <w:pPr>
            <w:pStyle w:val="TM1"/>
            <w:tabs>
              <w:tab w:val="left" w:pos="1200"/>
            </w:tabs>
            <w:rPr>
              <w:rFonts w:asciiTheme="minorHAnsi" w:eastAsiaTheme="minorEastAsia" w:hAnsiTheme="minorHAnsi"/>
              <w:sz w:val="24"/>
              <w:szCs w:val="24"/>
            </w:rPr>
          </w:pPr>
          <w:hyperlink w:anchor="_Toc200486072" w:history="1">
            <w:r w:rsidR="00F62025" w:rsidRPr="00487687">
              <w:rPr>
                <w:rStyle w:val="Lienhypertexte"/>
                <w:rFonts w:eastAsia="Calibri"/>
                <w:lang w:bidi="ar-DZ"/>
              </w:rPr>
              <w:t>2.1.4.3.2.</w:t>
            </w:r>
            <w:r w:rsidR="00F62025">
              <w:rPr>
                <w:rFonts w:asciiTheme="minorHAnsi" w:eastAsiaTheme="minorEastAsia" w:hAnsiTheme="minorHAnsi"/>
                <w:sz w:val="24"/>
                <w:szCs w:val="24"/>
              </w:rPr>
              <w:tab/>
            </w:r>
            <w:r w:rsidR="00F62025" w:rsidRPr="00487687">
              <w:rPr>
                <w:rStyle w:val="Lienhypertexte"/>
                <w:rFonts w:eastAsia="Calibri"/>
                <w:lang w:bidi="ar-DZ"/>
              </w:rPr>
              <w:t>Piloting of the Questionnaire</w:t>
            </w:r>
            <w:r w:rsidR="00F62025">
              <w:rPr>
                <w:webHidden/>
              </w:rPr>
              <w:tab/>
            </w:r>
            <w:r w:rsidR="00F62025">
              <w:rPr>
                <w:webHidden/>
              </w:rPr>
              <w:fldChar w:fldCharType="begin"/>
            </w:r>
            <w:r w:rsidR="00F62025">
              <w:rPr>
                <w:webHidden/>
              </w:rPr>
              <w:instrText xml:space="preserve"> PAGEREF _Toc200486072 \h </w:instrText>
            </w:r>
            <w:r w:rsidR="00F62025">
              <w:rPr>
                <w:webHidden/>
              </w:rPr>
            </w:r>
            <w:r w:rsidR="00F62025">
              <w:rPr>
                <w:webHidden/>
              </w:rPr>
              <w:fldChar w:fldCharType="separate"/>
            </w:r>
            <w:r w:rsidR="00DC3231">
              <w:rPr>
                <w:webHidden/>
              </w:rPr>
              <w:t>44</w:t>
            </w:r>
            <w:r w:rsidR="00F62025">
              <w:rPr>
                <w:webHidden/>
              </w:rPr>
              <w:fldChar w:fldCharType="end"/>
            </w:r>
          </w:hyperlink>
        </w:p>
        <w:p w14:paraId="7A39D381" w14:textId="6F9B8044" w:rsidR="00F62025" w:rsidRDefault="00A8731A">
          <w:pPr>
            <w:pStyle w:val="TM1"/>
            <w:tabs>
              <w:tab w:val="left" w:pos="960"/>
            </w:tabs>
            <w:rPr>
              <w:rFonts w:asciiTheme="minorHAnsi" w:eastAsiaTheme="minorEastAsia" w:hAnsiTheme="minorHAnsi"/>
              <w:sz w:val="24"/>
              <w:szCs w:val="24"/>
            </w:rPr>
          </w:pPr>
          <w:hyperlink w:anchor="_Toc200486073" w:history="1">
            <w:r w:rsidR="00F62025" w:rsidRPr="00487687">
              <w:rPr>
                <w:rStyle w:val="Lienhypertexte"/>
                <w:rFonts w:eastAsia="Calibri"/>
                <w:lang w:bidi="ar-DZ"/>
              </w:rPr>
              <w:t>2.1.5.</w:t>
            </w:r>
            <w:r w:rsidR="00F62025">
              <w:rPr>
                <w:rFonts w:asciiTheme="minorHAnsi" w:eastAsiaTheme="minorEastAsia" w:hAnsiTheme="minorHAnsi"/>
                <w:sz w:val="24"/>
                <w:szCs w:val="24"/>
              </w:rPr>
              <w:tab/>
            </w:r>
            <w:r w:rsidR="00F62025" w:rsidRPr="00487687">
              <w:rPr>
                <w:rStyle w:val="Lienhypertexte"/>
                <w:rFonts w:eastAsia="Calibri"/>
                <w:lang w:bidi="ar-DZ"/>
              </w:rPr>
              <w:t>The Procedures</w:t>
            </w:r>
            <w:r w:rsidR="00F62025">
              <w:rPr>
                <w:webHidden/>
              </w:rPr>
              <w:tab/>
            </w:r>
            <w:r w:rsidR="00F62025">
              <w:rPr>
                <w:webHidden/>
              </w:rPr>
              <w:fldChar w:fldCharType="begin"/>
            </w:r>
            <w:r w:rsidR="00F62025">
              <w:rPr>
                <w:webHidden/>
              </w:rPr>
              <w:instrText xml:space="preserve"> PAGEREF _Toc200486073 \h </w:instrText>
            </w:r>
            <w:r w:rsidR="00F62025">
              <w:rPr>
                <w:webHidden/>
              </w:rPr>
            </w:r>
            <w:r w:rsidR="00F62025">
              <w:rPr>
                <w:webHidden/>
              </w:rPr>
              <w:fldChar w:fldCharType="separate"/>
            </w:r>
            <w:r w:rsidR="00DC3231">
              <w:rPr>
                <w:webHidden/>
              </w:rPr>
              <w:t>44</w:t>
            </w:r>
            <w:r w:rsidR="00F62025">
              <w:rPr>
                <w:webHidden/>
              </w:rPr>
              <w:fldChar w:fldCharType="end"/>
            </w:r>
          </w:hyperlink>
        </w:p>
        <w:p w14:paraId="1773F699" w14:textId="4E06977C" w:rsidR="00F62025" w:rsidRDefault="00A8731A">
          <w:pPr>
            <w:pStyle w:val="TM1"/>
            <w:tabs>
              <w:tab w:val="left" w:pos="960"/>
            </w:tabs>
            <w:rPr>
              <w:rFonts w:asciiTheme="minorHAnsi" w:eastAsiaTheme="minorEastAsia" w:hAnsiTheme="minorHAnsi"/>
              <w:sz w:val="24"/>
              <w:szCs w:val="24"/>
            </w:rPr>
          </w:pPr>
          <w:hyperlink w:anchor="_Toc200486074" w:history="1">
            <w:r w:rsidR="00F62025" w:rsidRPr="00487687">
              <w:rPr>
                <w:rStyle w:val="Lienhypertexte"/>
                <w:rFonts w:eastAsia="Calibri"/>
                <w:lang w:bidi="ar-DZ"/>
              </w:rPr>
              <w:t>2.1.6.</w:t>
            </w:r>
            <w:r w:rsidR="00F62025">
              <w:rPr>
                <w:rFonts w:asciiTheme="minorHAnsi" w:eastAsiaTheme="minorEastAsia" w:hAnsiTheme="minorHAnsi"/>
                <w:sz w:val="24"/>
                <w:szCs w:val="24"/>
              </w:rPr>
              <w:tab/>
            </w:r>
            <w:r w:rsidR="00F62025" w:rsidRPr="00487687">
              <w:rPr>
                <w:rStyle w:val="Lienhypertexte"/>
                <w:rFonts w:eastAsia="Calibri"/>
                <w:lang w:bidi="ar-DZ"/>
              </w:rPr>
              <w:t>Data Analysis Techniques</w:t>
            </w:r>
            <w:r w:rsidR="00F62025">
              <w:rPr>
                <w:webHidden/>
              </w:rPr>
              <w:tab/>
            </w:r>
            <w:r w:rsidR="00F62025">
              <w:rPr>
                <w:webHidden/>
              </w:rPr>
              <w:fldChar w:fldCharType="begin"/>
            </w:r>
            <w:r w:rsidR="00F62025">
              <w:rPr>
                <w:webHidden/>
              </w:rPr>
              <w:instrText xml:space="preserve"> PAGEREF _Toc200486074 \h </w:instrText>
            </w:r>
            <w:r w:rsidR="00F62025">
              <w:rPr>
                <w:webHidden/>
              </w:rPr>
            </w:r>
            <w:r w:rsidR="00F62025">
              <w:rPr>
                <w:webHidden/>
              </w:rPr>
              <w:fldChar w:fldCharType="separate"/>
            </w:r>
            <w:r w:rsidR="00DC3231">
              <w:rPr>
                <w:webHidden/>
              </w:rPr>
              <w:t>45</w:t>
            </w:r>
            <w:r w:rsidR="00F62025">
              <w:rPr>
                <w:webHidden/>
              </w:rPr>
              <w:fldChar w:fldCharType="end"/>
            </w:r>
          </w:hyperlink>
        </w:p>
        <w:p w14:paraId="56C81370" w14:textId="6A55F278" w:rsidR="00F62025" w:rsidRDefault="00A8731A">
          <w:pPr>
            <w:pStyle w:val="TM1"/>
            <w:tabs>
              <w:tab w:val="left" w:pos="720"/>
            </w:tabs>
            <w:rPr>
              <w:rFonts w:asciiTheme="minorHAnsi" w:eastAsiaTheme="minorEastAsia" w:hAnsiTheme="minorHAnsi"/>
              <w:sz w:val="24"/>
              <w:szCs w:val="24"/>
            </w:rPr>
          </w:pPr>
          <w:hyperlink w:anchor="_Toc200486075" w:history="1">
            <w:r w:rsidR="00F62025" w:rsidRPr="00487687">
              <w:rPr>
                <w:rStyle w:val="Lienhypertexte"/>
                <w:rFonts w:eastAsia="Calibri"/>
                <w:lang w:bidi="ar-DZ"/>
              </w:rPr>
              <w:t>2.2.</w:t>
            </w:r>
            <w:r w:rsidR="00F62025">
              <w:rPr>
                <w:rFonts w:asciiTheme="minorHAnsi" w:eastAsiaTheme="minorEastAsia" w:hAnsiTheme="minorHAnsi"/>
                <w:sz w:val="24"/>
                <w:szCs w:val="24"/>
              </w:rPr>
              <w:tab/>
            </w:r>
            <w:r w:rsidR="00F62025" w:rsidRPr="00487687">
              <w:rPr>
                <w:rStyle w:val="Lienhypertexte"/>
                <w:rFonts w:eastAsia="Calibri"/>
                <w:lang w:bidi="ar-DZ"/>
              </w:rPr>
              <w:t>Data Analysis and Interpretation</w:t>
            </w:r>
            <w:r w:rsidR="00F62025">
              <w:rPr>
                <w:webHidden/>
              </w:rPr>
              <w:tab/>
            </w:r>
            <w:r w:rsidR="00F62025">
              <w:rPr>
                <w:webHidden/>
              </w:rPr>
              <w:fldChar w:fldCharType="begin"/>
            </w:r>
            <w:r w:rsidR="00F62025">
              <w:rPr>
                <w:webHidden/>
              </w:rPr>
              <w:instrText xml:space="preserve"> PAGEREF _Toc200486075 \h </w:instrText>
            </w:r>
            <w:r w:rsidR="00F62025">
              <w:rPr>
                <w:webHidden/>
              </w:rPr>
            </w:r>
            <w:r w:rsidR="00F62025">
              <w:rPr>
                <w:webHidden/>
              </w:rPr>
              <w:fldChar w:fldCharType="separate"/>
            </w:r>
            <w:r w:rsidR="00DC3231">
              <w:rPr>
                <w:webHidden/>
              </w:rPr>
              <w:t>45</w:t>
            </w:r>
            <w:r w:rsidR="00F62025">
              <w:rPr>
                <w:webHidden/>
              </w:rPr>
              <w:fldChar w:fldCharType="end"/>
            </w:r>
          </w:hyperlink>
        </w:p>
        <w:p w14:paraId="549E90F2" w14:textId="0CA2E27E" w:rsidR="00F62025" w:rsidRDefault="00A8731A">
          <w:pPr>
            <w:pStyle w:val="TM1"/>
            <w:tabs>
              <w:tab w:val="left" w:pos="960"/>
            </w:tabs>
            <w:rPr>
              <w:rFonts w:asciiTheme="minorHAnsi" w:eastAsiaTheme="minorEastAsia" w:hAnsiTheme="minorHAnsi"/>
              <w:sz w:val="24"/>
              <w:szCs w:val="24"/>
            </w:rPr>
          </w:pPr>
          <w:hyperlink w:anchor="_Toc200486076" w:history="1">
            <w:r w:rsidR="00F62025" w:rsidRPr="00487687">
              <w:rPr>
                <w:rStyle w:val="Lienhypertexte"/>
                <w:rFonts w:eastAsia="Calibri"/>
                <w:lang w:bidi="ar-DZ"/>
              </w:rPr>
              <w:t>2.2.1.</w:t>
            </w:r>
            <w:r w:rsidR="00F62025">
              <w:rPr>
                <w:rFonts w:asciiTheme="minorHAnsi" w:eastAsiaTheme="minorEastAsia" w:hAnsiTheme="minorHAnsi"/>
                <w:sz w:val="24"/>
                <w:szCs w:val="24"/>
              </w:rPr>
              <w:tab/>
            </w:r>
            <w:r w:rsidR="00F62025" w:rsidRPr="00487687">
              <w:rPr>
                <w:rStyle w:val="Lienhypertexte"/>
                <w:rFonts w:eastAsia="Calibri"/>
                <w:lang w:bidi="ar-DZ"/>
              </w:rPr>
              <w:t>Analysis of Platform Observation</w:t>
            </w:r>
            <w:r w:rsidR="00F62025">
              <w:rPr>
                <w:webHidden/>
              </w:rPr>
              <w:tab/>
            </w:r>
            <w:r w:rsidR="00F62025">
              <w:rPr>
                <w:webHidden/>
              </w:rPr>
              <w:fldChar w:fldCharType="begin"/>
            </w:r>
            <w:r w:rsidR="00F62025">
              <w:rPr>
                <w:webHidden/>
              </w:rPr>
              <w:instrText xml:space="preserve"> PAGEREF _Toc200486076 \h </w:instrText>
            </w:r>
            <w:r w:rsidR="00F62025">
              <w:rPr>
                <w:webHidden/>
              </w:rPr>
            </w:r>
            <w:r w:rsidR="00F62025">
              <w:rPr>
                <w:webHidden/>
              </w:rPr>
              <w:fldChar w:fldCharType="separate"/>
            </w:r>
            <w:r w:rsidR="00DC3231">
              <w:rPr>
                <w:webHidden/>
              </w:rPr>
              <w:t>45</w:t>
            </w:r>
            <w:r w:rsidR="00F62025">
              <w:rPr>
                <w:webHidden/>
              </w:rPr>
              <w:fldChar w:fldCharType="end"/>
            </w:r>
          </w:hyperlink>
        </w:p>
        <w:p w14:paraId="622B64E9" w14:textId="7292E317" w:rsidR="00F62025" w:rsidRDefault="00A8731A">
          <w:pPr>
            <w:pStyle w:val="TM1"/>
            <w:tabs>
              <w:tab w:val="left" w:pos="960"/>
            </w:tabs>
            <w:rPr>
              <w:rFonts w:asciiTheme="minorHAnsi" w:eastAsiaTheme="minorEastAsia" w:hAnsiTheme="minorHAnsi"/>
              <w:sz w:val="24"/>
              <w:szCs w:val="24"/>
            </w:rPr>
          </w:pPr>
          <w:hyperlink w:anchor="_Toc200486077" w:history="1">
            <w:r w:rsidR="00F62025" w:rsidRPr="00487687">
              <w:rPr>
                <w:rStyle w:val="Lienhypertexte"/>
                <w:rFonts w:eastAsia="Calibri"/>
                <w:lang w:bidi="ar-DZ"/>
              </w:rPr>
              <w:t>2.2.2.</w:t>
            </w:r>
            <w:r w:rsidR="00F62025">
              <w:rPr>
                <w:rFonts w:asciiTheme="minorHAnsi" w:eastAsiaTheme="minorEastAsia" w:hAnsiTheme="minorHAnsi"/>
                <w:sz w:val="24"/>
                <w:szCs w:val="24"/>
              </w:rPr>
              <w:tab/>
            </w:r>
            <w:r w:rsidR="00F62025" w:rsidRPr="00487687">
              <w:rPr>
                <w:rStyle w:val="Lienhypertexte"/>
                <w:rFonts w:eastAsia="Calibri"/>
                <w:lang w:bidi="ar-DZ"/>
              </w:rPr>
              <w:t>Analysis of Interviews</w:t>
            </w:r>
            <w:r w:rsidR="00F62025">
              <w:rPr>
                <w:webHidden/>
              </w:rPr>
              <w:tab/>
            </w:r>
            <w:r w:rsidR="00F62025">
              <w:rPr>
                <w:webHidden/>
              </w:rPr>
              <w:fldChar w:fldCharType="begin"/>
            </w:r>
            <w:r w:rsidR="00F62025">
              <w:rPr>
                <w:webHidden/>
              </w:rPr>
              <w:instrText xml:space="preserve"> PAGEREF _Toc200486077 \h </w:instrText>
            </w:r>
            <w:r w:rsidR="00F62025">
              <w:rPr>
                <w:webHidden/>
              </w:rPr>
            </w:r>
            <w:r w:rsidR="00F62025">
              <w:rPr>
                <w:webHidden/>
              </w:rPr>
              <w:fldChar w:fldCharType="separate"/>
            </w:r>
            <w:r w:rsidR="00DC3231">
              <w:rPr>
                <w:webHidden/>
              </w:rPr>
              <w:t>47</w:t>
            </w:r>
            <w:r w:rsidR="00F62025">
              <w:rPr>
                <w:webHidden/>
              </w:rPr>
              <w:fldChar w:fldCharType="end"/>
            </w:r>
          </w:hyperlink>
        </w:p>
        <w:p w14:paraId="35CB260C" w14:textId="2149CEDC" w:rsidR="00F62025" w:rsidRDefault="00A8731A">
          <w:pPr>
            <w:pStyle w:val="TM1"/>
            <w:tabs>
              <w:tab w:val="left" w:pos="960"/>
            </w:tabs>
            <w:rPr>
              <w:rFonts w:asciiTheme="minorHAnsi" w:eastAsiaTheme="minorEastAsia" w:hAnsiTheme="minorHAnsi"/>
              <w:sz w:val="24"/>
              <w:szCs w:val="24"/>
            </w:rPr>
          </w:pPr>
          <w:hyperlink w:anchor="_Toc200486078" w:history="1">
            <w:r w:rsidR="00F62025" w:rsidRPr="00487687">
              <w:rPr>
                <w:rStyle w:val="Lienhypertexte"/>
                <w:rFonts w:eastAsia="Calibri"/>
                <w:lang w:bidi="ar-DZ"/>
              </w:rPr>
              <w:t>2.2.2.1.</w:t>
            </w:r>
            <w:r w:rsidR="00F62025">
              <w:rPr>
                <w:rFonts w:asciiTheme="minorHAnsi" w:eastAsiaTheme="minorEastAsia" w:hAnsiTheme="minorHAnsi"/>
                <w:sz w:val="24"/>
                <w:szCs w:val="24"/>
              </w:rPr>
              <w:tab/>
            </w:r>
            <w:r w:rsidR="00F62025" w:rsidRPr="00487687">
              <w:rPr>
                <w:rStyle w:val="Lienhypertexte"/>
                <w:rFonts w:eastAsia="Calibri"/>
                <w:lang w:bidi="ar-DZ"/>
              </w:rPr>
              <w:t>Teachers’ Interview</w:t>
            </w:r>
            <w:r w:rsidR="00F62025">
              <w:rPr>
                <w:webHidden/>
              </w:rPr>
              <w:tab/>
            </w:r>
            <w:r w:rsidR="00F62025">
              <w:rPr>
                <w:webHidden/>
              </w:rPr>
              <w:fldChar w:fldCharType="begin"/>
            </w:r>
            <w:r w:rsidR="00F62025">
              <w:rPr>
                <w:webHidden/>
              </w:rPr>
              <w:instrText xml:space="preserve"> PAGEREF _Toc200486078 \h </w:instrText>
            </w:r>
            <w:r w:rsidR="00F62025">
              <w:rPr>
                <w:webHidden/>
              </w:rPr>
            </w:r>
            <w:r w:rsidR="00F62025">
              <w:rPr>
                <w:webHidden/>
              </w:rPr>
              <w:fldChar w:fldCharType="separate"/>
            </w:r>
            <w:r w:rsidR="00DC3231">
              <w:rPr>
                <w:webHidden/>
              </w:rPr>
              <w:t>47</w:t>
            </w:r>
            <w:r w:rsidR="00F62025">
              <w:rPr>
                <w:webHidden/>
              </w:rPr>
              <w:fldChar w:fldCharType="end"/>
            </w:r>
          </w:hyperlink>
        </w:p>
        <w:p w14:paraId="4D7F674F" w14:textId="1534CB2F" w:rsidR="00F62025" w:rsidRDefault="00A8731A">
          <w:pPr>
            <w:pStyle w:val="TM1"/>
            <w:tabs>
              <w:tab w:val="left" w:pos="960"/>
            </w:tabs>
            <w:rPr>
              <w:rFonts w:asciiTheme="minorHAnsi" w:eastAsiaTheme="minorEastAsia" w:hAnsiTheme="minorHAnsi"/>
              <w:sz w:val="24"/>
              <w:szCs w:val="24"/>
            </w:rPr>
          </w:pPr>
          <w:hyperlink w:anchor="_Toc200486079" w:history="1">
            <w:r w:rsidR="00F62025" w:rsidRPr="00487687">
              <w:rPr>
                <w:rStyle w:val="Lienhypertexte"/>
                <w:rFonts w:eastAsia="Calibri"/>
                <w:lang w:bidi="ar-DZ"/>
              </w:rPr>
              <w:t>2.2.2.2.</w:t>
            </w:r>
            <w:r w:rsidR="00F62025">
              <w:rPr>
                <w:rFonts w:asciiTheme="minorHAnsi" w:eastAsiaTheme="minorEastAsia" w:hAnsiTheme="minorHAnsi"/>
                <w:sz w:val="24"/>
                <w:szCs w:val="24"/>
              </w:rPr>
              <w:tab/>
            </w:r>
            <w:r w:rsidR="00F62025" w:rsidRPr="00487687">
              <w:rPr>
                <w:rStyle w:val="Lienhypertexte"/>
                <w:rFonts w:eastAsia="Calibri"/>
                <w:lang w:bidi="ar-DZ"/>
              </w:rPr>
              <w:t>Inspector’s Interview</w:t>
            </w:r>
            <w:r w:rsidR="00F62025">
              <w:rPr>
                <w:webHidden/>
              </w:rPr>
              <w:tab/>
            </w:r>
            <w:r w:rsidR="00F62025">
              <w:rPr>
                <w:webHidden/>
              </w:rPr>
              <w:fldChar w:fldCharType="begin"/>
            </w:r>
            <w:r w:rsidR="00F62025">
              <w:rPr>
                <w:webHidden/>
              </w:rPr>
              <w:instrText xml:space="preserve"> PAGEREF _Toc200486079 \h </w:instrText>
            </w:r>
            <w:r w:rsidR="00F62025">
              <w:rPr>
                <w:webHidden/>
              </w:rPr>
            </w:r>
            <w:r w:rsidR="00F62025">
              <w:rPr>
                <w:webHidden/>
              </w:rPr>
              <w:fldChar w:fldCharType="separate"/>
            </w:r>
            <w:r w:rsidR="00DC3231">
              <w:rPr>
                <w:webHidden/>
              </w:rPr>
              <w:t>50</w:t>
            </w:r>
            <w:r w:rsidR="00F62025">
              <w:rPr>
                <w:webHidden/>
              </w:rPr>
              <w:fldChar w:fldCharType="end"/>
            </w:r>
          </w:hyperlink>
        </w:p>
        <w:p w14:paraId="2BAB3072" w14:textId="7818D642" w:rsidR="00F62025" w:rsidRDefault="00A8731A">
          <w:pPr>
            <w:pStyle w:val="TM1"/>
            <w:tabs>
              <w:tab w:val="left" w:pos="960"/>
            </w:tabs>
            <w:rPr>
              <w:rFonts w:asciiTheme="minorHAnsi" w:eastAsiaTheme="minorEastAsia" w:hAnsiTheme="minorHAnsi"/>
              <w:sz w:val="24"/>
              <w:szCs w:val="24"/>
            </w:rPr>
          </w:pPr>
          <w:hyperlink w:anchor="_Toc200486080" w:history="1">
            <w:r w:rsidR="00F62025" w:rsidRPr="00487687">
              <w:rPr>
                <w:rStyle w:val="Lienhypertexte"/>
                <w:rFonts w:eastAsia="Calibri"/>
                <w:lang w:bidi="ar-DZ"/>
              </w:rPr>
              <w:t>2.2.3.</w:t>
            </w:r>
            <w:r w:rsidR="00F62025">
              <w:rPr>
                <w:rFonts w:asciiTheme="minorHAnsi" w:eastAsiaTheme="minorEastAsia" w:hAnsiTheme="minorHAnsi"/>
                <w:sz w:val="24"/>
                <w:szCs w:val="24"/>
              </w:rPr>
              <w:tab/>
            </w:r>
            <w:r w:rsidR="00F62025" w:rsidRPr="00487687">
              <w:rPr>
                <w:rStyle w:val="Lienhypertexte"/>
                <w:rFonts w:eastAsia="Calibri"/>
                <w:lang w:bidi="ar-DZ"/>
              </w:rPr>
              <w:t>Analysis of Teachers’ Questionnaire</w:t>
            </w:r>
            <w:r w:rsidR="00F62025">
              <w:rPr>
                <w:webHidden/>
              </w:rPr>
              <w:tab/>
            </w:r>
            <w:r w:rsidR="00F62025">
              <w:rPr>
                <w:webHidden/>
              </w:rPr>
              <w:fldChar w:fldCharType="begin"/>
            </w:r>
            <w:r w:rsidR="00F62025">
              <w:rPr>
                <w:webHidden/>
              </w:rPr>
              <w:instrText xml:space="preserve"> PAGEREF _Toc200486080 \h </w:instrText>
            </w:r>
            <w:r w:rsidR="00F62025">
              <w:rPr>
                <w:webHidden/>
              </w:rPr>
            </w:r>
            <w:r w:rsidR="00F62025">
              <w:rPr>
                <w:webHidden/>
              </w:rPr>
              <w:fldChar w:fldCharType="separate"/>
            </w:r>
            <w:r w:rsidR="00DC3231">
              <w:rPr>
                <w:webHidden/>
              </w:rPr>
              <w:t>52</w:t>
            </w:r>
            <w:r w:rsidR="00F62025">
              <w:rPr>
                <w:webHidden/>
              </w:rPr>
              <w:fldChar w:fldCharType="end"/>
            </w:r>
          </w:hyperlink>
        </w:p>
        <w:p w14:paraId="616E4AB9" w14:textId="222B025C" w:rsidR="00F62025" w:rsidRDefault="00A8731A">
          <w:pPr>
            <w:pStyle w:val="TM1"/>
            <w:tabs>
              <w:tab w:val="left" w:pos="960"/>
            </w:tabs>
            <w:rPr>
              <w:rFonts w:asciiTheme="minorHAnsi" w:eastAsiaTheme="minorEastAsia" w:hAnsiTheme="minorHAnsi"/>
              <w:sz w:val="24"/>
              <w:szCs w:val="24"/>
            </w:rPr>
          </w:pPr>
          <w:hyperlink w:anchor="_Toc200486081" w:history="1">
            <w:r w:rsidR="00F62025" w:rsidRPr="00487687">
              <w:rPr>
                <w:rStyle w:val="Lienhypertexte"/>
                <w:rFonts w:eastAsia="Calibri"/>
                <w:lang w:bidi="ar-DZ"/>
              </w:rPr>
              <w:t>2.2.3.1.</w:t>
            </w:r>
            <w:r w:rsidR="00F62025">
              <w:rPr>
                <w:rFonts w:asciiTheme="minorHAnsi" w:eastAsiaTheme="minorEastAsia" w:hAnsiTheme="minorHAnsi"/>
                <w:sz w:val="24"/>
                <w:szCs w:val="24"/>
              </w:rPr>
              <w:tab/>
            </w:r>
            <w:r w:rsidR="00F62025" w:rsidRPr="00487687">
              <w:rPr>
                <w:rStyle w:val="Lienhypertexte"/>
                <w:rFonts w:eastAsia="Calibri"/>
                <w:lang w:bidi="ar-DZ"/>
              </w:rPr>
              <w:t>Analysis of the First Questionnaire Section:  Background Information</w:t>
            </w:r>
            <w:r w:rsidR="00F62025">
              <w:rPr>
                <w:webHidden/>
              </w:rPr>
              <w:tab/>
            </w:r>
            <w:r w:rsidR="00F62025">
              <w:rPr>
                <w:webHidden/>
              </w:rPr>
              <w:fldChar w:fldCharType="begin"/>
            </w:r>
            <w:r w:rsidR="00F62025">
              <w:rPr>
                <w:webHidden/>
              </w:rPr>
              <w:instrText xml:space="preserve"> PAGEREF _Toc200486081 \h </w:instrText>
            </w:r>
            <w:r w:rsidR="00F62025">
              <w:rPr>
                <w:webHidden/>
              </w:rPr>
            </w:r>
            <w:r w:rsidR="00F62025">
              <w:rPr>
                <w:webHidden/>
              </w:rPr>
              <w:fldChar w:fldCharType="separate"/>
            </w:r>
            <w:r w:rsidR="00DC3231">
              <w:rPr>
                <w:webHidden/>
              </w:rPr>
              <w:t>52</w:t>
            </w:r>
            <w:r w:rsidR="00F62025">
              <w:rPr>
                <w:webHidden/>
              </w:rPr>
              <w:fldChar w:fldCharType="end"/>
            </w:r>
          </w:hyperlink>
        </w:p>
        <w:p w14:paraId="5F3575B8" w14:textId="79C1AA2E" w:rsidR="00F62025" w:rsidRDefault="00A8731A">
          <w:pPr>
            <w:pStyle w:val="TM1"/>
            <w:tabs>
              <w:tab w:val="left" w:pos="960"/>
            </w:tabs>
            <w:rPr>
              <w:rFonts w:asciiTheme="minorHAnsi" w:eastAsiaTheme="minorEastAsia" w:hAnsiTheme="minorHAnsi"/>
              <w:sz w:val="24"/>
              <w:szCs w:val="24"/>
            </w:rPr>
          </w:pPr>
          <w:hyperlink w:anchor="_Toc200486082" w:history="1">
            <w:r w:rsidR="00F62025" w:rsidRPr="00487687">
              <w:rPr>
                <w:rStyle w:val="Lienhypertexte"/>
                <w:rFonts w:eastAsia="Calibri"/>
                <w:lang w:bidi="ar-DZ"/>
              </w:rPr>
              <w:t>2.2.3.2.</w:t>
            </w:r>
            <w:r w:rsidR="00F62025">
              <w:rPr>
                <w:rFonts w:asciiTheme="minorHAnsi" w:eastAsiaTheme="minorEastAsia" w:hAnsiTheme="minorHAnsi"/>
                <w:sz w:val="24"/>
                <w:szCs w:val="24"/>
              </w:rPr>
              <w:tab/>
            </w:r>
            <w:r w:rsidR="00F62025" w:rsidRPr="00487687">
              <w:rPr>
                <w:rStyle w:val="Lienhypertexte"/>
                <w:rFonts w:eastAsia="Calibri"/>
                <w:lang w:bidi="ar-DZ"/>
              </w:rPr>
              <w:t>Analysis of the Second Questionnaire Section</w:t>
            </w:r>
            <w:r w:rsidR="00F62025">
              <w:rPr>
                <w:webHidden/>
              </w:rPr>
              <w:tab/>
            </w:r>
            <w:r w:rsidR="00F62025">
              <w:rPr>
                <w:webHidden/>
              </w:rPr>
              <w:fldChar w:fldCharType="begin"/>
            </w:r>
            <w:r w:rsidR="00F62025">
              <w:rPr>
                <w:webHidden/>
              </w:rPr>
              <w:instrText xml:space="preserve"> PAGEREF _Toc200486082 \h </w:instrText>
            </w:r>
            <w:r w:rsidR="00F62025">
              <w:rPr>
                <w:webHidden/>
              </w:rPr>
            </w:r>
            <w:r w:rsidR="00F62025">
              <w:rPr>
                <w:webHidden/>
              </w:rPr>
              <w:fldChar w:fldCharType="separate"/>
            </w:r>
            <w:r w:rsidR="00DC3231">
              <w:rPr>
                <w:webHidden/>
              </w:rPr>
              <w:t>59</w:t>
            </w:r>
            <w:r w:rsidR="00F62025">
              <w:rPr>
                <w:webHidden/>
              </w:rPr>
              <w:fldChar w:fldCharType="end"/>
            </w:r>
          </w:hyperlink>
        </w:p>
        <w:p w14:paraId="20F1FDDF" w14:textId="5075DDDF" w:rsidR="00F62025" w:rsidRDefault="00A8731A">
          <w:pPr>
            <w:pStyle w:val="TM1"/>
            <w:rPr>
              <w:rFonts w:asciiTheme="minorHAnsi" w:eastAsiaTheme="minorEastAsia" w:hAnsiTheme="minorHAnsi"/>
              <w:sz w:val="24"/>
              <w:szCs w:val="24"/>
            </w:rPr>
          </w:pPr>
          <w:hyperlink w:anchor="_Toc200486083" w:history="1">
            <w:r w:rsidR="00F62025" w:rsidRPr="00487687">
              <w:rPr>
                <w:rStyle w:val="Lienhypertexte"/>
                <w:rFonts w:eastAsia="Calibri"/>
                <w:lang w:bidi="ar-DZ"/>
              </w:rPr>
              <w:t>Usefulness, Frequency and Effectiveness of OTCs</w:t>
            </w:r>
            <w:r w:rsidR="00F62025">
              <w:rPr>
                <w:webHidden/>
              </w:rPr>
              <w:tab/>
            </w:r>
            <w:r w:rsidR="00F62025">
              <w:rPr>
                <w:webHidden/>
              </w:rPr>
              <w:fldChar w:fldCharType="begin"/>
            </w:r>
            <w:r w:rsidR="00F62025">
              <w:rPr>
                <w:webHidden/>
              </w:rPr>
              <w:instrText xml:space="preserve"> PAGEREF _Toc200486083 \h </w:instrText>
            </w:r>
            <w:r w:rsidR="00F62025">
              <w:rPr>
                <w:webHidden/>
              </w:rPr>
            </w:r>
            <w:r w:rsidR="00F62025">
              <w:rPr>
                <w:webHidden/>
              </w:rPr>
              <w:fldChar w:fldCharType="separate"/>
            </w:r>
            <w:r w:rsidR="00DC3231">
              <w:rPr>
                <w:webHidden/>
              </w:rPr>
              <w:t>63</w:t>
            </w:r>
            <w:r w:rsidR="00F62025">
              <w:rPr>
                <w:webHidden/>
              </w:rPr>
              <w:fldChar w:fldCharType="end"/>
            </w:r>
          </w:hyperlink>
        </w:p>
        <w:p w14:paraId="7EA5084F" w14:textId="6F9375AA" w:rsidR="00F62025" w:rsidRDefault="00A8731A">
          <w:pPr>
            <w:pStyle w:val="TM1"/>
            <w:tabs>
              <w:tab w:val="left" w:pos="960"/>
            </w:tabs>
            <w:rPr>
              <w:rFonts w:asciiTheme="minorHAnsi" w:eastAsiaTheme="minorEastAsia" w:hAnsiTheme="minorHAnsi"/>
              <w:sz w:val="24"/>
              <w:szCs w:val="24"/>
            </w:rPr>
          </w:pPr>
          <w:hyperlink w:anchor="_Toc200486084" w:history="1">
            <w:r w:rsidR="00F62025" w:rsidRPr="00487687">
              <w:rPr>
                <w:rStyle w:val="Lienhypertexte"/>
                <w:rFonts w:eastAsia="Calibri"/>
                <w:lang w:bidi="ar-DZ"/>
              </w:rPr>
              <w:t>2.2.3.3.</w:t>
            </w:r>
            <w:r w:rsidR="00F62025">
              <w:rPr>
                <w:rFonts w:asciiTheme="minorHAnsi" w:eastAsiaTheme="minorEastAsia" w:hAnsiTheme="minorHAnsi"/>
                <w:sz w:val="24"/>
                <w:szCs w:val="24"/>
              </w:rPr>
              <w:tab/>
            </w:r>
            <w:r w:rsidR="00F62025" w:rsidRPr="00487687">
              <w:rPr>
                <w:rStyle w:val="Lienhypertexte"/>
                <w:rFonts w:eastAsia="Calibri"/>
                <w:lang w:bidi="ar-DZ"/>
              </w:rPr>
              <w:t>Analysis of the Third Questionnaire Section</w:t>
            </w:r>
            <w:r w:rsidR="00F62025">
              <w:rPr>
                <w:webHidden/>
              </w:rPr>
              <w:tab/>
            </w:r>
            <w:r w:rsidR="00F62025">
              <w:rPr>
                <w:webHidden/>
              </w:rPr>
              <w:fldChar w:fldCharType="begin"/>
            </w:r>
            <w:r w:rsidR="00F62025">
              <w:rPr>
                <w:webHidden/>
              </w:rPr>
              <w:instrText xml:space="preserve"> PAGEREF _Toc200486084 \h </w:instrText>
            </w:r>
            <w:r w:rsidR="00F62025">
              <w:rPr>
                <w:webHidden/>
              </w:rPr>
            </w:r>
            <w:r w:rsidR="00F62025">
              <w:rPr>
                <w:webHidden/>
              </w:rPr>
              <w:fldChar w:fldCharType="separate"/>
            </w:r>
            <w:r w:rsidR="00DC3231">
              <w:rPr>
                <w:webHidden/>
              </w:rPr>
              <w:t>66</w:t>
            </w:r>
            <w:r w:rsidR="00F62025">
              <w:rPr>
                <w:webHidden/>
              </w:rPr>
              <w:fldChar w:fldCharType="end"/>
            </w:r>
          </w:hyperlink>
        </w:p>
        <w:p w14:paraId="1C3CB6A9" w14:textId="6CEB537F" w:rsidR="00F62025" w:rsidRDefault="00A8731A">
          <w:pPr>
            <w:pStyle w:val="TM1"/>
            <w:tabs>
              <w:tab w:val="left" w:pos="1200"/>
            </w:tabs>
            <w:rPr>
              <w:rFonts w:asciiTheme="minorHAnsi" w:eastAsiaTheme="minorEastAsia" w:hAnsiTheme="minorHAnsi"/>
              <w:sz w:val="24"/>
              <w:szCs w:val="24"/>
            </w:rPr>
          </w:pPr>
          <w:hyperlink w:anchor="_Toc200486085" w:history="1">
            <w:r w:rsidR="00F62025" w:rsidRPr="00487687">
              <w:rPr>
                <w:rStyle w:val="Lienhypertexte"/>
                <w:rFonts w:eastAsia="Calibri"/>
                <w:lang w:bidi="ar-DZ"/>
              </w:rPr>
              <w:t>2.2.3.3.1.</w:t>
            </w:r>
            <w:r w:rsidR="00F62025">
              <w:rPr>
                <w:rFonts w:asciiTheme="minorHAnsi" w:eastAsiaTheme="minorEastAsia" w:hAnsiTheme="minorHAnsi"/>
                <w:sz w:val="24"/>
                <w:szCs w:val="24"/>
              </w:rPr>
              <w:tab/>
            </w:r>
            <w:r w:rsidR="00F62025" w:rsidRPr="00487687">
              <w:rPr>
                <w:rStyle w:val="Lienhypertexte"/>
                <w:rFonts w:eastAsia="Calibri"/>
                <w:lang w:bidi="ar-DZ"/>
              </w:rPr>
              <w:t>Part One: Designing Assessment Skills</w:t>
            </w:r>
            <w:r w:rsidR="00F62025">
              <w:rPr>
                <w:webHidden/>
              </w:rPr>
              <w:tab/>
            </w:r>
            <w:r w:rsidR="00F62025">
              <w:rPr>
                <w:webHidden/>
              </w:rPr>
              <w:fldChar w:fldCharType="begin"/>
            </w:r>
            <w:r w:rsidR="00F62025">
              <w:rPr>
                <w:webHidden/>
              </w:rPr>
              <w:instrText xml:space="preserve"> PAGEREF _Toc200486085 \h </w:instrText>
            </w:r>
            <w:r w:rsidR="00F62025">
              <w:rPr>
                <w:webHidden/>
              </w:rPr>
            </w:r>
            <w:r w:rsidR="00F62025">
              <w:rPr>
                <w:webHidden/>
              </w:rPr>
              <w:fldChar w:fldCharType="separate"/>
            </w:r>
            <w:r w:rsidR="00DC3231">
              <w:rPr>
                <w:webHidden/>
              </w:rPr>
              <w:t>66</w:t>
            </w:r>
            <w:r w:rsidR="00F62025">
              <w:rPr>
                <w:webHidden/>
              </w:rPr>
              <w:fldChar w:fldCharType="end"/>
            </w:r>
          </w:hyperlink>
        </w:p>
        <w:p w14:paraId="603843E4" w14:textId="60044775" w:rsidR="00F62025" w:rsidRDefault="00A8731A">
          <w:pPr>
            <w:pStyle w:val="TM1"/>
            <w:tabs>
              <w:tab w:val="left" w:pos="1200"/>
            </w:tabs>
            <w:rPr>
              <w:rFonts w:asciiTheme="minorHAnsi" w:eastAsiaTheme="minorEastAsia" w:hAnsiTheme="minorHAnsi"/>
              <w:sz w:val="24"/>
              <w:szCs w:val="24"/>
            </w:rPr>
          </w:pPr>
          <w:hyperlink w:anchor="_Toc200486086" w:history="1">
            <w:r w:rsidR="00F62025" w:rsidRPr="00487687">
              <w:rPr>
                <w:rStyle w:val="Lienhypertexte"/>
                <w:rFonts w:eastAsia="Calibri"/>
                <w:lang w:bidi="ar-DZ"/>
              </w:rPr>
              <w:t>2.2.3.3.2.</w:t>
            </w:r>
            <w:r w:rsidR="00F62025">
              <w:rPr>
                <w:rFonts w:asciiTheme="minorHAnsi" w:eastAsiaTheme="minorEastAsia" w:hAnsiTheme="minorHAnsi"/>
                <w:sz w:val="24"/>
                <w:szCs w:val="24"/>
              </w:rPr>
              <w:tab/>
            </w:r>
            <w:r w:rsidR="00F62025" w:rsidRPr="00487687">
              <w:rPr>
                <w:rStyle w:val="Lienhypertexte"/>
                <w:rFonts w:eastAsia="Calibri"/>
                <w:lang w:bidi="ar-DZ"/>
              </w:rPr>
              <w:t>Part Two: Feedback and Reflective Practice</w:t>
            </w:r>
            <w:r w:rsidR="00F62025">
              <w:rPr>
                <w:webHidden/>
              </w:rPr>
              <w:tab/>
            </w:r>
            <w:r w:rsidR="00F62025">
              <w:rPr>
                <w:webHidden/>
              </w:rPr>
              <w:fldChar w:fldCharType="begin"/>
            </w:r>
            <w:r w:rsidR="00F62025">
              <w:rPr>
                <w:webHidden/>
              </w:rPr>
              <w:instrText xml:space="preserve"> PAGEREF _Toc200486086 \h </w:instrText>
            </w:r>
            <w:r w:rsidR="00F62025">
              <w:rPr>
                <w:webHidden/>
              </w:rPr>
            </w:r>
            <w:r w:rsidR="00F62025">
              <w:rPr>
                <w:webHidden/>
              </w:rPr>
              <w:fldChar w:fldCharType="separate"/>
            </w:r>
            <w:r w:rsidR="00DC3231">
              <w:rPr>
                <w:webHidden/>
              </w:rPr>
              <w:t>69</w:t>
            </w:r>
            <w:r w:rsidR="00F62025">
              <w:rPr>
                <w:webHidden/>
              </w:rPr>
              <w:fldChar w:fldCharType="end"/>
            </w:r>
          </w:hyperlink>
        </w:p>
        <w:p w14:paraId="69915B24" w14:textId="00A0CAAA" w:rsidR="00F62025" w:rsidRDefault="00A8731A">
          <w:pPr>
            <w:pStyle w:val="TM1"/>
            <w:tabs>
              <w:tab w:val="left" w:pos="960"/>
            </w:tabs>
            <w:rPr>
              <w:rFonts w:asciiTheme="minorHAnsi" w:eastAsiaTheme="minorEastAsia" w:hAnsiTheme="minorHAnsi"/>
              <w:sz w:val="24"/>
              <w:szCs w:val="24"/>
            </w:rPr>
          </w:pPr>
          <w:hyperlink w:anchor="_Toc200486087" w:history="1">
            <w:r w:rsidR="00F62025" w:rsidRPr="00487687">
              <w:rPr>
                <w:rStyle w:val="Lienhypertexte"/>
                <w:rFonts w:eastAsia="Calibri"/>
                <w:lang w:bidi="ar-DZ"/>
              </w:rPr>
              <w:t>2.2.3.4.</w:t>
            </w:r>
            <w:r w:rsidR="00F62025">
              <w:rPr>
                <w:rFonts w:asciiTheme="minorHAnsi" w:eastAsiaTheme="minorEastAsia" w:hAnsiTheme="minorHAnsi"/>
                <w:sz w:val="24"/>
                <w:szCs w:val="24"/>
              </w:rPr>
              <w:tab/>
            </w:r>
            <w:r w:rsidR="00F62025" w:rsidRPr="00487687">
              <w:rPr>
                <w:rStyle w:val="Lienhypertexte"/>
                <w:rFonts w:eastAsia="Calibri"/>
                <w:lang w:bidi="ar-DZ"/>
              </w:rPr>
              <w:t>Analysis of the Fourth Questionnaire Section</w:t>
            </w:r>
            <w:r w:rsidR="00F62025">
              <w:rPr>
                <w:webHidden/>
              </w:rPr>
              <w:tab/>
            </w:r>
            <w:r w:rsidR="00F62025">
              <w:rPr>
                <w:webHidden/>
              </w:rPr>
              <w:fldChar w:fldCharType="begin"/>
            </w:r>
            <w:r w:rsidR="00F62025">
              <w:rPr>
                <w:webHidden/>
              </w:rPr>
              <w:instrText xml:space="preserve"> PAGEREF _Toc200486087 \h </w:instrText>
            </w:r>
            <w:r w:rsidR="00F62025">
              <w:rPr>
                <w:webHidden/>
              </w:rPr>
            </w:r>
            <w:r w:rsidR="00F62025">
              <w:rPr>
                <w:webHidden/>
              </w:rPr>
              <w:fldChar w:fldCharType="separate"/>
            </w:r>
            <w:r w:rsidR="00DC3231">
              <w:rPr>
                <w:webHidden/>
              </w:rPr>
              <w:t>77</w:t>
            </w:r>
            <w:r w:rsidR="00F62025">
              <w:rPr>
                <w:webHidden/>
              </w:rPr>
              <w:fldChar w:fldCharType="end"/>
            </w:r>
          </w:hyperlink>
        </w:p>
        <w:p w14:paraId="086261B4" w14:textId="0CC9198D" w:rsidR="00F62025" w:rsidRDefault="00A8731A">
          <w:pPr>
            <w:pStyle w:val="TM1"/>
            <w:tabs>
              <w:tab w:val="left" w:pos="440"/>
            </w:tabs>
            <w:rPr>
              <w:rFonts w:asciiTheme="minorHAnsi" w:eastAsiaTheme="minorEastAsia" w:hAnsiTheme="minorHAnsi"/>
              <w:sz w:val="24"/>
              <w:szCs w:val="24"/>
            </w:rPr>
          </w:pPr>
          <w:hyperlink w:anchor="_Toc200486088" w:history="1">
            <w:r w:rsidR="00F62025" w:rsidRPr="00487687">
              <w:rPr>
                <w:rStyle w:val="Lienhypertexte"/>
                <w:rFonts w:eastAsia="Calibri"/>
                <w:lang w:bidi="ar-DZ"/>
              </w:rPr>
              <w:t>3.</w:t>
            </w:r>
            <w:r w:rsidR="00F62025">
              <w:rPr>
                <w:rFonts w:asciiTheme="minorHAnsi" w:eastAsiaTheme="minorEastAsia" w:hAnsiTheme="minorHAnsi"/>
                <w:sz w:val="24"/>
                <w:szCs w:val="24"/>
              </w:rPr>
              <w:tab/>
            </w:r>
            <w:r w:rsidR="00F62025" w:rsidRPr="00487687">
              <w:rPr>
                <w:rStyle w:val="Lienhypertexte"/>
                <w:rFonts w:eastAsia="Calibri"/>
                <w:lang w:bidi="ar-DZ"/>
              </w:rPr>
              <w:t>Findings Discussion</w:t>
            </w:r>
            <w:r w:rsidR="00F62025">
              <w:rPr>
                <w:webHidden/>
              </w:rPr>
              <w:tab/>
            </w:r>
            <w:r w:rsidR="00F62025">
              <w:rPr>
                <w:webHidden/>
              </w:rPr>
              <w:fldChar w:fldCharType="begin"/>
            </w:r>
            <w:r w:rsidR="00F62025">
              <w:rPr>
                <w:webHidden/>
              </w:rPr>
              <w:instrText xml:space="preserve"> PAGEREF _Toc200486088 \h </w:instrText>
            </w:r>
            <w:r w:rsidR="00F62025">
              <w:rPr>
                <w:webHidden/>
              </w:rPr>
            </w:r>
            <w:r w:rsidR="00F62025">
              <w:rPr>
                <w:webHidden/>
              </w:rPr>
              <w:fldChar w:fldCharType="separate"/>
            </w:r>
            <w:r w:rsidR="00DC3231">
              <w:rPr>
                <w:webHidden/>
              </w:rPr>
              <w:t>78</w:t>
            </w:r>
            <w:r w:rsidR="00F62025">
              <w:rPr>
                <w:webHidden/>
              </w:rPr>
              <w:fldChar w:fldCharType="end"/>
            </w:r>
          </w:hyperlink>
        </w:p>
        <w:p w14:paraId="707C6C85" w14:textId="238CC1EA" w:rsidR="00F62025" w:rsidRDefault="00A8731A">
          <w:pPr>
            <w:pStyle w:val="TM1"/>
            <w:tabs>
              <w:tab w:val="left" w:pos="440"/>
            </w:tabs>
            <w:rPr>
              <w:rFonts w:asciiTheme="minorHAnsi" w:eastAsiaTheme="minorEastAsia" w:hAnsiTheme="minorHAnsi"/>
              <w:sz w:val="24"/>
              <w:szCs w:val="24"/>
            </w:rPr>
          </w:pPr>
          <w:hyperlink w:anchor="_Toc200486090" w:history="1">
            <w:r w:rsidR="00F62025" w:rsidRPr="00487687">
              <w:rPr>
                <w:rStyle w:val="Lienhypertexte"/>
                <w:rFonts w:eastAsia="Calibri"/>
                <w:lang w:bidi="ar-DZ"/>
              </w:rPr>
              <w:t>4.</w:t>
            </w:r>
            <w:r w:rsidR="00F62025">
              <w:rPr>
                <w:rFonts w:asciiTheme="minorHAnsi" w:eastAsiaTheme="minorEastAsia" w:hAnsiTheme="minorHAnsi"/>
                <w:sz w:val="24"/>
                <w:szCs w:val="24"/>
              </w:rPr>
              <w:tab/>
            </w:r>
            <w:r w:rsidR="00F62025" w:rsidRPr="00487687">
              <w:rPr>
                <w:rStyle w:val="Lienhypertexte"/>
                <w:rFonts w:eastAsia="Calibri"/>
                <w:lang w:bidi="ar-DZ"/>
              </w:rPr>
              <w:t>Limitations of the Study</w:t>
            </w:r>
            <w:r w:rsidR="00F62025">
              <w:rPr>
                <w:webHidden/>
              </w:rPr>
              <w:tab/>
            </w:r>
            <w:r w:rsidR="00F62025">
              <w:rPr>
                <w:webHidden/>
              </w:rPr>
              <w:fldChar w:fldCharType="begin"/>
            </w:r>
            <w:r w:rsidR="00F62025">
              <w:rPr>
                <w:webHidden/>
              </w:rPr>
              <w:instrText xml:space="preserve"> PAGEREF _Toc200486090 \h </w:instrText>
            </w:r>
            <w:r w:rsidR="00F62025">
              <w:rPr>
                <w:webHidden/>
              </w:rPr>
            </w:r>
            <w:r w:rsidR="00F62025">
              <w:rPr>
                <w:webHidden/>
              </w:rPr>
              <w:fldChar w:fldCharType="separate"/>
            </w:r>
            <w:r w:rsidR="00DC3231">
              <w:rPr>
                <w:webHidden/>
              </w:rPr>
              <w:t>85</w:t>
            </w:r>
            <w:r w:rsidR="00F62025">
              <w:rPr>
                <w:webHidden/>
              </w:rPr>
              <w:fldChar w:fldCharType="end"/>
            </w:r>
          </w:hyperlink>
        </w:p>
        <w:p w14:paraId="705C0EB8" w14:textId="6759BF38" w:rsidR="00F62025" w:rsidRDefault="00A8731A">
          <w:pPr>
            <w:pStyle w:val="TM1"/>
            <w:tabs>
              <w:tab w:val="left" w:pos="440"/>
            </w:tabs>
            <w:rPr>
              <w:rFonts w:asciiTheme="minorHAnsi" w:eastAsiaTheme="minorEastAsia" w:hAnsiTheme="minorHAnsi"/>
              <w:sz w:val="24"/>
              <w:szCs w:val="24"/>
            </w:rPr>
          </w:pPr>
          <w:hyperlink w:anchor="_Toc200486091" w:history="1">
            <w:r w:rsidR="00F62025" w:rsidRPr="00487687">
              <w:rPr>
                <w:rStyle w:val="Lienhypertexte"/>
                <w:rFonts w:eastAsia="Calibri"/>
                <w:lang w:bidi="ar-DZ"/>
              </w:rPr>
              <w:t>5.</w:t>
            </w:r>
            <w:r w:rsidR="00F62025">
              <w:rPr>
                <w:rFonts w:asciiTheme="minorHAnsi" w:eastAsiaTheme="minorEastAsia" w:hAnsiTheme="minorHAnsi"/>
                <w:sz w:val="24"/>
                <w:szCs w:val="24"/>
              </w:rPr>
              <w:tab/>
            </w:r>
            <w:r w:rsidR="00F62025" w:rsidRPr="00487687">
              <w:rPr>
                <w:rStyle w:val="Lienhypertexte"/>
                <w:rFonts w:eastAsia="Calibri"/>
                <w:lang w:bidi="ar-DZ"/>
              </w:rPr>
              <w:t>Pedagogical Implications</w:t>
            </w:r>
            <w:r w:rsidR="00F62025">
              <w:rPr>
                <w:webHidden/>
              </w:rPr>
              <w:tab/>
            </w:r>
            <w:r w:rsidR="00F62025">
              <w:rPr>
                <w:webHidden/>
              </w:rPr>
              <w:fldChar w:fldCharType="begin"/>
            </w:r>
            <w:r w:rsidR="00F62025">
              <w:rPr>
                <w:webHidden/>
              </w:rPr>
              <w:instrText xml:space="preserve"> PAGEREF _Toc200486091 \h </w:instrText>
            </w:r>
            <w:r w:rsidR="00F62025">
              <w:rPr>
                <w:webHidden/>
              </w:rPr>
            </w:r>
            <w:r w:rsidR="00F62025">
              <w:rPr>
                <w:webHidden/>
              </w:rPr>
              <w:fldChar w:fldCharType="separate"/>
            </w:r>
            <w:r w:rsidR="00DC3231">
              <w:rPr>
                <w:webHidden/>
              </w:rPr>
              <w:t>85</w:t>
            </w:r>
            <w:r w:rsidR="00F62025">
              <w:rPr>
                <w:webHidden/>
              </w:rPr>
              <w:fldChar w:fldCharType="end"/>
            </w:r>
          </w:hyperlink>
        </w:p>
        <w:p w14:paraId="16AD91F9" w14:textId="04229B1A" w:rsidR="00F62025" w:rsidRDefault="00A8731A">
          <w:pPr>
            <w:pStyle w:val="TM1"/>
            <w:tabs>
              <w:tab w:val="left" w:pos="440"/>
            </w:tabs>
            <w:rPr>
              <w:rFonts w:asciiTheme="minorHAnsi" w:eastAsiaTheme="minorEastAsia" w:hAnsiTheme="minorHAnsi"/>
              <w:sz w:val="24"/>
              <w:szCs w:val="24"/>
            </w:rPr>
          </w:pPr>
          <w:hyperlink w:anchor="_Toc200486092" w:history="1">
            <w:r w:rsidR="00F62025" w:rsidRPr="00487687">
              <w:rPr>
                <w:rStyle w:val="Lienhypertexte"/>
                <w:rFonts w:eastAsia="Calibri"/>
                <w:lang w:bidi="ar-DZ"/>
              </w:rPr>
              <w:t>6.</w:t>
            </w:r>
            <w:r w:rsidR="00F62025">
              <w:rPr>
                <w:rFonts w:asciiTheme="minorHAnsi" w:eastAsiaTheme="minorEastAsia" w:hAnsiTheme="minorHAnsi"/>
                <w:sz w:val="24"/>
                <w:szCs w:val="24"/>
              </w:rPr>
              <w:tab/>
            </w:r>
            <w:r w:rsidR="00F62025" w:rsidRPr="00487687">
              <w:rPr>
                <w:rStyle w:val="Lienhypertexte"/>
                <w:rFonts w:eastAsia="Calibri"/>
                <w:lang w:bidi="ar-DZ"/>
              </w:rPr>
              <w:t>Recommendations for Further Research</w:t>
            </w:r>
            <w:r w:rsidR="00F62025">
              <w:rPr>
                <w:webHidden/>
              </w:rPr>
              <w:tab/>
            </w:r>
            <w:r w:rsidR="00F62025">
              <w:rPr>
                <w:webHidden/>
              </w:rPr>
              <w:fldChar w:fldCharType="begin"/>
            </w:r>
            <w:r w:rsidR="00F62025">
              <w:rPr>
                <w:webHidden/>
              </w:rPr>
              <w:instrText xml:space="preserve"> PAGEREF _Toc200486092 \h </w:instrText>
            </w:r>
            <w:r w:rsidR="00F62025">
              <w:rPr>
                <w:webHidden/>
              </w:rPr>
            </w:r>
            <w:r w:rsidR="00F62025">
              <w:rPr>
                <w:webHidden/>
              </w:rPr>
              <w:fldChar w:fldCharType="separate"/>
            </w:r>
            <w:r w:rsidR="00DC3231">
              <w:rPr>
                <w:webHidden/>
              </w:rPr>
              <w:t>86</w:t>
            </w:r>
            <w:r w:rsidR="00F62025">
              <w:rPr>
                <w:webHidden/>
              </w:rPr>
              <w:fldChar w:fldCharType="end"/>
            </w:r>
          </w:hyperlink>
        </w:p>
        <w:p w14:paraId="1BC5AAF1" w14:textId="54B03972" w:rsidR="00F62025" w:rsidRDefault="00A8731A">
          <w:pPr>
            <w:pStyle w:val="TM1"/>
            <w:rPr>
              <w:rFonts w:asciiTheme="minorHAnsi" w:eastAsiaTheme="minorEastAsia" w:hAnsiTheme="minorHAnsi"/>
              <w:sz w:val="24"/>
              <w:szCs w:val="24"/>
            </w:rPr>
          </w:pPr>
          <w:hyperlink w:anchor="_Toc200486093" w:history="1">
            <w:r w:rsidR="00F62025" w:rsidRPr="00487687">
              <w:rPr>
                <w:rStyle w:val="Lienhypertexte"/>
                <w:lang w:bidi="ar-DZ"/>
              </w:rPr>
              <w:t>Conclusion</w:t>
            </w:r>
            <w:r w:rsidR="00F62025">
              <w:rPr>
                <w:webHidden/>
              </w:rPr>
              <w:tab/>
            </w:r>
            <w:r w:rsidR="00F62025">
              <w:rPr>
                <w:webHidden/>
              </w:rPr>
              <w:fldChar w:fldCharType="begin"/>
            </w:r>
            <w:r w:rsidR="00F62025">
              <w:rPr>
                <w:webHidden/>
              </w:rPr>
              <w:instrText xml:space="preserve"> PAGEREF _Toc200486093 \h </w:instrText>
            </w:r>
            <w:r w:rsidR="00F62025">
              <w:rPr>
                <w:webHidden/>
              </w:rPr>
            </w:r>
            <w:r w:rsidR="00F62025">
              <w:rPr>
                <w:webHidden/>
              </w:rPr>
              <w:fldChar w:fldCharType="separate"/>
            </w:r>
            <w:r w:rsidR="00DC3231">
              <w:rPr>
                <w:webHidden/>
              </w:rPr>
              <w:t>87</w:t>
            </w:r>
            <w:r w:rsidR="00F62025">
              <w:rPr>
                <w:webHidden/>
              </w:rPr>
              <w:fldChar w:fldCharType="end"/>
            </w:r>
          </w:hyperlink>
        </w:p>
        <w:p w14:paraId="093B9CD9" w14:textId="048EF28D" w:rsidR="00F62025" w:rsidRDefault="00A8731A">
          <w:pPr>
            <w:pStyle w:val="TM1"/>
            <w:rPr>
              <w:rFonts w:asciiTheme="minorHAnsi" w:eastAsiaTheme="minorEastAsia" w:hAnsiTheme="minorHAnsi"/>
              <w:sz w:val="24"/>
              <w:szCs w:val="24"/>
            </w:rPr>
          </w:pPr>
          <w:hyperlink w:anchor="_Toc200486094" w:history="1">
            <w:r w:rsidR="00F62025">
              <w:rPr>
                <w:webHidden/>
              </w:rPr>
              <w:tab/>
            </w:r>
            <w:r w:rsidR="00F62025">
              <w:rPr>
                <w:webHidden/>
              </w:rPr>
              <w:fldChar w:fldCharType="begin"/>
            </w:r>
            <w:r w:rsidR="00F62025">
              <w:rPr>
                <w:webHidden/>
              </w:rPr>
              <w:instrText xml:space="preserve"> PAGEREF _Toc200486094 \h </w:instrText>
            </w:r>
            <w:r w:rsidR="00F62025">
              <w:rPr>
                <w:webHidden/>
              </w:rPr>
            </w:r>
            <w:r w:rsidR="00F62025">
              <w:rPr>
                <w:webHidden/>
              </w:rPr>
              <w:fldChar w:fldCharType="separate"/>
            </w:r>
            <w:r w:rsidR="00DC3231">
              <w:rPr>
                <w:webHidden/>
              </w:rPr>
              <w:t>88</w:t>
            </w:r>
            <w:r w:rsidR="00F62025">
              <w:rPr>
                <w:webHidden/>
              </w:rPr>
              <w:fldChar w:fldCharType="end"/>
            </w:r>
          </w:hyperlink>
        </w:p>
        <w:p w14:paraId="4EFCD446" w14:textId="24E140F2" w:rsidR="00F62025" w:rsidRDefault="00A8731A">
          <w:pPr>
            <w:pStyle w:val="TM1"/>
            <w:rPr>
              <w:rFonts w:asciiTheme="minorHAnsi" w:eastAsiaTheme="minorEastAsia" w:hAnsiTheme="minorHAnsi"/>
              <w:sz w:val="24"/>
              <w:szCs w:val="24"/>
            </w:rPr>
          </w:pPr>
          <w:hyperlink w:anchor="_Toc200486095" w:history="1">
            <w:r w:rsidR="00F62025" w:rsidRPr="00487687">
              <w:rPr>
                <w:rStyle w:val="Lienhypertexte"/>
                <w:lang w:bidi="ar-DZ"/>
              </w:rPr>
              <w:t>General Conclusion</w:t>
            </w:r>
            <w:r w:rsidR="00F62025">
              <w:rPr>
                <w:webHidden/>
              </w:rPr>
              <w:tab/>
            </w:r>
            <w:r w:rsidR="00F62025">
              <w:rPr>
                <w:webHidden/>
              </w:rPr>
              <w:fldChar w:fldCharType="begin"/>
            </w:r>
            <w:r w:rsidR="00F62025">
              <w:rPr>
                <w:webHidden/>
              </w:rPr>
              <w:instrText xml:space="preserve"> PAGEREF _Toc200486095 \h </w:instrText>
            </w:r>
            <w:r w:rsidR="00F62025">
              <w:rPr>
                <w:webHidden/>
              </w:rPr>
            </w:r>
            <w:r w:rsidR="00F62025">
              <w:rPr>
                <w:webHidden/>
              </w:rPr>
              <w:fldChar w:fldCharType="separate"/>
            </w:r>
            <w:r w:rsidR="00DC3231">
              <w:rPr>
                <w:webHidden/>
              </w:rPr>
              <w:t>89</w:t>
            </w:r>
            <w:r w:rsidR="00F62025">
              <w:rPr>
                <w:webHidden/>
              </w:rPr>
              <w:fldChar w:fldCharType="end"/>
            </w:r>
          </w:hyperlink>
        </w:p>
        <w:p w14:paraId="321A95F8" w14:textId="445CA9F6" w:rsidR="00F62025" w:rsidRDefault="00A8731A" w:rsidP="00991D82">
          <w:pPr>
            <w:pStyle w:val="TM1"/>
            <w:rPr>
              <w:rFonts w:asciiTheme="minorHAnsi" w:eastAsiaTheme="minorEastAsia" w:hAnsiTheme="minorHAnsi"/>
              <w:sz w:val="24"/>
              <w:szCs w:val="24"/>
            </w:rPr>
          </w:pPr>
          <w:hyperlink w:anchor="_Toc200486096" w:history="1">
            <w:r w:rsidR="00F62025" w:rsidRPr="00487687">
              <w:rPr>
                <w:rStyle w:val="Lienhypertexte"/>
                <w:lang w:bidi="ar-DZ"/>
              </w:rPr>
              <w:t>References</w:t>
            </w:r>
            <w:r w:rsidR="00F62025">
              <w:rPr>
                <w:webHidden/>
              </w:rPr>
              <w:tab/>
            </w:r>
            <w:r w:rsidR="00F62025">
              <w:rPr>
                <w:webHidden/>
              </w:rPr>
              <w:fldChar w:fldCharType="begin"/>
            </w:r>
            <w:r w:rsidR="00F62025">
              <w:rPr>
                <w:webHidden/>
              </w:rPr>
              <w:instrText xml:space="preserve"> PAGEREF _Toc200486096 \h </w:instrText>
            </w:r>
            <w:r w:rsidR="00F62025">
              <w:rPr>
                <w:webHidden/>
              </w:rPr>
            </w:r>
            <w:r w:rsidR="00F62025">
              <w:rPr>
                <w:webHidden/>
              </w:rPr>
              <w:fldChar w:fldCharType="separate"/>
            </w:r>
            <w:r w:rsidR="00DC3231">
              <w:rPr>
                <w:webHidden/>
              </w:rPr>
              <w:t>91</w:t>
            </w:r>
            <w:r w:rsidR="00F62025">
              <w:rPr>
                <w:webHidden/>
              </w:rPr>
              <w:fldChar w:fldCharType="end"/>
            </w:r>
          </w:hyperlink>
        </w:p>
        <w:p w14:paraId="20FBF135" w14:textId="36F66D11" w:rsidR="00F62025" w:rsidRDefault="00A8731A" w:rsidP="00991D82">
          <w:pPr>
            <w:pStyle w:val="TM1"/>
            <w:rPr>
              <w:rFonts w:asciiTheme="minorHAnsi" w:eastAsiaTheme="minorEastAsia" w:hAnsiTheme="minorHAnsi"/>
              <w:sz w:val="24"/>
              <w:szCs w:val="24"/>
            </w:rPr>
          </w:pPr>
          <w:hyperlink w:anchor="_Toc200486239" w:history="1">
            <w:r w:rsidR="00F62025" w:rsidRPr="00487687">
              <w:rPr>
                <w:rStyle w:val="Lienhypertexte"/>
                <w:lang w:bidi="ar-DZ"/>
              </w:rPr>
              <w:t>Appendices</w:t>
            </w:r>
            <w:r w:rsidR="00F62025">
              <w:rPr>
                <w:webHidden/>
              </w:rPr>
              <w:tab/>
            </w:r>
          </w:hyperlink>
        </w:p>
        <w:p w14:paraId="49780033" w14:textId="26C2F7D3" w:rsidR="00F62025" w:rsidRDefault="00A8731A" w:rsidP="00991D82">
          <w:pPr>
            <w:pStyle w:val="TM1"/>
            <w:rPr>
              <w:rFonts w:asciiTheme="minorHAnsi" w:eastAsiaTheme="minorEastAsia" w:hAnsiTheme="minorHAnsi"/>
              <w:sz w:val="24"/>
              <w:szCs w:val="24"/>
            </w:rPr>
          </w:pPr>
          <w:hyperlink w:anchor="_Toc200486415" w:history="1">
            <w:r w:rsidR="00F62025" w:rsidRPr="00487687">
              <w:rPr>
                <w:rStyle w:val="Lienhypertexte"/>
                <w:b/>
                <w:bCs/>
                <w:rtl/>
              </w:rPr>
              <w:t>الملخص</w:t>
            </w:r>
            <w:r w:rsidR="00F62025">
              <w:rPr>
                <w:webHidden/>
              </w:rPr>
              <w:tab/>
            </w:r>
          </w:hyperlink>
        </w:p>
        <w:p w14:paraId="54F17EAE" w14:textId="1BAC7022" w:rsidR="00E319DB" w:rsidRDefault="00E319DB">
          <w:pPr>
            <w:ind w:hanging="2"/>
            <w:rPr>
              <w:noProof/>
            </w:rPr>
          </w:pPr>
          <w:r>
            <w:rPr>
              <w:b/>
              <w:bCs/>
              <w:noProof/>
            </w:rPr>
            <w:fldChar w:fldCharType="end"/>
          </w:r>
        </w:p>
      </w:sdtContent>
    </w:sdt>
    <w:p w14:paraId="2D8434BF" w14:textId="77777777" w:rsidR="00737138" w:rsidRPr="008765BA" w:rsidRDefault="00737138" w:rsidP="00723C7A">
      <w:pPr>
        <w:spacing w:line="276" w:lineRule="auto"/>
        <w:ind w:hanging="2"/>
        <w:rPr>
          <w:noProof/>
        </w:rPr>
      </w:pPr>
    </w:p>
    <w:p w14:paraId="43E85821" w14:textId="77777777" w:rsidR="00737138" w:rsidRDefault="00737138" w:rsidP="00723C7A">
      <w:pPr>
        <w:pStyle w:val="Tabledesillustrations"/>
        <w:tabs>
          <w:tab w:val="right" w:leader="dot" w:pos="9062"/>
        </w:tabs>
        <w:spacing w:line="276" w:lineRule="auto"/>
        <w:ind w:hanging="2"/>
        <w:jc w:val="center"/>
        <w:rPr>
          <w:rFonts w:asciiTheme="majorBidi" w:hAnsiTheme="majorBidi" w:cstheme="majorBidi"/>
          <w:b/>
          <w:bCs/>
          <w:sz w:val="24"/>
          <w:szCs w:val="24"/>
        </w:rPr>
      </w:pPr>
      <w:r w:rsidRPr="005E61BB">
        <w:rPr>
          <w:rFonts w:asciiTheme="majorBidi" w:hAnsiTheme="majorBidi" w:cstheme="majorBidi"/>
          <w:b/>
          <w:bCs/>
          <w:sz w:val="24"/>
          <w:szCs w:val="24"/>
        </w:rPr>
        <w:fldChar w:fldCharType="end"/>
      </w:r>
      <w:r w:rsidRPr="00F629CB">
        <w:rPr>
          <w:rFonts w:asciiTheme="majorBidi" w:hAnsiTheme="majorBidi" w:cstheme="majorBidi"/>
          <w:b/>
          <w:bCs/>
          <w:sz w:val="24"/>
          <w:szCs w:val="24"/>
        </w:rPr>
        <w:br w:type="page"/>
      </w:r>
    </w:p>
    <w:p w14:paraId="4389D489" w14:textId="77777777" w:rsidR="00737138" w:rsidRDefault="00737138" w:rsidP="00737138">
      <w:pPr>
        <w:ind w:hanging="2"/>
        <w:rPr>
          <w:rFonts w:asciiTheme="majorBidi" w:hAnsiTheme="majorBidi" w:cstheme="majorBidi"/>
          <w:b/>
          <w:bCs/>
        </w:rPr>
        <w:sectPr w:rsidR="00737138" w:rsidSect="007C3B06">
          <w:footerReference w:type="default" r:id="rId16"/>
          <w:pgSz w:w="11906" w:h="16838" w:code="9"/>
          <w:pgMar w:top="1440" w:right="1440" w:bottom="1440" w:left="1440" w:header="720" w:footer="720" w:gutter="0"/>
          <w:pgNumType w:fmt="upperRoman" w:start="1"/>
          <w:cols w:space="720"/>
          <w:docGrid w:linePitch="360"/>
        </w:sectPr>
      </w:pPr>
    </w:p>
    <w:p w14:paraId="19AB70DA" w14:textId="77777777" w:rsidR="00737138" w:rsidRDefault="00737138" w:rsidP="00737138">
      <w:pPr>
        <w:ind w:hanging="2"/>
        <w:rPr>
          <w:rFonts w:asciiTheme="majorBidi" w:hAnsiTheme="majorBidi" w:cstheme="majorBidi"/>
          <w:b/>
          <w:bCs/>
        </w:rPr>
      </w:pPr>
    </w:p>
    <w:p w14:paraId="61150FF1" w14:textId="77777777" w:rsidR="00737138" w:rsidRDefault="00737138" w:rsidP="00737138">
      <w:pPr>
        <w:ind w:hanging="2"/>
        <w:rPr>
          <w:rFonts w:asciiTheme="majorBidi" w:hAnsiTheme="majorBidi" w:cstheme="majorBidi"/>
          <w:b/>
          <w:bCs/>
        </w:rPr>
      </w:pPr>
    </w:p>
    <w:p w14:paraId="00118BF6" w14:textId="77777777" w:rsidR="00737138" w:rsidRDefault="00737138" w:rsidP="00737138">
      <w:pPr>
        <w:ind w:hanging="2"/>
        <w:rPr>
          <w:rFonts w:asciiTheme="majorBidi" w:hAnsiTheme="majorBidi" w:cstheme="majorBidi"/>
          <w:b/>
          <w:bCs/>
        </w:rPr>
      </w:pPr>
    </w:p>
    <w:p w14:paraId="3C331610" w14:textId="77777777" w:rsidR="00737138" w:rsidRDefault="00737138" w:rsidP="00737138">
      <w:pPr>
        <w:ind w:hanging="2"/>
        <w:rPr>
          <w:rFonts w:asciiTheme="majorBidi" w:hAnsiTheme="majorBidi" w:cstheme="majorBidi"/>
          <w:b/>
          <w:bCs/>
        </w:rPr>
      </w:pPr>
    </w:p>
    <w:p w14:paraId="0EE23869" w14:textId="77777777" w:rsidR="00737138" w:rsidRDefault="00737138" w:rsidP="00737138">
      <w:pPr>
        <w:ind w:hanging="2"/>
        <w:rPr>
          <w:rFonts w:asciiTheme="majorBidi" w:hAnsiTheme="majorBidi" w:cstheme="majorBidi"/>
          <w:b/>
          <w:bCs/>
        </w:rPr>
      </w:pPr>
    </w:p>
    <w:p w14:paraId="179AD808" w14:textId="77777777" w:rsidR="00737138" w:rsidRDefault="00737138" w:rsidP="00737138">
      <w:pPr>
        <w:ind w:hanging="2"/>
        <w:rPr>
          <w:rFonts w:asciiTheme="majorBidi" w:hAnsiTheme="majorBidi" w:cstheme="majorBidi"/>
          <w:b/>
          <w:bCs/>
        </w:rPr>
      </w:pPr>
    </w:p>
    <w:p w14:paraId="2A5E741D" w14:textId="77777777" w:rsidR="00737138" w:rsidRDefault="00737138" w:rsidP="00737138">
      <w:pPr>
        <w:ind w:hanging="2"/>
        <w:rPr>
          <w:rFonts w:asciiTheme="majorBidi" w:hAnsiTheme="majorBidi" w:cstheme="majorBidi"/>
          <w:b/>
          <w:bCs/>
        </w:rPr>
      </w:pPr>
    </w:p>
    <w:p w14:paraId="049941C6" w14:textId="77777777" w:rsidR="00737138" w:rsidRDefault="00737138" w:rsidP="00737138">
      <w:pPr>
        <w:ind w:hanging="2"/>
        <w:rPr>
          <w:rFonts w:asciiTheme="majorBidi" w:hAnsiTheme="majorBidi" w:cstheme="majorBidi"/>
          <w:b/>
          <w:bCs/>
        </w:rPr>
      </w:pPr>
    </w:p>
    <w:p w14:paraId="067CF61E" w14:textId="77777777" w:rsidR="00737138" w:rsidRDefault="00737138" w:rsidP="00737138">
      <w:pPr>
        <w:ind w:hanging="2"/>
        <w:rPr>
          <w:rFonts w:asciiTheme="majorBidi" w:hAnsiTheme="majorBidi" w:cstheme="majorBidi"/>
          <w:b/>
          <w:bCs/>
        </w:rPr>
      </w:pPr>
    </w:p>
    <w:p w14:paraId="02FA7E52" w14:textId="77777777" w:rsidR="00737138" w:rsidRDefault="00737138" w:rsidP="00737138">
      <w:pPr>
        <w:ind w:hanging="2"/>
        <w:rPr>
          <w:rFonts w:asciiTheme="majorBidi" w:hAnsiTheme="majorBidi" w:cstheme="majorBidi"/>
          <w:b/>
          <w:bCs/>
        </w:rPr>
      </w:pPr>
    </w:p>
    <w:p w14:paraId="5ECCC3B6" w14:textId="77777777" w:rsidR="00737138" w:rsidRDefault="00737138" w:rsidP="00737138">
      <w:pPr>
        <w:ind w:hanging="2"/>
        <w:rPr>
          <w:rFonts w:asciiTheme="majorBidi" w:hAnsiTheme="majorBidi" w:cstheme="majorBidi"/>
          <w:b/>
          <w:bCs/>
        </w:rPr>
      </w:pPr>
    </w:p>
    <w:p w14:paraId="707D1899" w14:textId="77777777" w:rsidR="00737138" w:rsidRDefault="00737138" w:rsidP="00737138">
      <w:pPr>
        <w:ind w:hanging="2"/>
        <w:rPr>
          <w:rFonts w:asciiTheme="majorBidi" w:hAnsiTheme="majorBidi" w:cstheme="majorBidi"/>
          <w:b/>
          <w:bCs/>
        </w:rPr>
      </w:pPr>
    </w:p>
    <w:p w14:paraId="0A25A39D" w14:textId="3D3A8174" w:rsidR="00737138" w:rsidRDefault="00737138" w:rsidP="00737138">
      <w:pPr>
        <w:ind w:hanging="2"/>
        <w:rPr>
          <w:rFonts w:asciiTheme="majorBidi" w:hAnsiTheme="majorBidi" w:cstheme="majorBidi"/>
          <w:b/>
          <w:bCs/>
        </w:rPr>
      </w:pPr>
    </w:p>
    <w:p w14:paraId="61028597" w14:textId="34CF47EF" w:rsidR="00737138" w:rsidRDefault="00737138" w:rsidP="00737138">
      <w:pPr>
        <w:ind w:hanging="2"/>
        <w:rPr>
          <w:rFonts w:asciiTheme="majorBidi" w:hAnsiTheme="majorBidi" w:cstheme="majorBidi"/>
          <w:b/>
          <w:bCs/>
        </w:rPr>
      </w:pPr>
    </w:p>
    <w:p w14:paraId="38CBDD9A" w14:textId="77777777" w:rsidR="00737138" w:rsidRDefault="00737138" w:rsidP="00737138">
      <w:pPr>
        <w:ind w:hanging="2"/>
        <w:rPr>
          <w:rFonts w:asciiTheme="majorBidi" w:hAnsiTheme="majorBidi" w:cstheme="majorBidi"/>
          <w:b/>
          <w:bCs/>
        </w:rPr>
      </w:pPr>
    </w:p>
    <w:p w14:paraId="2AFE47AC" w14:textId="77777777" w:rsidR="00C74032" w:rsidRDefault="00C74032" w:rsidP="00737138">
      <w:pPr>
        <w:ind w:hanging="2"/>
        <w:rPr>
          <w:rFonts w:asciiTheme="majorBidi" w:hAnsiTheme="majorBidi" w:cstheme="majorBidi"/>
          <w:b/>
          <w:bCs/>
        </w:rPr>
      </w:pPr>
    </w:p>
    <w:p w14:paraId="00013E6E" w14:textId="77777777" w:rsidR="00737138" w:rsidRDefault="00737138" w:rsidP="00737138">
      <w:pPr>
        <w:ind w:hanging="2"/>
        <w:rPr>
          <w:rFonts w:asciiTheme="majorBidi" w:hAnsiTheme="majorBidi" w:cstheme="majorBidi"/>
          <w:b/>
          <w:bCs/>
        </w:rPr>
      </w:pPr>
    </w:p>
    <w:p w14:paraId="4AC4C180" w14:textId="77777777" w:rsidR="00737138" w:rsidRDefault="00737138" w:rsidP="00737138">
      <w:pPr>
        <w:ind w:hanging="2"/>
        <w:rPr>
          <w:rFonts w:asciiTheme="majorBidi" w:hAnsiTheme="majorBidi" w:cstheme="majorBidi"/>
          <w:b/>
          <w:bCs/>
        </w:rPr>
      </w:pPr>
    </w:p>
    <w:p w14:paraId="79402689" w14:textId="77777777" w:rsidR="00737138" w:rsidRDefault="00737138" w:rsidP="00737138">
      <w:pPr>
        <w:ind w:hanging="2"/>
        <w:rPr>
          <w:rFonts w:asciiTheme="majorBidi" w:hAnsiTheme="majorBidi" w:cstheme="majorBidi"/>
          <w:b/>
          <w:bCs/>
        </w:rPr>
      </w:pPr>
    </w:p>
    <w:p w14:paraId="2592A109" w14:textId="77777777" w:rsidR="00737138" w:rsidRDefault="00737138" w:rsidP="00BD23CC">
      <w:pPr>
        <w:rPr>
          <w:rFonts w:asciiTheme="majorBidi" w:hAnsiTheme="majorBidi" w:cstheme="majorBidi"/>
          <w:b/>
          <w:bCs/>
        </w:rPr>
      </w:pPr>
    </w:p>
    <w:p w14:paraId="05388C86" w14:textId="77777777" w:rsidR="00737138" w:rsidRDefault="00737138" w:rsidP="00737138">
      <w:pPr>
        <w:ind w:hanging="2"/>
        <w:rPr>
          <w:rFonts w:asciiTheme="majorBidi" w:hAnsiTheme="majorBidi" w:cstheme="majorBidi"/>
          <w:b/>
          <w:bCs/>
        </w:rPr>
      </w:pPr>
    </w:p>
    <w:p w14:paraId="44147938" w14:textId="77777777" w:rsidR="00756E9C" w:rsidRDefault="00756E9C" w:rsidP="00737138">
      <w:pPr>
        <w:ind w:hanging="2"/>
        <w:rPr>
          <w:rFonts w:asciiTheme="majorBidi" w:hAnsiTheme="majorBidi" w:cstheme="majorBidi"/>
          <w:b/>
          <w:bCs/>
        </w:rPr>
      </w:pPr>
    </w:p>
    <w:p w14:paraId="56E24228" w14:textId="77777777" w:rsidR="00756E9C" w:rsidRDefault="00756E9C" w:rsidP="00737138">
      <w:pPr>
        <w:ind w:hanging="2"/>
        <w:rPr>
          <w:rFonts w:asciiTheme="majorBidi" w:hAnsiTheme="majorBidi" w:cstheme="majorBidi"/>
          <w:b/>
          <w:bCs/>
        </w:rPr>
      </w:pPr>
    </w:p>
    <w:p w14:paraId="3FD5FBFE" w14:textId="30692C04" w:rsidR="00756E9C" w:rsidRDefault="004737B2" w:rsidP="00737138">
      <w:pPr>
        <w:ind w:hanging="2"/>
        <w:rPr>
          <w:rFonts w:asciiTheme="majorBidi" w:hAnsiTheme="majorBidi" w:cstheme="majorBidi"/>
          <w:b/>
          <w:bCs/>
        </w:rPr>
      </w:pPr>
      <w:r>
        <w:rPr>
          <w:noProof/>
          <w:lang w:val="fr-FR" w:eastAsia="fr-FR"/>
        </w:rPr>
        <w:drawing>
          <wp:inline distT="0" distB="0" distL="0" distR="0" wp14:anchorId="4DCA5C1C" wp14:editId="5AED36ED">
            <wp:extent cx="5486400" cy="2057400"/>
            <wp:effectExtent l="0" t="38100" r="19050" b="0"/>
            <wp:docPr id="1525413663" name="Diagram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7" r:lo="rId18" r:qs="rId19" r:cs="rId20"/>
              </a:graphicData>
            </a:graphic>
          </wp:inline>
        </w:drawing>
      </w:r>
    </w:p>
    <w:p w14:paraId="6724DBA8" w14:textId="77777777" w:rsidR="00756E9C" w:rsidRDefault="00756E9C" w:rsidP="00737138">
      <w:pPr>
        <w:ind w:hanging="2"/>
        <w:rPr>
          <w:rFonts w:asciiTheme="majorBidi" w:hAnsiTheme="majorBidi" w:cstheme="majorBidi"/>
          <w:b/>
          <w:bCs/>
        </w:rPr>
      </w:pPr>
    </w:p>
    <w:p w14:paraId="3713748F" w14:textId="77777777" w:rsidR="00756E9C" w:rsidRDefault="00756E9C" w:rsidP="00737138">
      <w:pPr>
        <w:ind w:hanging="2"/>
        <w:rPr>
          <w:rFonts w:asciiTheme="majorBidi" w:hAnsiTheme="majorBidi" w:cstheme="majorBidi"/>
          <w:b/>
          <w:bCs/>
        </w:rPr>
      </w:pPr>
    </w:p>
    <w:p w14:paraId="33160170" w14:textId="77777777" w:rsidR="00756E9C" w:rsidRDefault="00756E9C" w:rsidP="00737138">
      <w:pPr>
        <w:ind w:hanging="2"/>
        <w:rPr>
          <w:rFonts w:asciiTheme="majorBidi" w:hAnsiTheme="majorBidi" w:cstheme="majorBidi"/>
          <w:b/>
          <w:bCs/>
        </w:rPr>
      </w:pPr>
    </w:p>
    <w:p w14:paraId="71BEA033" w14:textId="77777777" w:rsidR="00756E9C" w:rsidRDefault="00756E9C" w:rsidP="00737138">
      <w:pPr>
        <w:ind w:hanging="2"/>
        <w:rPr>
          <w:rFonts w:asciiTheme="majorBidi" w:hAnsiTheme="majorBidi" w:cstheme="majorBidi"/>
          <w:b/>
          <w:bCs/>
        </w:rPr>
      </w:pPr>
    </w:p>
    <w:p w14:paraId="6D560578" w14:textId="77777777" w:rsidR="00756E9C" w:rsidRDefault="00756E9C" w:rsidP="00737138">
      <w:pPr>
        <w:ind w:hanging="2"/>
        <w:rPr>
          <w:rFonts w:asciiTheme="majorBidi" w:hAnsiTheme="majorBidi" w:cstheme="majorBidi"/>
          <w:b/>
          <w:bCs/>
        </w:rPr>
      </w:pPr>
    </w:p>
    <w:p w14:paraId="23FD9F07" w14:textId="77777777" w:rsidR="00756E9C" w:rsidRDefault="00756E9C" w:rsidP="00737138">
      <w:pPr>
        <w:ind w:hanging="2"/>
        <w:rPr>
          <w:rFonts w:asciiTheme="majorBidi" w:hAnsiTheme="majorBidi" w:cstheme="majorBidi"/>
          <w:b/>
          <w:bCs/>
        </w:rPr>
      </w:pPr>
    </w:p>
    <w:p w14:paraId="1E83A0CA" w14:textId="77777777" w:rsidR="00756E9C" w:rsidRDefault="00756E9C" w:rsidP="00737138">
      <w:pPr>
        <w:ind w:hanging="2"/>
        <w:rPr>
          <w:rFonts w:asciiTheme="majorBidi" w:hAnsiTheme="majorBidi" w:cstheme="majorBidi"/>
          <w:b/>
          <w:bCs/>
        </w:rPr>
      </w:pPr>
    </w:p>
    <w:p w14:paraId="5D20E0F2" w14:textId="77777777" w:rsidR="00756E9C" w:rsidRDefault="00756E9C" w:rsidP="00737138">
      <w:pPr>
        <w:ind w:hanging="2"/>
        <w:rPr>
          <w:rFonts w:asciiTheme="majorBidi" w:hAnsiTheme="majorBidi" w:cstheme="majorBidi"/>
          <w:b/>
          <w:bCs/>
        </w:rPr>
      </w:pPr>
    </w:p>
    <w:p w14:paraId="4D1728E9" w14:textId="77777777" w:rsidR="00756E9C" w:rsidRDefault="00756E9C" w:rsidP="00737138">
      <w:pPr>
        <w:ind w:hanging="2"/>
        <w:rPr>
          <w:rFonts w:asciiTheme="majorBidi" w:hAnsiTheme="majorBidi" w:cstheme="majorBidi"/>
          <w:b/>
          <w:bCs/>
        </w:rPr>
      </w:pPr>
    </w:p>
    <w:p w14:paraId="0B47D736" w14:textId="77777777" w:rsidR="00756E9C" w:rsidRDefault="00756E9C" w:rsidP="00737138">
      <w:pPr>
        <w:ind w:hanging="2"/>
        <w:rPr>
          <w:rFonts w:asciiTheme="majorBidi" w:hAnsiTheme="majorBidi" w:cstheme="majorBidi"/>
          <w:b/>
          <w:bCs/>
        </w:rPr>
      </w:pPr>
    </w:p>
    <w:p w14:paraId="58587C11" w14:textId="77777777" w:rsidR="00756E9C" w:rsidRDefault="00756E9C" w:rsidP="00737138">
      <w:pPr>
        <w:ind w:hanging="2"/>
        <w:rPr>
          <w:rFonts w:asciiTheme="majorBidi" w:hAnsiTheme="majorBidi" w:cstheme="majorBidi"/>
          <w:b/>
          <w:bCs/>
        </w:rPr>
      </w:pPr>
    </w:p>
    <w:p w14:paraId="70781679" w14:textId="77777777" w:rsidR="00756E9C" w:rsidRDefault="00756E9C" w:rsidP="00737138">
      <w:pPr>
        <w:ind w:hanging="2"/>
        <w:rPr>
          <w:rFonts w:asciiTheme="majorBidi" w:hAnsiTheme="majorBidi" w:cstheme="majorBidi"/>
          <w:b/>
          <w:bCs/>
        </w:rPr>
      </w:pPr>
    </w:p>
    <w:p w14:paraId="49C499DA" w14:textId="77777777" w:rsidR="00756E9C" w:rsidRDefault="00756E9C" w:rsidP="00BD23CC">
      <w:pPr>
        <w:rPr>
          <w:rFonts w:asciiTheme="majorBidi" w:hAnsiTheme="majorBidi" w:cstheme="majorBidi"/>
          <w:b/>
          <w:bCs/>
        </w:rPr>
      </w:pPr>
    </w:p>
    <w:p w14:paraId="296C3314" w14:textId="77777777" w:rsidR="00BD23CC" w:rsidRDefault="00BD23CC" w:rsidP="00BD23CC">
      <w:pPr>
        <w:rPr>
          <w:rFonts w:asciiTheme="majorBidi" w:hAnsiTheme="majorBidi" w:cstheme="majorBidi"/>
          <w:b/>
          <w:bCs/>
        </w:rPr>
      </w:pPr>
    </w:p>
    <w:p w14:paraId="546526DA" w14:textId="77777777" w:rsidR="00756E9C" w:rsidRDefault="00756E9C" w:rsidP="00737138">
      <w:pPr>
        <w:ind w:hanging="2"/>
        <w:rPr>
          <w:rFonts w:asciiTheme="majorBidi" w:hAnsiTheme="majorBidi" w:cstheme="majorBidi"/>
          <w:b/>
          <w:bCs/>
        </w:rPr>
      </w:pPr>
    </w:p>
    <w:p w14:paraId="1787BD49" w14:textId="77777777" w:rsidR="00737138" w:rsidRDefault="00737138">
      <w:pPr>
        <w:pStyle w:val="Paragraphedeliste"/>
        <w:numPr>
          <w:ilvl w:val="0"/>
          <w:numId w:val="4"/>
        </w:numPr>
        <w:spacing w:after="160" w:line="480" w:lineRule="auto"/>
        <w:ind w:left="0" w:hanging="2"/>
        <w:rPr>
          <w:rFonts w:asciiTheme="majorBidi" w:hAnsiTheme="majorBidi" w:cstheme="majorBidi"/>
          <w:b/>
          <w:bCs/>
          <w:sz w:val="24"/>
          <w:szCs w:val="24"/>
        </w:rPr>
      </w:pPr>
      <w:bookmarkStart w:id="64" w:name="_Toc200486005"/>
      <w:r>
        <w:rPr>
          <w:rFonts w:asciiTheme="majorBidi" w:hAnsiTheme="majorBidi" w:cstheme="majorBidi"/>
          <w:b/>
          <w:bCs/>
          <w:sz w:val="24"/>
          <w:szCs w:val="24"/>
        </w:rPr>
        <w:lastRenderedPageBreak/>
        <w:t xml:space="preserve">Background of the </w:t>
      </w:r>
      <w:proofErr w:type="spellStart"/>
      <w:r>
        <w:rPr>
          <w:rFonts w:asciiTheme="majorBidi" w:hAnsiTheme="majorBidi" w:cstheme="majorBidi"/>
          <w:b/>
          <w:bCs/>
          <w:sz w:val="24"/>
          <w:szCs w:val="24"/>
        </w:rPr>
        <w:t>Study</w:t>
      </w:r>
      <w:bookmarkEnd w:id="64"/>
      <w:proofErr w:type="spellEnd"/>
    </w:p>
    <w:p w14:paraId="035EF6A3" w14:textId="77777777" w:rsidR="00D07BA0" w:rsidRDefault="00737138" w:rsidP="00D07BA0">
      <w:pPr>
        <w:spacing w:before="240" w:line="480" w:lineRule="auto"/>
        <w:ind w:left="2" w:firstLineChars="235" w:firstLine="564"/>
        <w:jc w:val="both"/>
        <w:rPr>
          <w:rFonts w:asciiTheme="majorBidi" w:hAnsiTheme="majorBidi" w:cstheme="majorBidi"/>
        </w:rPr>
      </w:pPr>
      <w:bookmarkStart w:id="65" w:name="_Toc200486006"/>
      <w:r>
        <w:rPr>
          <w:rFonts w:asciiTheme="majorBidi" w:hAnsiTheme="majorBidi" w:cstheme="majorBidi"/>
        </w:rPr>
        <w:t xml:space="preserve">Applied linguistics is primarily concerned with solving real-world problems related to language use and learning. It serves as a theoretical and practical foundation to comprehend how language </w:t>
      </w:r>
      <w:proofErr w:type="gramStart"/>
      <w:r>
        <w:rPr>
          <w:rFonts w:asciiTheme="majorBidi" w:hAnsiTheme="majorBidi" w:cstheme="majorBidi"/>
        </w:rPr>
        <w:t>is learnt and taught</w:t>
      </w:r>
      <w:proofErr w:type="gramEnd"/>
      <w:r>
        <w:rPr>
          <w:rFonts w:asciiTheme="majorBidi" w:hAnsiTheme="majorBidi" w:cstheme="majorBidi"/>
        </w:rPr>
        <w:t xml:space="preserve">. Hence, it also emphasizes the importance of language teaching and language-teacher education. With particular emphasis on EFL teaching, it addresses how teachers develop, share and apply their pedagogical knowledge in distinct educational settings.  Wilkins (1994) claims that this multidisciplinary field answers questions that highlight “what is not being improved”.  Therefore, knowledge about language and skills in teaching and learning </w:t>
      </w:r>
      <w:proofErr w:type="gramStart"/>
      <w:r>
        <w:rPr>
          <w:rFonts w:asciiTheme="majorBidi" w:hAnsiTheme="majorBidi" w:cstheme="majorBidi"/>
        </w:rPr>
        <w:t>are integrated</w:t>
      </w:r>
      <w:proofErr w:type="gramEnd"/>
      <w:r>
        <w:rPr>
          <w:rFonts w:asciiTheme="majorBidi" w:hAnsiTheme="majorBidi" w:cstheme="majorBidi"/>
        </w:rPr>
        <w:t xml:space="preserve"> in effective teacher training programs necessary for teacher continuing professional development (CPD).</w:t>
      </w:r>
      <w:bookmarkEnd w:id="65"/>
      <w:r>
        <w:rPr>
          <w:rFonts w:asciiTheme="majorBidi" w:hAnsiTheme="majorBidi" w:cstheme="majorBidi"/>
        </w:rPr>
        <w:t xml:space="preserve"> </w:t>
      </w:r>
      <w:bookmarkStart w:id="66" w:name="_Toc200486007"/>
    </w:p>
    <w:p w14:paraId="0DB16619" w14:textId="77777777" w:rsidR="00D07BA0" w:rsidRDefault="00737138" w:rsidP="00D07BA0">
      <w:pPr>
        <w:spacing w:before="240" w:line="480" w:lineRule="auto"/>
        <w:ind w:left="2" w:firstLineChars="235" w:firstLine="564"/>
        <w:jc w:val="both"/>
        <w:rPr>
          <w:rFonts w:asciiTheme="majorBidi" w:hAnsiTheme="majorBidi" w:cstheme="majorBidi"/>
        </w:rPr>
      </w:pPr>
      <w:r>
        <w:rPr>
          <w:rFonts w:asciiTheme="majorBidi" w:hAnsiTheme="majorBidi" w:cstheme="majorBidi"/>
        </w:rPr>
        <w:t xml:space="preserve">Teacher development is a continuous and dynamic process that constitutes diverse professional learning experiences. It improves teachers’ subject matter knowledge, skills and practices. Richards and Rodgers (1986) argue that teacher education, preparation and career follow-up encompass the entire professional teacher </w:t>
      </w:r>
      <w:proofErr w:type="gramStart"/>
      <w:r>
        <w:rPr>
          <w:rFonts w:asciiTheme="majorBidi" w:hAnsiTheme="majorBidi" w:cstheme="majorBidi"/>
        </w:rPr>
        <w:t>practices which</w:t>
      </w:r>
      <w:proofErr w:type="gramEnd"/>
      <w:r>
        <w:rPr>
          <w:rFonts w:asciiTheme="majorBidi" w:hAnsiTheme="majorBidi" w:cstheme="majorBidi"/>
        </w:rPr>
        <w:t xml:space="preserve"> he also refers to as “the continuing education that keeps the teacher in touch with developments in the field”. Thus, effective teacher development improves significant professional and pedagogical areas in the teaching process. It accentuates adopting appropriate teaching methods, classroom management techniques, consistent assessment implementation and technology integration. As such, it is necessary for teachers to engage in meaningful learning experiences that foster this continuous process.</w:t>
      </w:r>
      <w:bookmarkEnd w:id="66"/>
    </w:p>
    <w:p w14:paraId="0A6D065B" w14:textId="20BF0D66" w:rsidR="00D07BA0" w:rsidRDefault="00AB28E1" w:rsidP="00D07BA0">
      <w:pPr>
        <w:spacing w:before="240" w:line="480" w:lineRule="auto"/>
        <w:ind w:left="2" w:firstLineChars="235" w:firstLine="564"/>
        <w:jc w:val="both"/>
        <w:rPr>
          <w:rFonts w:asciiTheme="majorBidi" w:hAnsiTheme="majorBidi" w:cstheme="majorBidi"/>
        </w:rPr>
      </w:pPr>
      <w:r>
        <w:rPr>
          <w:rFonts w:asciiTheme="majorBidi" w:hAnsiTheme="majorBidi" w:cstheme="majorBidi"/>
        </w:rPr>
        <w:t xml:space="preserve"> </w:t>
      </w:r>
      <w:bookmarkStart w:id="67" w:name="_Toc200486008"/>
      <w:r w:rsidR="00737138">
        <w:rPr>
          <w:rFonts w:asciiTheme="majorBidi" w:hAnsiTheme="majorBidi" w:cstheme="majorBidi"/>
        </w:rPr>
        <w:t>A key factor that supports CPD is collaboration among teachers.</w:t>
      </w:r>
      <w:r w:rsidR="00737138">
        <w:rPr>
          <w:rFonts w:asciiTheme="majorBidi" w:hAnsiTheme="majorBidi" w:cstheme="majorBidi"/>
          <w:noProof/>
        </w:rPr>
        <w:t xml:space="preserve"> </w:t>
      </w:r>
      <w:r w:rsidR="00737138">
        <w:rPr>
          <w:rFonts w:asciiTheme="majorBidi" w:hAnsiTheme="majorBidi" w:cstheme="majorBidi"/>
        </w:rPr>
        <w:t>Through transformative ongoing PD, teachers can even contribute to research. They exchange ideas, expertise, materials and feedback on specific topics. Bryan., et al (2001), as cited in (</w:t>
      </w:r>
      <w:proofErr w:type="spellStart"/>
      <w:r w:rsidR="00737138">
        <w:rPr>
          <w:rFonts w:asciiTheme="majorBidi" w:hAnsiTheme="majorBidi" w:cstheme="majorBidi"/>
        </w:rPr>
        <w:t>Cordingley</w:t>
      </w:r>
      <w:proofErr w:type="spellEnd"/>
      <w:r w:rsidR="00737138">
        <w:rPr>
          <w:rFonts w:asciiTheme="majorBidi" w:hAnsiTheme="majorBidi" w:cstheme="majorBidi"/>
        </w:rPr>
        <w:t xml:space="preserve"> et al, 2012) assert that teachers need time to share knowledge about their learners’ outcomes, </w:t>
      </w:r>
      <w:r w:rsidR="00737138">
        <w:rPr>
          <w:rFonts w:asciiTheme="majorBidi" w:hAnsiTheme="majorBidi" w:cstheme="majorBidi"/>
        </w:rPr>
        <w:lastRenderedPageBreak/>
        <w:t>classroom experiences and invest in received constructive criticism. Therefore, collaborative activities can enhance pedagogical decision-making and foster critical engagement with language teaching theoretical principles. This enables them to critically evaluate language use in their classrooms and purposefully adjust instructional practices.</w:t>
      </w:r>
      <w:bookmarkEnd w:id="67"/>
      <w:r w:rsidR="00737138">
        <w:rPr>
          <w:rFonts w:asciiTheme="majorBidi" w:hAnsiTheme="majorBidi" w:cstheme="majorBidi"/>
        </w:rPr>
        <w:t xml:space="preserve"> </w:t>
      </w:r>
    </w:p>
    <w:p w14:paraId="1F378BB5" w14:textId="77777777" w:rsidR="00624E56" w:rsidRDefault="00737138" w:rsidP="00624E56">
      <w:pPr>
        <w:spacing w:before="240" w:line="480" w:lineRule="auto"/>
        <w:ind w:left="2" w:firstLineChars="235" w:firstLine="564"/>
        <w:jc w:val="both"/>
        <w:rPr>
          <w:rFonts w:asciiTheme="majorBidi" w:hAnsiTheme="majorBidi" w:cstheme="majorBidi"/>
        </w:rPr>
      </w:pPr>
      <w:r>
        <w:rPr>
          <w:rFonts w:asciiTheme="majorBidi" w:hAnsiTheme="majorBidi" w:cstheme="majorBidi"/>
        </w:rPr>
        <w:t xml:space="preserve"> </w:t>
      </w:r>
      <w:bookmarkStart w:id="68" w:name="_Toc200486009"/>
      <w:r>
        <w:rPr>
          <w:rFonts w:asciiTheme="majorBidi" w:hAnsiTheme="majorBidi" w:cstheme="majorBidi"/>
        </w:rPr>
        <w:t xml:space="preserve">Additionally, the emergence of digital platforms, such as Online Teacher Learning Communities </w:t>
      </w:r>
      <w:r>
        <w:rPr>
          <w:rFonts w:asciiTheme="majorBidi" w:hAnsiTheme="majorBidi" w:cstheme="majorBidi"/>
          <w:noProof/>
        </w:rPr>
        <w:t>(OTLCs)</w:t>
      </w:r>
      <w:r>
        <w:rPr>
          <w:rFonts w:asciiTheme="majorBidi" w:hAnsiTheme="majorBidi" w:cstheme="majorBidi"/>
        </w:rPr>
        <w:t>, is a transformative vital mechanism that has encouraged these collaborative activities. They allow EFL educators to share resources and co-construct professional knowledge across geographical boundaries.</w:t>
      </w:r>
      <w:bookmarkEnd w:id="68"/>
      <w:r>
        <w:rPr>
          <w:rFonts w:asciiTheme="majorBidi" w:hAnsiTheme="majorBidi" w:cstheme="majorBidi"/>
        </w:rPr>
        <w:t xml:space="preserve"> </w:t>
      </w:r>
      <w:bookmarkStart w:id="69" w:name="_Toc200486010"/>
      <w:r>
        <w:rPr>
          <w:rFonts w:asciiTheme="majorBidi" w:hAnsiTheme="majorBidi" w:cstheme="majorBidi"/>
        </w:rPr>
        <w:t xml:space="preserve">Online Teacher Communities </w:t>
      </w:r>
      <w:bookmarkStart w:id="70" w:name="_Hlk199536409"/>
      <w:r>
        <w:rPr>
          <w:rFonts w:asciiTheme="majorBidi" w:hAnsiTheme="majorBidi" w:cstheme="majorBidi"/>
          <w:noProof/>
        </w:rPr>
        <w:t xml:space="preserve">(OTCs) </w:t>
      </w:r>
      <w:bookmarkEnd w:id="70"/>
      <w:r>
        <w:rPr>
          <w:rFonts w:asciiTheme="majorBidi" w:hAnsiTheme="majorBidi" w:cstheme="majorBidi"/>
        </w:rPr>
        <w:t xml:space="preserve">are principal spaces that facilitate continuous professional development among language teachers. This is essential for educators to stay updated with the latest research, methodologies and technological progress. Besides, OTCs aid teachers establish effective and engaging language learning environments that aim to mobilize qualified, competent, </w:t>
      </w:r>
      <w:proofErr w:type="gramStart"/>
      <w:r>
        <w:rPr>
          <w:rFonts w:asciiTheme="majorBidi" w:hAnsiTheme="majorBidi" w:cstheme="majorBidi"/>
        </w:rPr>
        <w:t>proficient</w:t>
      </w:r>
      <w:proofErr w:type="gramEnd"/>
      <w:r>
        <w:rPr>
          <w:rFonts w:asciiTheme="majorBidi" w:hAnsiTheme="majorBidi" w:cstheme="majorBidi"/>
        </w:rPr>
        <w:t xml:space="preserve"> and well- trained teachers. Vygotsky (1978) claims that mentor or peer collaborative approach encourages team-building skills where common experiences, strategies and perceptions </w:t>
      </w:r>
      <w:proofErr w:type="gramStart"/>
      <w:r>
        <w:rPr>
          <w:rFonts w:asciiTheme="majorBidi" w:hAnsiTheme="majorBidi" w:cstheme="majorBidi"/>
        </w:rPr>
        <w:t>are shared</w:t>
      </w:r>
      <w:proofErr w:type="gramEnd"/>
      <w:r>
        <w:rPr>
          <w:rFonts w:asciiTheme="majorBidi" w:hAnsiTheme="majorBidi" w:cstheme="majorBidi"/>
        </w:rPr>
        <w:t xml:space="preserve">. This </w:t>
      </w:r>
      <w:proofErr w:type="gramStart"/>
      <w:r>
        <w:rPr>
          <w:rFonts w:asciiTheme="majorBidi" w:hAnsiTheme="majorBidi" w:cstheme="majorBidi"/>
        </w:rPr>
        <w:t>can be achieved</w:t>
      </w:r>
      <w:proofErr w:type="gramEnd"/>
      <w:r>
        <w:rPr>
          <w:rFonts w:asciiTheme="majorBidi" w:hAnsiTheme="majorBidi" w:cstheme="majorBidi"/>
        </w:rPr>
        <w:t xml:space="preserve"> through collaborative action research </w:t>
      </w:r>
      <w:r>
        <w:rPr>
          <w:rFonts w:asciiTheme="majorBidi" w:hAnsiTheme="majorBidi" w:cstheme="majorBidi"/>
          <w:noProof/>
        </w:rPr>
        <w:t>(CAR).</w:t>
      </w:r>
      <w:bookmarkEnd w:id="69"/>
      <w:r>
        <w:rPr>
          <w:rFonts w:asciiTheme="majorBidi" w:hAnsiTheme="majorBidi" w:cstheme="majorBidi"/>
          <w:noProof/>
        </w:rPr>
        <w:t xml:space="preserve"> </w:t>
      </w:r>
      <w:bookmarkStart w:id="71" w:name="_Toc200486011"/>
    </w:p>
    <w:p w14:paraId="2867F47B" w14:textId="42E9D259" w:rsidR="00737138" w:rsidRDefault="00737138" w:rsidP="00624E56">
      <w:pPr>
        <w:spacing w:before="240" w:line="480" w:lineRule="auto"/>
        <w:ind w:left="2" w:firstLineChars="235" w:firstLine="564"/>
        <w:jc w:val="both"/>
        <w:rPr>
          <w:rFonts w:asciiTheme="majorBidi" w:hAnsiTheme="majorBidi" w:cstheme="majorBidi"/>
        </w:rPr>
      </w:pPr>
      <w:r>
        <w:rPr>
          <w:rFonts w:asciiTheme="majorBidi" w:hAnsiTheme="majorBidi" w:cstheme="majorBidi"/>
          <w:noProof/>
        </w:rPr>
        <w:t xml:space="preserve">Considering the afformentioned factors, collaboration and teamwork are fostered within OTCs. They aid teachers to develop and enhance distinct skills necessary for taking action and critically reflecting on it.  One particular area of concern is the competency to assess learners’ outcomes at the end of an instruction, a unit or an entire course and interpret results appropriately. It has been proved that OTCs are effective learning environments where educators learn, implement and critically evaluate summative assessment tools. The present study intends to investigate how engagement in OTCs contributes to </w:t>
      </w:r>
      <w:bookmarkStart w:id="72" w:name="_Hlk200405196"/>
      <w:r>
        <w:rPr>
          <w:rFonts w:asciiTheme="majorBidi" w:hAnsiTheme="majorBidi" w:cstheme="majorBidi"/>
          <w:noProof/>
        </w:rPr>
        <w:t xml:space="preserve">Algerian middle school EFL </w:t>
      </w:r>
      <w:bookmarkEnd w:id="72"/>
      <w:r>
        <w:rPr>
          <w:rFonts w:asciiTheme="majorBidi" w:hAnsiTheme="majorBidi" w:cstheme="majorBidi"/>
          <w:noProof/>
        </w:rPr>
        <w:t>teachers’ aptitude to comprehend and apply summative assessment principles.</w:t>
      </w:r>
      <w:bookmarkEnd w:id="71"/>
    </w:p>
    <w:p w14:paraId="6F58364A" w14:textId="77777777" w:rsidR="00AB28E1" w:rsidRPr="00134CE1" w:rsidRDefault="00AB28E1" w:rsidP="00737138">
      <w:pPr>
        <w:spacing w:line="480" w:lineRule="auto"/>
        <w:ind w:hanging="2"/>
        <w:jc w:val="both"/>
        <w:rPr>
          <w:rFonts w:asciiTheme="majorBidi" w:hAnsiTheme="majorBidi" w:cstheme="majorBidi"/>
          <w:b/>
          <w:bCs/>
        </w:rPr>
      </w:pPr>
    </w:p>
    <w:p w14:paraId="371AD991" w14:textId="77777777" w:rsidR="00737138" w:rsidRDefault="00737138">
      <w:pPr>
        <w:pStyle w:val="Paragraphedeliste"/>
        <w:numPr>
          <w:ilvl w:val="0"/>
          <w:numId w:val="4"/>
        </w:numPr>
        <w:spacing w:after="160" w:line="480" w:lineRule="auto"/>
        <w:ind w:left="0" w:hanging="2"/>
        <w:rPr>
          <w:rFonts w:asciiTheme="majorBidi" w:hAnsiTheme="majorBidi" w:cstheme="majorBidi"/>
          <w:b/>
          <w:bCs/>
          <w:sz w:val="24"/>
          <w:szCs w:val="24"/>
        </w:rPr>
      </w:pPr>
      <w:bookmarkStart w:id="73" w:name="_Toc200486012"/>
      <w:proofErr w:type="spellStart"/>
      <w:r w:rsidRPr="00134CE1">
        <w:rPr>
          <w:rFonts w:asciiTheme="majorBidi" w:hAnsiTheme="majorBidi" w:cstheme="majorBidi"/>
          <w:b/>
          <w:bCs/>
          <w:sz w:val="24"/>
          <w:szCs w:val="24"/>
        </w:rPr>
        <w:lastRenderedPageBreak/>
        <w:t>Statement</w:t>
      </w:r>
      <w:proofErr w:type="spellEnd"/>
      <w:r w:rsidRPr="00134CE1">
        <w:rPr>
          <w:rFonts w:asciiTheme="majorBidi" w:hAnsiTheme="majorBidi" w:cstheme="majorBidi"/>
          <w:b/>
          <w:bCs/>
          <w:sz w:val="24"/>
          <w:szCs w:val="24"/>
        </w:rPr>
        <w:t xml:space="preserve"> of the </w:t>
      </w:r>
      <w:proofErr w:type="spellStart"/>
      <w:r w:rsidRPr="00134CE1">
        <w:rPr>
          <w:rFonts w:asciiTheme="majorBidi" w:hAnsiTheme="majorBidi" w:cstheme="majorBidi"/>
          <w:b/>
          <w:bCs/>
          <w:sz w:val="24"/>
          <w:szCs w:val="24"/>
        </w:rPr>
        <w:t>Problem</w:t>
      </w:r>
      <w:bookmarkEnd w:id="73"/>
      <w:proofErr w:type="spellEnd"/>
    </w:p>
    <w:p w14:paraId="1DAD2940" w14:textId="6A52D9C5" w:rsidR="00B764F0" w:rsidRDefault="00737138" w:rsidP="00B764F0">
      <w:pPr>
        <w:spacing w:line="480" w:lineRule="auto"/>
        <w:ind w:left="-2" w:firstLine="569"/>
        <w:jc w:val="both"/>
        <w:rPr>
          <w:rFonts w:asciiTheme="majorBidi" w:hAnsiTheme="majorBidi" w:cstheme="majorBidi"/>
          <w:strike/>
        </w:rPr>
      </w:pPr>
      <w:bookmarkStart w:id="74" w:name="_Toc200486013"/>
      <w:r>
        <w:rPr>
          <w:rFonts w:asciiTheme="majorBidi" w:hAnsiTheme="majorBidi" w:cstheme="majorBidi"/>
        </w:rPr>
        <w:t>With the rapid integration of digital tools in education, OTCs have become a key resource for collaborative professional development. Learning communities are virtual spaces</w:t>
      </w:r>
      <w:r w:rsidR="00580241">
        <w:rPr>
          <w:rFonts w:asciiTheme="majorBidi" w:hAnsiTheme="majorBidi" w:cstheme="majorBidi"/>
        </w:rPr>
        <w:t xml:space="preserve">, such as Facebook and LinkedIn </w:t>
      </w:r>
      <w:proofErr w:type="gramStart"/>
      <w:r w:rsidR="00544DA9">
        <w:rPr>
          <w:rFonts w:asciiTheme="majorBidi" w:hAnsiTheme="majorBidi" w:cstheme="majorBidi"/>
        </w:rPr>
        <w:t>Groups, that</w:t>
      </w:r>
      <w:proofErr w:type="gramEnd"/>
      <w:r>
        <w:rPr>
          <w:rFonts w:asciiTheme="majorBidi" w:hAnsiTheme="majorBidi" w:cstheme="majorBidi"/>
        </w:rPr>
        <w:t xml:space="preserve"> enable individuals to share knowledge, communicate and discuss pedagogical purposes. However, little </w:t>
      </w:r>
      <w:proofErr w:type="gramStart"/>
      <w:r>
        <w:rPr>
          <w:rFonts w:asciiTheme="majorBidi" w:hAnsiTheme="majorBidi" w:cstheme="majorBidi"/>
        </w:rPr>
        <w:t>is known</w:t>
      </w:r>
      <w:proofErr w:type="gramEnd"/>
      <w:r>
        <w:rPr>
          <w:rFonts w:asciiTheme="majorBidi" w:hAnsiTheme="majorBidi" w:cstheme="majorBidi"/>
        </w:rPr>
        <w:t xml:space="preserve"> about the role of OTCs on developing teachers’ summative assessment literacy. The reviewed literature might have overlooked the potential of digital professional networks in fostering assessment literacy.</w:t>
      </w:r>
      <w:bookmarkEnd w:id="74"/>
      <w:r>
        <w:rPr>
          <w:rFonts w:asciiTheme="majorBidi" w:hAnsiTheme="majorBidi" w:cstheme="majorBidi"/>
        </w:rPr>
        <w:t xml:space="preserve"> </w:t>
      </w:r>
      <w:bookmarkStart w:id="75" w:name="_Toc200486014"/>
    </w:p>
    <w:p w14:paraId="14FA89C0" w14:textId="187A0F64" w:rsidR="00737138" w:rsidRPr="00B764F0" w:rsidRDefault="00737138" w:rsidP="00B764F0">
      <w:pPr>
        <w:spacing w:line="480" w:lineRule="auto"/>
        <w:ind w:left="-2" w:firstLine="569"/>
        <w:jc w:val="both"/>
        <w:rPr>
          <w:rFonts w:asciiTheme="majorBidi" w:hAnsiTheme="majorBidi" w:cstheme="majorBidi"/>
          <w:strike/>
        </w:rPr>
      </w:pPr>
      <w:r>
        <w:rPr>
          <w:rFonts w:asciiTheme="majorBidi" w:hAnsiTheme="majorBidi" w:cstheme="majorBidi"/>
        </w:rPr>
        <w:t xml:space="preserve">In the Algerian context, it is important to identify how </w:t>
      </w:r>
      <w:proofErr w:type="gramStart"/>
      <w:r>
        <w:rPr>
          <w:rFonts w:asciiTheme="majorBidi" w:hAnsiTheme="majorBidi" w:cstheme="majorBidi"/>
        </w:rPr>
        <w:t>these</w:t>
      </w:r>
      <w:proofErr w:type="gramEnd"/>
      <w:r>
        <w:rPr>
          <w:rFonts w:asciiTheme="majorBidi" w:hAnsiTheme="majorBidi" w:cstheme="majorBidi"/>
        </w:rPr>
        <w:t xml:space="preserve"> social media platforms can scaffold peer-sharing of knowledge, skills and reflective feedback. In addition, there is a persistent need to clarify the role of interactive members of PLCs in creating dynamic, engaging and effective virtual environments. This research aims to bridge this gap by exploring the role of OTCs, as inclusive spaces, in enhancing Algerian middle school EFL teachers’ knowledge and aptitude to design, implement and evaluate summative assessment tools effectively.</w:t>
      </w:r>
      <w:bookmarkEnd w:id="75"/>
    </w:p>
    <w:p w14:paraId="6A8346EA" w14:textId="77777777" w:rsidR="00737138" w:rsidRDefault="00737138">
      <w:pPr>
        <w:pStyle w:val="Paragraphedeliste"/>
        <w:numPr>
          <w:ilvl w:val="0"/>
          <w:numId w:val="4"/>
        </w:numPr>
        <w:spacing w:after="160" w:line="480" w:lineRule="auto"/>
        <w:ind w:left="0" w:hanging="2"/>
        <w:rPr>
          <w:rFonts w:asciiTheme="majorBidi" w:hAnsiTheme="majorBidi" w:cstheme="majorBidi"/>
          <w:b/>
          <w:bCs/>
          <w:sz w:val="24"/>
          <w:szCs w:val="24"/>
        </w:rPr>
      </w:pPr>
      <w:bookmarkStart w:id="76" w:name="_Toc200486015"/>
      <w:proofErr w:type="spellStart"/>
      <w:r w:rsidRPr="00134CE1">
        <w:rPr>
          <w:rFonts w:asciiTheme="majorBidi" w:hAnsiTheme="majorBidi" w:cstheme="majorBidi"/>
          <w:b/>
          <w:bCs/>
          <w:sz w:val="24"/>
          <w:szCs w:val="24"/>
        </w:rPr>
        <w:t>Research</w:t>
      </w:r>
      <w:proofErr w:type="spellEnd"/>
      <w:r w:rsidRPr="00134CE1">
        <w:rPr>
          <w:rFonts w:asciiTheme="majorBidi" w:hAnsiTheme="majorBidi" w:cstheme="majorBidi"/>
          <w:b/>
          <w:bCs/>
          <w:sz w:val="24"/>
          <w:szCs w:val="24"/>
        </w:rPr>
        <w:t xml:space="preserve"> Questions</w:t>
      </w:r>
      <w:bookmarkEnd w:id="76"/>
    </w:p>
    <w:p w14:paraId="494479BD" w14:textId="5DA2F837" w:rsidR="00737138" w:rsidRDefault="00737138" w:rsidP="006024B6">
      <w:pPr>
        <w:tabs>
          <w:tab w:val="left" w:pos="284"/>
        </w:tabs>
        <w:spacing w:line="480" w:lineRule="auto"/>
        <w:ind w:firstLine="567"/>
        <w:jc w:val="both"/>
        <w:rPr>
          <w:rFonts w:asciiTheme="majorBidi" w:hAnsiTheme="majorBidi" w:cstheme="majorBidi"/>
        </w:rPr>
      </w:pPr>
      <w:r>
        <w:rPr>
          <w:rFonts w:asciiTheme="majorBidi" w:hAnsiTheme="majorBidi" w:cstheme="majorBidi"/>
          <w:b/>
          <w:bCs/>
        </w:rPr>
        <w:t xml:space="preserve"> </w:t>
      </w:r>
      <w:bookmarkStart w:id="77" w:name="_Toc200486016"/>
      <w:r>
        <w:rPr>
          <w:rFonts w:asciiTheme="majorBidi" w:hAnsiTheme="majorBidi" w:cstheme="majorBidi"/>
        </w:rPr>
        <w:t>In adherence to the stated problem, the current study explores the role of OTCs in enhancing teachers’ summative assessment literacy. The main research question guiding this research is</w:t>
      </w:r>
      <w:bookmarkStart w:id="78" w:name="_Hlk200406776"/>
      <w:r>
        <w:rPr>
          <w:rFonts w:asciiTheme="majorBidi" w:hAnsiTheme="majorBidi" w:cstheme="majorBidi"/>
        </w:rPr>
        <w:t>:</w:t>
      </w:r>
      <w:bookmarkEnd w:id="77"/>
      <w:bookmarkEnd w:id="78"/>
      <w:r>
        <w:rPr>
          <w:rFonts w:asciiTheme="majorBidi" w:hAnsiTheme="majorBidi" w:cstheme="majorBidi"/>
        </w:rPr>
        <w:t xml:space="preserve"> </w:t>
      </w:r>
    </w:p>
    <w:p w14:paraId="62FF35BA" w14:textId="6550CF4E" w:rsidR="00737138" w:rsidRPr="00737138" w:rsidRDefault="00737138">
      <w:pPr>
        <w:pStyle w:val="Paragraphedeliste"/>
        <w:numPr>
          <w:ilvl w:val="0"/>
          <w:numId w:val="6"/>
        </w:numPr>
        <w:tabs>
          <w:tab w:val="left" w:pos="284"/>
        </w:tabs>
        <w:spacing w:after="160" w:line="480" w:lineRule="auto"/>
        <w:ind w:left="0" w:hanging="2"/>
        <w:jc w:val="both"/>
        <w:rPr>
          <w:rFonts w:asciiTheme="majorBidi" w:hAnsiTheme="majorBidi" w:cstheme="majorBidi"/>
          <w:sz w:val="24"/>
          <w:szCs w:val="24"/>
          <w:lang w:val="en-US"/>
        </w:rPr>
      </w:pPr>
      <w:r w:rsidRPr="00737138">
        <w:rPr>
          <w:rFonts w:asciiTheme="majorBidi" w:hAnsiTheme="majorBidi" w:cstheme="majorBidi"/>
          <w:sz w:val="24"/>
          <w:szCs w:val="24"/>
          <w:lang w:val="en-US"/>
        </w:rPr>
        <w:t>How do OTCs enhance Algerian middle school EFL teachers</w:t>
      </w:r>
      <w:r w:rsidR="00633361">
        <w:rPr>
          <w:rFonts w:asciiTheme="majorBidi" w:hAnsiTheme="majorBidi" w:cstheme="majorBidi"/>
          <w:sz w:val="24"/>
          <w:szCs w:val="24"/>
          <w:lang w:val="en-US"/>
        </w:rPr>
        <w:t>’</w:t>
      </w:r>
      <w:r w:rsidRPr="00737138">
        <w:rPr>
          <w:rFonts w:asciiTheme="majorBidi" w:hAnsiTheme="majorBidi" w:cstheme="majorBidi"/>
          <w:sz w:val="24"/>
          <w:szCs w:val="24"/>
          <w:lang w:val="en-US"/>
        </w:rPr>
        <w:t xml:space="preserve"> Summative Assessment Literacy?</w:t>
      </w:r>
    </w:p>
    <w:p w14:paraId="73BD1A40" w14:textId="1082523F" w:rsidR="00737138" w:rsidRDefault="00737138" w:rsidP="00487803">
      <w:pPr>
        <w:tabs>
          <w:tab w:val="left" w:pos="284"/>
        </w:tabs>
        <w:spacing w:line="480" w:lineRule="auto"/>
        <w:jc w:val="both"/>
        <w:rPr>
          <w:rFonts w:asciiTheme="majorBidi" w:hAnsiTheme="majorBidi" w:cstheme="majorBidi"/>
        </w:rPr>
      </w:pPr>
      <w:bookmarkStart w:id="79" w:name="_Toc200486017"/>
      <w:r>
        <w:rPr>
          <w:rFonts w:asciiTheme="majorBidi" w:hAnsiTheme="majorBidi" w:cstheme="majorBidi"/>
        </w:rPr>
        <w:t>To address the principal question, the study also investigates several sub-questions:</w:t>
      </w:r>
      <w:bookmarkEnd w:id="79"/>
    </w:p>
    <w:p w14:paraId="38A508DB" w14:textId="77777777" w:rsidR="00737138" w:rsidRPr="00737138" w:rsidRDefault="00737138">
      <w:pPr>
        <w:pStyle w:val="Paragraphedeliste"/>
        <w:numPr>
          <w:ilvl w:val="0"/>
          <w:numId w:val="7"/>
        </w:numPr>
        <w:tabs>
          <w:tab w:val="left" w:pos="284"/>
        </w:tabs>
        <w:spacing w:after="160" w:line="480" w:lineRule="auto"/>
        <w:ind w:left="0" w:hanging="2"/>
        <w:jc w:val="both"/>
        <w:rPr>
          <w:rFonts w:asciiTheme="majorBidi" w:hAnsiTheme="majorBidi" w:cstheme="majorBidi"/>
          <w:sz w:val="24"/>
          <w:szCs w:val="24"/>
          <w:lang w:val="en-US"/>
        </w:rPr>
      </w:pPr>
      <w:r w:rsidRPr="00737138">
        <w:rPr>
          <w:rFonts w:asciiTheme="majorBidi" w:hAnsiTheme="majorBidi" w:cstheme="majorBidi"/>
          <w:sz w:val="24"/>
          <w:szCs w:val="24"/>
          <w:lang w:val="en-US"/>
        </w:rPr>
        <w:t>What are the dynamics through which teachers interact and learn about Summative Assessment Literacy?</w:t>
      </w:r>
    </w:p>
    <w:p w14:paraId="2E5179EC" w14:textId="77777777" w:rsidR="00737138" w:rsidRPr="00737138" w:rsidRDefault="00737138">
      <w:pPr>
        <w:pStyle w:val="Paragraphedeliste"/>
        <w:numPr>
          <w:ilvl w:val="0"/>
          <w:numId w:val="7"/>
        </w:numPr>
        <w:tabs>
          <w:tab w:val="left" w:pos="284"/>
        </w:tabs>
        <w:spacing w:after="160" w:line="480" w:lineRule="auto"/>
        <w:ind w:left="0" w:hanging="2"/>
        <w:jc w:val="both"/>
        <w:rPr>
          <w:rFonts w:asciiTheme="majorBidi" w:hAnsiTheme="majorBidi" w:cstheme="majorBidi"/>
          <w:sz w:val="24"/>
          <w:szCs w:val="24"/>
          <w:lang w:val="en-US"/>
        </w:rPr>
      </w:pPr>
      <w:r w:rsidRPr="00737138">
        <w:rPr>
          <w:rFonts w:asciiTheme="majorBidi" w:hAnsiTheme="majorBidi" w:cstheme="majorBidi"/>
          <w:sz w:val="24"/>
          <w:szCs w:val="24"/>
          <w:lang w:val="en-US"/>
        </w:rPr>
        <w:lastRenderedPageBreak/>
        <w:t>What are EFL teachers’ attitudes towards OTCs effectiveness in areas like summative assessment methods?</w:t>
      </w:r>
    </w:p>
    <w:p w14:paraId="06BF2DB3" w14:textId="77777777" w:rsidR="00737138" w:rsidRPr="00737138" w:rsidRDefault="00737138">
      <w:pPr>
        <w:pStyle w:val="Paragraphedeliste"/>
        <w:numPr>
          <w:ilvl w:val="0"/>
          <w:numId w:val="7"/>
        </w:numPr>
        <w:tabs>
          <w:tab w:val="left" w:pos="284"/>
        </w:tabs>
        <w:spacing w:after="160" w:line="480" w:lineRule="auto"/>
        <w:ind w:left="0" w:hanging="2"/>
        <w:jc w:val="both"/>
        <w:rPr>
          <w:rFonts w:asciiTheme="majorBidi" w:hAnsiTheme="majorBidi" w:cstheme="majorBidi"/>
          <w:sz w:val="24"/>
          <w:szCs w:val="24"/>
          <w:lang w:val="en-US"/>
        </w:rPr>
      </w:pPr>
      <w:r w:rsidRPr="00737138">
        <w:rPr>
          <w:rFonts w:asciiTheme="majorBidi" w:hAnsiTheme="majorBidi" w:cstheme="majorBidi"/>
          <w:sz w:val="24"/>
          <w:szCs w:val="24"/>
          <w:lang w:val="en-US"/>
        </w:rPr>
        <w:t>To what extent do Online Teacher Communities enhance Algerian EFL teachers’ knowledge and skills to effectively design and critically refine their summative assessment practices?</w:t>
      </w:r>
    </w:p>
    <w:p w14:paraId="6F48F322" w14:textId="77777777" w:rsidR="00737138" w:rsidRPr="00121B7D" w:rsidRDefault="00737138">
      <w:pPr>
        <w:pStyle w:val="Paragraphedeliste"/>
        <w:numPr>
          <w:ilvl w:val="0"/>
          <w:numId w:val="4"/>
        </w:numPr>
        <w:spacing w:after="160" w:line="480" w:lineRule="auto"/>
        <w:ind w:left="0" w:hanging="2"/>
        <w:rPr>
          <w:rFonts w:asciiTheme="majorBidi" w:hAnsiTheme="majorBidi" w:cstheme="majorBidi"/>
          <w:b/>
          <w:bCs/>
          <w:sz w:val="24"/>
          <w:szCs w:val="24"/>
        </w:rPr>
      </w:pPr>
      <w:bookmarkStart w:id="80" w:name="_Toc200486018"/>
      <w:proofErr w:type="spellStart"/>
      <w:r w:rsidRPr="00121B7D">
        <w:rPr>
          <w:rFonts w:asciiTheme="majorBidi" w:hAnsiTheme="majorBidi" w:cstheme="majorBidi"/>
          <w:b/>
          <w:bCs/>
          <w:sz w:val="24"/>
          <w:szCs w:val="24"/>
        </w:rPr>
        <w:t>Research</w:t>
      </w:r>
      <w:proofErr w:type="spellEnd"/>
      <w:r w:rsidRPr="00121B7D">
        <w:rPr>
          <w:rFonts w:asciiTheme="majorBidi" w:hAnsiTheme="majorBidi" w:cstheme="majorBidi"/>
          <w:b/>
          <w:bCs/>
          <w:sz w:val="24"/>
          <w:szCs w:val="24"/>
        </w:rPr>
        <w:t xml:space="preserve"> Objectives</w:t>
      </w:r>
      <w:bookmarkEnd w:id="80"/>
    </w:p>
    <w:p w14:paraId="5CA447A6" w14:textId="6B103E10" w:rsidR="00737138" w:rsidRPr="00DA4FF5" w:rsidRDefault="00737138" w:rsidP="00487803">
      <w:pPr>
        <w:spacing w:line="480" w:lineRule="auto"/>
        <w:ind w:left="-2" w:firstLine="569"/>
        <w:jc w:val="both"/>
        <w:rPr>
          <w:rFonts w:asciiTheme="majorBidi" w:hAnsiTheme="majorBidi" w:cstheme="majorBidi"/>
        </w:rPr>
      </w:pPr>
      <w:bookmarkStart w:id="81" w:name="_Toc200486019"/>
      <w:r w:rsidRPr="00AA34A3">
        <w:rPr>
          <w:rFonts w:asciiTheme="majorBidi" w:hAnsiTheme="majorBidi" w:cstheme="majorBidi"/>
        </w:rPr>
        <w:t xml:space="preserve">The current research aims to investigate the structure, purpose and contribution of OTCs to teacher professional development. Despite the increasing interest in collaborative processes within these networks, limited research addressed educators’ literacy in summative assessment practices. </w:t>
      </w:r>
      <w:r w:rsidRPr="00DA4FF5">
        <w:rPr>
          <w:rFonts w:eastAsia="Calibri"/>
        </w:rPr>
        <w:t>Therefore, this study addresses the following objectives:</w:t>
      </w:r>
      <w:bookmarkEnd w:id="81"/>
    </w:p>
    <w:p w14:paraId="255DA584" w14:textId="77777777" w:rsidR="00737138" w:rsidRPr="00DA4FF5" w:rsidRDefault="00737138">
      <w:pPr>
        <w:numPr>
          <w:ilvl w:val="0"/>
          <w:numId w:val="8"/>
        </w:numPr>
        <w:spacing w:after="160" w:line="480" w:lineRule="auto"/>
        <w:ind w:left="0" w:hanging="2"/>
        <w:contextualSpacing/>
        <w:jc w:val="both"/>
        <w:rPr>
          <w:rFonts w:eastAsia="Calibri"/>
        </w:rPr>
      </w:pPr>
      <w:proofErr w:type="gramStart"/>
      <w:r w:rsidRPr="00DA4FF5">
        <w:rPr>
          <w:rFonts w:eastAsia="Calibri"/>
        </w:rPr>
        <w:t>to</w:t>
      </w:r>
      <w:proofErr w:type="gramEnd"/>
      <w:r w:rsidRPr="00DA4FF5">
        <w:rPr>
          <w:rFonts w:eastAsia="Calibri"/>
        </w:rPr>
        <w:t xml:space="preserve"> determine the impact of OTCs on Algerian middle school EFL teachers’ summative assessment literacy.</w:t>
      </w:r>
    </w:p>
    <w:p w14:paraId="14A3763F" w14:textId="77777777" w:rsidR="00737138" w:rsidRPr="00DA4FF5" w:rsidRDefault="00737138">
      <w:pPr>
        <w:numPr>
          <w:ilvl w:val="0"/>
          <w:numId w:val="8"/>
        </w:numPr>
        <w:spacing w:after="160" w:line="480" w:lineRule="auto"/>
        <w:ind w:left="0" w:hanging="2"/>
        <w:contextualSpacing/>
        <w:jc w:val="both"/>
        <w:rPr>
          <w:rFonts w:eastAsia="Calibri"/>
        </w:rPr>
      </w:pPr>
      <w:proofErr w:type="gramStart"/>
      <w:r w:rsidRPr="00DA4FF5">
        <w:rPr>
          <w:rFonts w:eastAsia="Calibri"/>
        </w:rPr>
        <w:t>to</w:t>
      </w:r>
      <w:proofErr w:type="gramEnd"/>
      <w:r w:rsidRPr="00DA4FF5">
        <w:rPr>
          <w:rFonts w:eastAsia="Calibri"/>
        </w:rPr>
        <w:t xml:space="preserve"> observe how teachers interact within OTCs.</w:t>
      </w:r>
    </w:p>
    <w:p w14:paraId="5DFC18B1" w14:textId="77777777" w:rsidR="00737138" w:rsidRPr="00DA4FF5" w:rsidRDefault="00737138">
      <w:pPr>
        <w:numPr>
          <w:ilvl w:val="0"/>
          <w:numId w:val="8"/>
        </w:numPr>
        <w:spacing w:after="160" w:line="480" w:lineRule="auto"/>
        <w:ind w:left="0" w:hanging="2"/>
        <w:contextualSpacing/>
        <w:jc w:val="both"/>
        <w:rPr>
          <w:rFonts w:eastAsia="Calibri"/>
        </w:rPr>
      </w:pPr>
      <w:proofErr w:type="gramStart"/>
      <w:r w:rsidRPr="00DA4FF5">
        <w:rPr>
          <w:rFonts w:eastAsia="Calibri"/>
        </w:rPr>
        <w:t>to</w:t>
      </w:r>
      <w:proofErr w:type="gramEnd"/>
      <w:r w:rsidRPr="00DA4FF5">
        <w:rPr>
          <w:rFonts w:eastAsia="Calibri"/>
        </w:rPr>
        <w:t xml:space="preserve"> explore educators’ attitudes about the effectiveness of OTCs in improving their summative assessment literacy.</w:t>
      </w:r>
    </w:p>
    <w:p w14:paraId="2B4C14EB" w14:textId="77777777" w:rsidR="00737138" w:rsidRPr="00DA4FF5" w:rsidRDefault="00737138">
      <w:pPr>
        <w:numPr>
          <w:ilvl w:val="0"/>
          <w:numId w:val="8"/>
        </w:numPr>
        <w:spacing w:after="160" w:line="480" w:lineRule="auto"/>
        <w:ind w:left="0" w:hanging="2"/>
        <w:contextualSpacing/>
        <w:jc w:val="both"/>
        <w:rPr>
          <w:rFonts w:eastAsia="Calibri"/>
        </w:rPr>
      </w:pPr>
      <w:proofErr w:type="gramStart"/>
      <w:r w:rsidRPr="00DA4FF5">
        <w:rPr>
          <w:rFonts w:eastAsia="Calibri"/>
        </w:rPr>
        <w:t>to</w:t>
      </w:r>
      <w:proofErr w:type="gramEnd"/>
      <w:r w:rsidRPr="00DA4FF5">
        <w:rPr>
          <w:rFonts w:eastAsia="Calibri"/>
        </w:rPr>
        <w:t xml:space="preserve"> discover the extent to which OTCs improve Algerian EFL teachers’ knowledge and ability to design and evaluate summative assessment tools.</w:t>
      </w:r>
    </w:p>
    <w:p w14:paraId="20CB5450" w14:textId="10303DCF" w:rsidR="00737138" w:rsidRPr="00E61918" w:rsidRDefault="00737138">
      <w:pPr>
        <w:pStyle w:val="Paragraphedeliste"/>
        <w:numPr>
          <w:ilvl w:val="0"/>
          <w:numId w:val="4"/>
        </w:numPr>
        <w:spacing w:after="160" w:line="480" w:lineRule="auto"/>
        <w:rPr>
          <w:rFonts w:asciiTheme="majorBidi" w:hAnsiTheme="majorBidi" w:cstheme="majorBidi"/>
          <w:b/>
          <w:bCs/>
          <w:sz w:val="24"/>
          <w:szCs w:val="24"/>
        </w:rPr>
      </w:pPr>
      <w:bookmarkStart w:id="82" w:name="_Toc200486020"/>
      <w:proofErr w:type="spellStart"/>
      <w:r w:rsidRPr="00E61918">
        <w:rPr>
          <w:rFonts w:asciiTheme="majorBidi" w:hAnsiTheme="majorBidi" w:cstheme="majorBidi"/>
          <w:b/>
          <w:bCs/>
          <w:sz w:val="24"/>
          <w:szCs w:val="24"/>
        </w:rPr>
        <w:t>Significance</w:t>
      </w:r>
      <w:proofErr w:type="spellEnd"/>
      <w:r w:rsidRPr="00E61918">
        <w:rPr>
          <w:rFonts w:asciiTheme="majorBidi" w:hAnsiTheme="majorBidi" w:cstheme="majorBidi"/>
          <w:b/>
          <w:bCs/>
          <w:sz w:val="24"/>
          <w:szCs w:val="24"/>
        </w:rPr>
        <w:t xml:space="preserve"> of the </w:t>
      </w:r>
      <w:proofErr w:type="spellStart"/>
      <w:r w:rsidRPr="00E61918">
        <w:rPr>
          <w:rFonts w:asciiTheme="majorBidi" w:hAnsiTheme="majorBidi" w:cstheme="majorBidi"/>
          <w:b/>
          <w:bCs/>
          <w:sz w:val="24"/>
          <w:szCs w:val="24"/>
        </w:rPr>
        <w:t>Study</w:t>
      </w:r>
      <w:bookmarkEnd w:id="82"/>
      <w:proofErr w:type="spellEnd"/>
    </w:p>
    <w:p w14:paraId="336E4BD8" w14:textId="089516B4" w:rsidR="00737138" w:rsidRDefault="00737138" w:rsidP="00996614">
      <w:pPr>
        <w:spacing w:line="480" w:lineRule="auto"/>
        <w:ind w:firstLine="567"/>
        <w:jc w:val="both"/>
        <w:rPr>
          <w:rFonts w:asciiTheme="majorBidi" w:hAnsiTheme="majorBidi" w:cstheme="majorBidi"/>
        </w:rPr>
      </w:pPr>
      <w:r>
        <w:rPr>
          <w:rFonts w:asciiTheme="majorBidi" w:hAnsiTheme="majorBidi" w:cstheme="majorBidi"/>
        </w:rPr>
        <w:t xml:space="preserve"> </w:t>
      </w:r>
      <w:bookmarkStart w:id="83" w:name="_Toc200486021"/>
      <w:r w:rsidRPr="00C52894">
        <w:rPr>
          <w:rFonts w:asciiTheme="majorBidi" w:hAnsiTheme="majorBidi" w:cstheme="majorBidi"/>
        </w:rPr>
        <w:t xml:space="preserve">A limited number of </w:t>
      </w:r>
      <w:r>
        <w:rPr>
          <w:rFonts w:asciiTheme="majorBidi" w:hAnsiTheme="majorBidi" w:cstheme="majorBidi"/>
        </w:rPr>
        <w:t>research</w:t>
      </w:r>
      <w:r w:rsidRPr="00C52894">
        <w:rPr>
          <w:rFonts w:asciiTheme="majorBidi" w:hAnsiTheme="majorBidi" w:cstheme="majorBidi"/>
        </w:rPr>
        <w:t xml:space="preserve"> have demonstrated the significance of </w:t>
      </w:r>
      <w:r>
        <w:rPr>
          <w:rFonts w:asciiTheme="majorBidi" w:hAnsiTheme="majorBidi" w:cstheme="majorBidi"/>
        </w:rPr>
        <w:t>O</w:t>
      </w:r>
      <w:r w:rsidRPr="00C52894">
        <w:rPr>
          <w:rFonts w:asciiTheme="majorBidi" w:hAnsiTheme="majorBidi" w:cstheme="majorBidi"/>
        </w:rPr>
        <w:t>TLCs in Algerian educational settings. T</w:t>
      </w:r>
      <w:r>
        <w:rPr>
          <w:rFonts w:asciiTheme="majorBidi" w:hAnsiTheme="majorBidi" w:cstheme="majorBidi"/>
        </w:rPr>
        <w:t>his</w:t>
      </w:r>
      <w:r w:rsidRPr="00C52894">
        <w:rPr>
          <w:rFonts w:asciiTheme="majorBidi" w:hAnsiTheme="majorBidi" w:cstheme="majorBidi"/>
        </w:rPr>
        <w:t xml:space="preserve"> study </w:t>
      </w:r>
      <w:r>
        <w:rPr>
          <w:rFonts w:asciiTheme="majorBidi" w:hAnsiTheme="majorBidi" w:cstheme="majorBidi"/>
        </w:rPr>
        <w:t xml:space="preserve">is significant as it </w:t>
      </w:r>
      <w:r w:rsidRPr="00C52894">
        <w:rPr>
          <w:rFonts w:asciiTheme="majorBidi" w:hAnsiTheme="majorBidi" w:cstheme="majorBidi"/>
        </w:rPr>
        <w:t xml:space="preserve">focuses on investigating </w:t>
      </w:r>
      <w:r>
        <w:rPr>
          <w:rFonts w:asciiTheme="majorBidi" w:hAnsiTheme="majorBidi" w:cstheme="majorBidi"/>
        </w:rPr>
        <w:t xml:space="preserve">summative assessment literacy as a crucial </w:t>
      </w:r>
      <w:r w:rsidRPr="00C52894">
        <w:rPr>
          <w:rFonts w:asciiTheme="majorBidi" w:hAnsiTheme="majorBidi" w:cstheme="majorBidi"/>
        </w:rPr>
        <w:t>pedagogical aspect</w:t>
      </w:r>
      <w:r>
        <w:rPr>
          <w:rFonts w:asciiTheme="majorBidi" w:hAnsiTheme="majorBidi" w:cstheme="majorBidi"/>
        </w:rPr>
        <w:t xml:space="preserve"> in professional development</w:t>
      </w:r>
      <w:r w:rsidRPr="00C52894">
        <w:rPr>
          <w:rFonts w:asciiTheme="majorBidi" w:hAnsiTheme="majorBidi" w:cstheme="majorBidi"/>
        </w:rPr>
        <w:t xml:space="preserve"> that offer middle school teachers of English the opportunity to share visions and values as professionals and foster the culture of collaborative action research. </w:t>
      </w:r>
      <w:r>
        <w:rPr>
          <w:rFonts w:asciiTheme="majorBidi" w:hAnsiTheme="majorBidi" w:cstheme="majorBidi"/>
        </w:rPr>
        <w:t xml:space="preserve">Additionally, the study offers a practical and theoretical value for multiple stakeholders. Teacher educators, professional development </w:t>
      </w:r>
      <w:r>
        <w:rPr>
          <w:rFonts w:asciiTheme="majorBidi" w:hAnsiTheme="majorBidi" w:cstheme="majorBidi"/>
        </w:rPr>
        <w:lastRenderedPageBreak/>
        <w:t xml:space="preserve">facilitators and inspectors benefit from the study through using a specific framework as a tool to design training programs that build assessment literacy in contextually relevant ways. This offers a foundation for further inquiry into teacher particular professional learning aspects.  </w:t>
      </w:r>
      <w:r w:rsidRPr="00C52894">
        <w:rPr>
          <w:rFonts w:asciiTheme="majorBidi" w:hAnsiTheme="majorBidi" w:cstheme="majorBidi"/>
        </w:rPr>
        <w:t>In this regard, data analysis and potential outcomes can inform instructional decisions to promote critical thinking and problem-solving skills in EFL education in Algerian middle schools.</w:t>
      </w:r>
      <w:bookmarkEnd w:id="83"/>
      <w:r>
        <w:rPr>
          <w:rFonts w:asciiTheme="majorBidi" w:hAnsiTheme="majorBidi" w:cstheme="majorBidi"/>
        </w:rPr>
        <w:t xml:space="preserve"> </w:t>
      </w:r>
    </w:p>
    <w:p w14:paraId="29605B96" w14:textId="27C2130F" w:rsidR="00737138" w:rsidRDefault="00737138">
      <w:pPr>
        <w:pStyle w:val="Paragraphedeliste"/>
        <w:numPr>
          <w:ilvl w:val="0"/>
          <w:numId w:val="4"/>
        </w:numPr>
        <w:spacing w:after="160" w:line="480" w:lineRule="auto"/>
        <w:rPr>
          <w:rFonts w:asciiTheme="majorBidi" w:hAnsiTheme="majorBidi" w:cstheme="majorBidi"/>
          <w:b/>
          <w:bCs/>
          <w:sz w:val="24"/>
          <w:szCs w:val="24"/>
        </w:rPr>
      </w:pPr>
      <w:bookmarkStart w:id="84" w:name="_Toc200486022"/>
      <w:proofErr w:type="spellStart"/>
      <w:r w:rsidRPr="00E61918">
        <w:rPr>
          <w:rFonts w:asciiTheme="majorBidi" w:hAnsiTheme="majorBidi" w:cstheme="majorBidi"/>
          <w:b/>
          <w:bCs/>
          <w:sz w:val="24"/>
          <w:szCs w:val="24"/>
        </w:rPr>
        <w:t>Research</w:t>
      </w:r>
      <w:proofErr w:type="spellEnd"/>
      <w:r w:rsidRPr="00E61918">
        <w:rPr>
          <w:rFonts w:asciiTheme="majorBidi" w:hAnsiTheme="majorBidi" w:cstheme="majorBidi"/>
          <w:b/>
          <w:bCs/>
          <w:sz w:val="24"/>
          <w:szCs w:val="24"/>
        </w:rPr>
        <w:t xml:space="preserve"> </w:t>
      </w:r>
      <w:proofErr w:type="spellStart"/>
      <w:r>
        <w:rPr>
          <w:rFonts w:asciiTheme="majorBidi" w:hAnsiTheme="majorBidi" w:cstheme="majorBidi"/>
          <w:b/>
          <w:bCs/>
          <w:sz w:val="24"/>
          <w:szCs w:val="24"/>
        </w:rPr>
        <w:t>Methodology</w:t>
      </w:r>
      <w:bookmarkEnd w:id="84"/>
      <w:proofErr w:type="spellEnd"/>
    </w:p>
    <w:p w14:paraId="400D88E9" w14:textId="77777777" w:rsidR="0048661C" w:rsidRDefault="00737138" w:rsidP="0048661C">
      <w:pPr>
        <w:spacing w:line="480" w:lineRule="auto"/>
        <w:ind w:left="-2" w:firstLine="569"/>
        <w:jc w:val="both"/>
        <w:rPr>
          <w:rFonts w:eastAsia="Calibri"/>
        </w:rPr>
      </w:pPr>
      <w:bookmarkStart w:id="85" w:name="_Toc200486023"/>
      <w:r w:rsidRPr="00165F1C">
        <w:rPr>
          <w:rFonts w:eastAsia="Calibri"/>
        </w:rPr>
        <w:t xml:space="preserve">Due to the nature and objectives of this research, the descriptive method </w:t>
      </w:r>
      <w:proofErr w:type="gramStart"/>
      <w:r w:rsidRPr="00165F1C">
        <w:rPr>
          <w:rFonts w:eastAsia="Calibri"/>
        </w:rPr>
        <w:t>is used</w:t>
      </w:r>
      <w:proofErr w:type="gramEnd"/>
      <w:r w:rsidRPr="00165F1C">
        <w:rPr>
          <w:rFonts w:eastAsia="Calibri"/>
        </w:rPr>
        <w:t xml:space="preserve"> to explore the impact of OTCS on the development of teachers’ summative assessment practices. The target population of this study is Algerian middle school EFL teachers who constitute District 4 Teacher Corner Online Community in </w:t>
      </w:r>
      <w:proofErr w:type="spellStart"/>
      <w:r w:rsidRPr="00165F1C">
        <w:rPr>
          <w:rFonts w:eastAsia="Calibri"/>
        </w:rPr>
        <w:t>M’sila</w:t>
      </w:r>
      <w:proofErr w:type="spellEnd"/>
      <w:r w:rsidRPr="00165F1C">
        <w:rPr>
          <w:rFonts w:eastAsia="Calibri"/>
        </w:rPr>
        <w:t>. Out of 210 teachers (N=210), a sample of fifty (n= 50) was conveniently selected.</w:t>
      </w:r>
      <w:bookmarkEnd w:id="85"/>
      <w:r w:rsidRPr="00165F1C">
        <w:rPr>
          <w:rFonts w:eastAsia="Calibri"/>
        </w:rPr>
        <w:t xml:space="preserve"> </w:t>
      </w:r>
      <w:bookmarkStart w:id="86" w:name="_Toc200486024"/>
    </w:p>
    <w:p w14:paraId="1D02188A" w14:textId="1C63E9D0" w:rsidR="00737138" w:rsidRDefault="00737138" w:rsidP="0048661C">
      <w:pPr>
        <w:spacing w:line="480" w:lineRule="auto"/>
        <w:ind w:left="-2" w:firstLine="569"/>
        <w:jc w:val="both"/>
        <w:rPr>
          <w:rFonts w:eastAsia="Calibri"/>
        </w:rPr>
      </w:pPr>
      <w:r w:rsidRPr="00165F1C">
        <w:rPr>
          <w:rFonts w:eastAsia="Calibri"/>
        </w:rPr>
        <w:t xml:space="preserve">Data necessary to obtain comprehensive and objective information about the role of OTLCs </w:t>
      </w:r>
      <w:proofErr w:type="gramStart"/>
      <w:r w:rsidRPr="00165F1C">
        <w:rPr>
          <w:rFonts w:eastAsia="Calibri"/>
        </w:rPr>
        <w:t>was gathered</w:t>
      </w:r>
      <w:proofErr w:type="gramEnd"/>
      <w:r w:rsidRPr="00165F1C">
        <w:rPr>
          <w:rFonts w:eastAsia="Calibri"/>
        </w:rPr>
        <w:t xml:space="preserve"> using qualitative and quantitative data collection tools. Participant observation and semi-structured interviews with middle school teachers and inspector offered a greater clarity about the potential of new technological communities for enhancing EFL learning and teaching. Additionally, a semi-structured online questionnaire </w:t>
      </w:r>
      <w:proofErr w:type="gramStart"/>
      <w:r w:rsidRPr="00165F1C">
        <w:rPr>
          <w:rFonts w:eastAsia="Calibri"/>
        </w:rPr>
        <w:t>was designed and posted on District 4 official Facebook Page to explore respondents’ views and experiences in this virtual network and uncover its impact on teacher professional growth</w:t>
      </w:r>
      <w:proofErr w:type="gramEnd"/>
      <w:r w:rsidRPr="00165F1C">
        <w:rPr>
          <w:rFonts w:eastAsia="Calibri"/>
        </w:rPr>
        <w:t xml:space="preserve">. It </w:t>
      </w:r>
      <w:proofErr w:type="gramStart"/>
      <w:r w:rsidRPr="00165F1C">
        <w:rPr>
          <w:rFonts w:eastAsia="Calibri"/>
        </w:rPr>
        <w:t>is anticipated</w:t>
      </w:r>
      <w:proofErr w:type="gramEnd"/>
      <w:r w:rsidRPr="00165F1C">
        <w:rPr>
          <w:rFonts w:eastAsia="Calibri"/>
        </w:rPr>
        <w:t xml:space="preserve"> that these methods will render robust valid and reliable qualitative and quantitative findings to reach the objectives and answer the research questions.</w:t>
      </w:r>
      <w:bookmarkEnd w:id="86"/>
    </w:p>
    <w:p w14:paraId="08E874E5" w14:textId="77777777" w:rsidR="00E2521E" w:rsidRDefault="00E2521E" w:rsidP="0048661C">
      <w:pPr>
        <w:spacing w:line="480" w:lineRule="auto"/>
        <w:ind w:left="-2" w:firstLine="569"/>
        <w:jc w:val="both"/>
        <w:rPr>
          <w:rFonts w:eastAsia="Calibri"/>
        </w:rPr>
      </w:pPr>
    </w:p>
    <w:p w14:paraId="65072E67" w14:textId="77777777" w:rsidR="00E2521E" w:rsidRPr="00165F1C" w:rsidRDefault="00E2521E" w:rsidP="0048661C">
      <w:pPr>
        <w:spacing w:line="480" w:lineRule="auto"/>
        <w:ind w:left="-2" w:firstLine="569"/>
        <w:jc w:val="both"/>
        <w:rPr>
          <w:rFonts w:eastAsia="Calibri"/>
        </w:rPr>
      </w:pPr>
    </w:p>
    <w:p w14:paraId="747423A5" w14:textId="31C5F7FD" w:rsidR="00737138" w:rsidRDefault="00737138">
      <w:pPr>
        <w:pStyle w:val="Paragraphedeliste"/>
        <w:numPr>
          <w:ilvl w:val="0"/>
          <w:numId w:val="4"/>
        </w:numPr>
        <w:spacing w:after="160" w:line="480" w:lineRule="auto"/>
        <w:rPr>
          <w:rFonts w:asciiTheme="majorBidi" w:hAnsiTheme="majorBidi" w:cstheme="majorBidi"/>
          <w:b/>
          <w:bCs/>
          <w:sz w:val="24"/>
          <w:szCs w:val="24"/>
        </w:rPr>
      </w:pPr>
      <w:bookmarkStart w:id="87" w:name="_Toc200486025"/>
      <w:proofErr w:type="spellStart"/>
      <w:r>
        <w:rPr>
          <w:rFonts w:asciiTheme="majorBidi" w:hAnsiTheme="majorBidi" w:cstheme="majorBidi"/>
          <w:b/>
          <w:bCs/>
          <w:sz w:val="24"/>
          <w:szCs w:val="24"/>
        </w:rPr>
        <w:t>Thesis</w:t>
      </w:r>
      <w:proofErr w:type="spellEnd"/>
      <w:r>
        <w:rPr>
          <w:rFonts w:asciiTheme="majorBidi" w:hAnsiTheme="majorBidi" w:cstheme="majorBidi"/>
          <w:b/>
          <w:bCs/>
          <w:sz w:val="24"/>
          <w:szCs w:val="24"/>
        </w:rPr>
        <w:t xml:space="preserve"> Structure</w:t>
      </w:r>
      <w:bookmarkEnd w:id="87"/>
    </w:p>
    <w:p w14:paraId="79090147" w14:textId="77777777" w:rsidR="001A635F" w:rsidRDefault="00737138" w:rsidP="001A635F">
      <w:pPr>
        <w:spacing w:line="480" w:lineRule="auto"/>
        <w:ind w:left="-2" w:firstLineChars="236" w:firstLine="566"/>
        <w:jc w:val="both"/>
        <w:rPr>
          <w:rFonts w:asciiTheme="majorBidi" w:hAnsiTheme="majorBidi" w:cstheme="majorBidi"/>
        </w:rPr>
      </w:pPr>
      <w:bookmarkStart w:id="88" w:name="_Toc200486026"/>
      <w:r>
        <w:rPr>
          <w:rFonts w:asciiTheme="majorBidi" w:hAnsiTheme="majorBidi" w:cstheme="majorBidi"/>
        </w:rPr>
        <w:t xml:space="preserve">The current study constitutes two chapters. The first chapter, the conceptual and theoretical frameworks of the investigation, </w:t>
      </w:r>
      <w:proofErr w:type="gramStart"/>
      <w:r>
        <w:rPr>
          <w:rFonts w:asciiTheme="majorBidi" w:hAnsiTheme="majorBidi" w:cstheme="majorBidi"/>
        </w:rPr>
        <w:t>is divided</w:t>
      </w:r>
      <w:proofErr w:type="gramEnd"/>
      <w:r>
        <w:rPr>
          <w:rFonts w:asciiTheme="majorBidi" w:hAnsiTheme="majorBidi" w:cstheme="majorBidi"/>
        </w:rPr>
        <w:t xml:space="preserve"> into three sections. The first section </w:t>
      </w:r>
      <w:r>
        <w:rPr>
          <w:rFonts w:asciiTheme="majorBidi" w:hAnsiTheme="majorBidi" w:cstheme="majorBidi"/>
        </w:rPr>
        <w:lastRenderedPageBreak/>
        <w:t xml:space="preserve">provides an overview of assessment and its purposes. It </w:t>
      </w:r>
      <w:proofErr w:type="gramStart"/>
      <w:r>
        <w:rPr>
          <w:rFonts w:asciiTheme="majorBidi" w:hAnsiTheme="majorBidi" w:cstheme="majorBidi"/>
        </w:rPr>
        <w:t>is structured</w:t>
      </w:r>
      <w:proofErr w:type="gramEnd"/>
      <w:r>
        <w:rPr>
          <w:rFonts w:asciiTheme="majorBidi" w:hAnsiTheme="majorBidi" w:cstheme="majorBidi"/>
        </w:rPr>
        <w:t xml:space="preserve"> around definitions of key concepts such as assessment, summative assessment, formative assessment, assessment as learning, assessment literacy, peer and mentor feedback and reflective practices. It also discusses teachers’ current training needs offered by the inspector of English, Mr. </w:t>
      </w:r>
      <w:proofErr w:type="spellStart"/>
      <w:r>
        <w:rPr>
          <w:rFonts w:asciiTheme="majorBidi" w:hAnsiTheme="majorBidi" w:cstheme="majorBidi"/>
        </w:rPr>
        <w:t>Othmani</w:t>
      </w:r>
      <w:proofErr w:type="spellEnd"/>
      <w:r>
        <w:rPr>
          <w:rFonts w:asciiTheme="majorBidi" w:hAnsiTheme="majorBidi" w:cstheme="majorBidi"/>
        </w:rPr>
        <w:t xml:space="preserve"> </w:t>
      </w:r>
      <w:proofErr w:type="spellStart"/>
      <w:r>
        <w:rPr>
          <w:rFonts w:asciiTheme="majorBidi" w:hAnsiTheme="majorBidi" w:cstheme="majorBidi"/>
        </w:rPr>
        <w:t>Kamel</w:t>
      </w:r>
      <w:proofErr w:type="spellEnd"/>
      <w:r>
        <w:rPr>
          <w:rFonts w:asciiTheme="majorBidi" w:hAnsiTheme="majorBidi" w:cstheme="majorBidi"/>
        </w:rPr>
        <w:t>.</w:t>
      </w:r>
      <w:bookmarkEnd w:id="88"/>
      <w:r>
        <w:rPr>
          <w:rFonts w:asciiTheme="majorBidi" w:hAnsiTheme="majorBidi" w:cstheme="majorBidi"/>
        </w:rPr>
        <w:t xml:space="preserve"> </w:t>
      </w:r>
      <w:bookmarkStart w:id="89" w:name="_Toc200486027"/>
    </w:p>
    <w:p w14:paraId="78AF2AC0" w14:textId="77777777" w:rsidR="001A635F" w:rsidRDefault="00737138" w:rsidP="001A635F">
      <w:pPr>
        <w:spacing w:line="480" w:lineRule="auto"/>
        <w:ind w:left="-2" w:firstLineChars="236" w:firstLine="566"/>
        <w:jc w:val="both"/>
        <w:rPr>
          <w:rFonts w:asciiTheme="majorBidi" w:hAnsiTheme="majorBidi" w:cstheme="majorBidi"/>
        </w:rPr>
      </w:pPr>
      <w:r>
        <w:rPr>
          <w:rFonts w:asciiTheme="majorBidi" w:hAnsiTheme="majorBidi" w:cstheme="majorBidi"/>
        </w:rPr>
        <w:t xml:space="preserve">The second section addresses online teacher communities, types of learning environments, synchronous and asynchronous, collaborative culture, the role of the holistic approach in promoting inclusivity and equity within OTCs and the mindset of lifelong learning that </w:t>
      </w:r>
      <w:proofErr w:type="gramStart"/>
      <w:r>
        <w:rPr>
          <w:rFonts w:asciiTheme="majorBidi" w:hAnsiTheme="majorBidi" w:cstheme="majorBidi"/>
        </w:rPr>
        <w:t>is fostered</w:t>
      </w:r>
      <w:proofErr w:type="gramEnd"/>
      <w:r>
        <w:rPr>
          <w:rFonts w:asciiTheme="majorBidi" w:hAnsiTheme="majorBidi" w:cstheme="majorBidi"/>
        </w:rPr>
        <w:t xml:space="preserve"> through teachers’ engagement in collaborative activities and professional discussions.</w:t>
      </w:r>
      <w:bookmarkEnd w:id="89"/>
      <w:r>
        <w:rPr>
          <w:rFonts w:asciiTheme="majorBidi" w:hAnsiTheme="majorBidi" w:cstheme="majorBidi"/>
        </w:rPr>
        <w:t xml:space="preserve"> </w:t>
      </w:r>
      <w:bookmarkStart w:id="90" w:name="_Toc200486028"/>
    </w:p>
    <w:p w14:paraId="7A9B9A28" w14:textId="77777777" w:rsidR="001A635F" w:rsidRDefault="00737138" w:rsidP="001A635F">
      <w:pPr>
        <w:spacing w:line="480" w:lineRule="auto"/>
        <w:ind w:left="-2" w:firstLineChars="236" w:firstLine="566"/>
        <w:jc w:val="both"/>
        <w:rPr>
          <w:rFonts w:asciiTheme="majorBidi" w:hAnsiTheme="majorBidi" w:cstheme="majorBidi"/>
        </w:rPr>
      </w:pPr>
      <w:r>
        <w:rPr>
          <w:rFonts w:asciiTheme="majorBidi" w:hAnsiTheme="majorBidi" w:cstheme="majorBidi"/>
        </w:rPr>
        <w:t xml:space="preserve">Secondly, section two attempts to explain key features of online teacher communities, their purposes, main functions, usage and educational significance.  In addition, it also presents relevant theories and models that support the pedagogical use of OTLCs. Further, relevant literature about the two variables, summative assessment and online teacher communities, is reviewed in the following section. Previous studies on OTCs effectiveness </w:t>
      </w:r>
      <w:proofErr w:type="gramStart"/>
      <w:r>
        <w:rPr>
          <w:rFonts w:asciiTheme="majorBidi" w:hAnsiTheme="majorBidi" w:cstheme="majorBidi"/>
        </w:rPr>
        <w:t>were thoroughly examined</w:t>
      </w:r>
      <w:proofErr w:type="gramEnd"/>
      <w:r>
        <w:rPr>
          <w:rFonts w:asciiTheme="majorBidi" w:hAnsiTheme="majorBidi" w:cstheme="majorBidi"/>
        </w:rPr>
        <w:t xml:space="preserve"> to identify a theoretical foundation for this research and to highlight existing gaps in the literature.</w:t>
      </w:r>
      <w:bookmarkEnd w:id="90"/>
      <w:r>
        <w:rPr>
          <w:rFonts w:asciiTheme="majorBidi" w:hAnsiTheme="majorBidi" w:cstheme="majorBidi"/>
        </w:rPr>
        <w:t xml:space="preserve"> </w:t>
      </w:r>
      <w:bookmarkStart w:id="91" w:name="_Toc200486029"/>
    </w:p>
    <w:p w14:paraId="031BB682" w14:textId="5A5E9C36" w:rsidR="00737138" w:rsidRDefault="00737138" w:rsidP="001A635F">
      <w:pPr>
        <w:spacing w:line="480" w:lineRule="auto"/>
        <w:ind w:left="-2" w:firstLineChars="236" w:firstLine="566"/>
        <w:jc w:val="both"/>
        <w:rPr>
          <w:rFonts w:asciiTheme="majorBidi" w:hAnsiTheme="majorBidi" w:cstheme="majorBidi"/>
        </w:rPr>
      </w:pPr>
      <w:r>
        <w:rPr>
          <w:rFonts w:asciiTheme="majorBidi" w:hAnsiTheme="majorBidi" w:cstheme="majorBidi"/>
        </w:rPr>
        <w:t xml:space="preserve">However, a detailed account of the methodological and practical aspects of this research </w:t>
      </w:r>
      <w:proofErr w:type="gramStart"/>
      <w:r>
        <w:rPr>
          <w:rFonts w:asciiTheme="majorBidi" w:hAnsiTheme="majorBidi" w:cstheme="majorBidi"/>
        </w:rPr>
        <w:t>is described</w:t>
      </w:r>
      <w:proofErr w:type="gramEnd"/>
      <w:r>
        <w:rPr>
          <w:rFonts w:asciiTheme="majorBidi" w:hAnsiTheme="majorBidi" w:cstheme="majorBidi"/>
        </w:rPr>
        <w:t xml:space="preserve"> in the second chapter. It outlines the research methods and analysis techniques adopted to interpret and discuss the cumulated data. </w:t>
      </w:r>
      <w:proofErr w:type="gramStart"/>
      <w:r>
        <w:rPr>
          <w:rFonts w:asciiTheme="majorBidi" w:hAnsiTheme="majorBidi" w:cstheme="majorBidi"/>
        </w:rPr>
        <w:t>Also</w:t>
      </w:r>
      <w:proofErr w:type="gramEnd"/>
      <w:r>
        <w:rPr>
          <w:rFonts w:asciiTheme="majorBidi" w:hAnsiTheme="majorBidi" w:cstheme="majorBidi"/>
        </w:rPr>
        <w:t>, it provides stakeholders some pedagogical implications and concrete suggestions and recommendations to inform educational, professional and research practices. This contributes to the development of meaningful, specific and effective professional learning experiences for teachers.</w:t>
      </w:r>
      <w:bookmarkEnd w:id="91"/>
      <w:r>
        <w:rPr>
          <w:rFonts w:asciiTheme="majorBidi" w:hAnsiTheme="majorBidi" w:cstheme="majorBidi"/>
        </w:rPr>
        <w:t xml:space="preserve">  </w:t>
      </w:r>
    </w:p>
    <w:p w14:paraId="5172A77C" w14:textId="77777777" w:rsidR="00113048" w:rsidRDefault="00113048" w:rsidP="001A635F">
      <w:pPr>
        <w:spacing w:line="480" w:lineRule="auto"/>
        <w:ind w:left="-2" w:firstLineChars="236" w:firstLine="566"/>
        <w:jc w:val="both"/>
        <w:rPr>
          <w:rFonts w:asciiTheme="majorBidi" w:hAnsiTheme="majorBidi" w:cstheme="majorBidi"/>
        </w:rPr>
      </w:pPr>
    </w:p>
    <w:p w14:paraId="51BB4C60" w14:textId="77777777" w:rsidR="00113048" w:rsidRDefault="00113048" w:rsidP="001A635F">
      <w:pPr>
        <w:spacing w:line="480" w:lineRule="auto"/>
        <w:ind w:left="-2" w:firstLineChars="236" w:firstLine="566"/>
        <w:jc w:val="both"/>
        <w:rPr>
          <w:rFonts w:asciiTheme="majorBidi" w:hAnsiTheme="majorBidi" w:cstheme="majorBidi"/>
        </w:rPr>
      </w:pPr>
    </w:p>
    <w:p w14:paraId="59353FF7" w14:textId="6A565CC4" w:rsidR="00737138" w:rsidRPr="00737138" w:rsidRDefault="00737138">
      <w:pPr>
        <w:pStyle w:val="Paragraphedeliste"/>
        <w:numPr>
          <w:ilvl w:val="0"/>
          <w:numId w:val="4"/>
        </w:numPr>
        <w:spacing w:after="160" w:line="480" w:lineRule="auto"/>
        <w:rPr>
          <w:rFonts w:asciiTheme="majorBidi" w:hAnsiTheme="majorBidi" w:cstheme="majorBidi"/>
          <w:b/>
          <w:bCs/>
          <w:sz w:val="24"/>
          <w:szCs w:val="24"/>
          <w:lang w:val="en-US"/>
        </w:rPr>
      </w:pPr>
      <w:bookmarkStart w:id="92" w:name="_Toc200486030"/>
      <w:r w:rsidRPr="00737138">
        <w:rPr>
          <w:rFonts w:asciiTheme="majorBidi" w:hAnsiTheme="majorBidi" w:cstheme="majorBidi"/>
          <w:b/>
          <w:bCs/>
          <w:sz w:val="24"/>
          <w:szCs w:val="24"/>
          <w:lang w:val="en-US"/>
        </w:rPr>
        <w:lastRenderedPageBreak/>
        <w:t>Operational Definitions of Research Variables:</w:t>
      </w:r>
      <w:bookmarkEnd w:id="92"/>
    </w:p>
    <w:p w14:paraId="6AE3BD0C" w14:textId="77777777" w:rsidR="00737138" w:rsidRPr="00D81193" w:rsidRDefault="00737138" w:rsidP="00737138">
      <w:pPr>
        <w:spacing w:line="480" w:lineRule="auto"/>
        <w:ind w:hanging="2"/>
        <w:jc w:val="both"/>
        <w:rPr>
          <w:rFonts w:asciiTheme="majorBidi" w:hAnsiTheme="majorBidi" w:cstheme="majorBidi"/>
        </w:rPr>
      </w:pPr>
      <w:bookmarkStart w:id="93" w:name="_Toc200486031"/>
      <w:r>
        <w:rPr>
          <w:rFonts w:asciiTheme="majorBidi" w:hAnsiTheme="majorBidi" w:cstheme="majorBidi"/>
          <w:b/>
          <w:bCs/>
        </w:rPr>
        <w:t xml:space="preserve">Summative Assessment Literacy (SAL): </w:t>
      </w:r>
      <w:proofErr w:type="gramStart"/>
      <w:r>
        <w:rPr>
          <w:rFonts w:asciiTheme="majorBidi" w:hAnsiTheme="majorBidi" w:cstheme="majorBidi"/>
        </w:rPr>
        <w:t>is defined</w:t>
      </w:r>
      <w:proofErr w:type="gramEnd"/>
      <w:r>
        <w:rPr>
          <w:rFonts w:asciiTheme="majorBidi" w:hAnsiTheme="majorBidi" w:cstheme="majorBidi"/>
        </w:rPr>
        <w:t xml:space="preserve"> as teachers’ ability to appropriately create, use and interpret valid and reliable assessment tools and using results to inform instructional design. In this research study, summative assessment literacy refers to the extent to which EFL middle school teachers in District 4 Teacher Corner Community possess the knowledge and skills necessary to develop such assessments. It is also associated with the average score on a Likert scale questionnaire measuring level of agreement on mastering summative assessment content knowledge, designing effective methods and using constructive feedback to thoughtfully analyze and synthesize them.</w:t>
      </w:r>
      <w:bookmarkEnd w:id="93"/>
      <w:r>
        <w:rPr>
          <w:rFonts w:asciiTheme="majorBidi" w:hAnsiTheme="majorBidi" w:cstheme="majorBidi"/>
        </w:rPr>
        <w:t xml:space="preserve"> </w:t>
      </w:r>
    </w:p>
    <w:p w14:paraId="3DD86FCB" w14:textId="77777777" w:rsidR="00737138" w:rsidRPr="00F62903" w:rsidRDefault="00737138" w:rsidP="00737138">
      <w:pPr>
        <w:spacing w:line="480" w:lineRule="auto"/>
        <w:ind w:hanging="2"/>
        <w:jc w:val="both"/>
        <w:rPr>
          <w:rFonts w:asciiTheme="majorBidi" w:hAnsiTheme="majorBidi" w:cstheme="majorBidi"/>
        </w:rPr>
      </w:pPr>
      <w:bookmarkStart w:id="94" w:name="_Toc200486032"/>
      <w:r>
        <w:rPr>
          <w:rFonts w:asciiTheme="majorBidi" w:hAnsiTheme="majorBidi" w:cstheme="majorBidi"/>
          <w:b/>
          <w:bCs/>
        </w:rPr>
        <w:t xml:space="preserve">Online Teacher Communities: </w:t>
      </w:r>
      <w:r>
        <w:rPr>
          <w:rFonts w:asciiTheme="majorBidi" w:hAnsiTheme="majorBidi" w:cstheme="majorBidi"/>
        </w:rPr>
        <w:t xml:space="preserve">several definitions </w:t>
      </w:r>
      <w:proofErr w:type="gramStart"/>
      <w:r>
        <w:rPr>
          <w:rFonts w:asciiTheme="majorBidi" w:hAnsiTheme="majorBidi" w:cstheme="majorBidi"/>
        </w:rPr>
        <w:t>have been proposed</w:t>
      </w:r>
      <w:proofErr w:type="gramEnd"/>
      <w:r>
        <w:rPr>
          <w:rFonts w:asciiTheme="majorBidi" w:hAnsiTheme="majorBidi" w:cstheme="majorBidi"/>
        </w:rPr>
        <w:t xml:space="preserve"> to conceptualize Online Teacher Communities. This reflects diverse perspectives and research contexts. In this research paper, OTCs denote identifying and measuring District 4 members’ responses about their satisfaction with online teacher communities. This indicates OTCS regular use, effectiveness in sharing assessment instruments, usefulness in supporting teachers to make use of virtually exchanged theoretical concepts while implementing valid summative assessments, utility in engaging in peer and mentor feedback and which promote teachers’ reflective practices. In brief, the current study depicts OTCs as virtual spaces that </w:t>
      </w:r>
      <w:proofErr w:type="gramStart"/>
      <w:r>
        <w:rPr>
          <w:rFonts w:asciiTheme="majorBidi" w:hAnsiTheme="majorBidi" w:cstheme="majorBidi"/>
        </w:rPr>
        <w:t>are utilized</w:t>
      </w:r>
      <w:proofErr w:type="gramEnd"/>
      <w:r>
        <w:rPr>
          <w:rFonts w:asciiTheme="majorBidi" w:hAnsiTheme="majorBidi" w:cstheme="majorBidi"/>
        </w:rPr>
        <w:t xml:space="preserve"> for problem-solving and decision-making educational professional purposes.</w:t>
      </w:r>
      <w:bookmarkEnd w:id="94"/>
      <w:r>
        <w:rPr>
          <w:rFonts w:asciiTheme="majorBidi" w:hAnsiTheme="majorBidi" w:cstheme="majorBidi"/>
        </w:rPr>
        <w:t xml:space="preserve"> </w:t>
      </w:r>
    </w:p>
    <w:p w14:paraId="33459118" w14:textId="77777777" w:rsidR="00737138" w:rsidRDefault="00737138" w:rsidP="00737138">
      <w:pPr>
        <w:spacing w:line="480" w:lineRule="auto"/>
        <w:ind w:hanging="2"/>
        <w:rPr>
          <w:rFonts w:asciiTheme="majorBidi" w:hAnsiTheme="majorBidi" w:cstheme="majorBidi"/>
          <w:b/>
          <w:bCs/>
        </w:rPr>
      </w:pPr>
    </w:p>
    <w:p w14:paraId="0EDC111A" w14:textId="77777777" w:rsidR="00737138" w:rsidRDefault="00737138" w:rsidP="00737138">
      <w:pPr>
        <w:spacing w:line="480" w:lineRule="auto"/>
        <w:ind w:hanging="2"/>
        <w:rPr>
          <w:rFonts w:asciiTheme="majorBidi" w:hAnsiTheme="majorBidi" w:cstheme="majorBidi"/>
          <w:b/>
          <w:bCs/>
        </w:rPr>
      </w:pPr>
    </w:p>
    <w:p w14:paraId="2B88BB95" w14:textId="77777777" w:rsidR="00737138" w:rsidRDefault="00737138" w:rsidP="00737138">
      <w:pPr>
        <w:spacing w:line="480" w:lineRule="auto"/>
        <w:ind w:hanging="2"/>
        <w:rPr>
          <w:rFonts w:asciiTheme="majorBidi" w:hAnsiTheme="majorBidi" w:cstheme="majorBidi"/>
          <w:b/>
          <w:bCs/>
        </w:rPr>
      </w:pPr>
    </w:p>
    <w:p w14:paraId="37911241" w14:textId="77777777" w:rsidR="00737138" w:rsidRDefault="00737138" w:rsidP="00737138">
      <w:pPr>
        <w:spacing w:line="480" w:lineRule="auto"/>
        <w:ind w:hanging="2"/>
        <w:rPr>
          <w:rFonts w:asciiTheme="majorBidi" w:hAnsiTheme="majorBidi" w:cstheme="majorBidi"/>
          <w:b/>
          <w:bCs/>
        </w:rPr>
      </w:pPr>
    </w:p>
    <w:p w14:paraId="53761A42" w14:textId="77777777" w:rsidR="00737138" w:rsidRDefault="00737138" w:rsidP="00737138">
      <w:pPr>
        <w:spacing w:line="480" w:lineRule="auto"/>
        <w:ind w:hanging="2"/>
        <w:rPr>
          <w:rFonts w:asciiTheme="majorBidi" w:hAnsiTheme="majorBidi" w:cstheme="majorBidi"/>
          <w:b/>
          <w:bCs/>
        </w:rPr>
      </w:pPr>
    </w:p>
    <w:p w14:paraId="74DA3D3A" w14:textId="77777777" w:rsidR="00737138" w:rsidRDefault="00737138" w:rsidP="00737138">
      <w:pPr>
        <w:spacing w:line="480" w:lineRule="auto"/>
        <w:ind w:hanging="2"/>
        <w:rPr>
          <w:rFonts w:asciiTheme="majorBidi" w:hAnsiTheme="majorBidi" w:cstheme="majorBidi"/>
          <w:b/>
          <w:bCs/>
        </w:rPr>
      </w:pPr>
    </w:p>
    <w:p w14:paraId="736BBF72" w14:textId="77777777" w:rsidR="00737138" w:rsidRDefault="00737138" w:rsidP="00737138">
      <w:pPr>
        <w:spacing w:line="480" w:lineRule="auto"/>
        <w:ind w:hanging="2"/>
        <w:rPr>
          <w:rFonts w:asciiTheme="majorBidi" w:hAnsiTheme="majorBidi" w:cstheme="majorBidi"/>
          <w:b/>
          <w:bCs/>
        </w:rPr>
      </w:pPr>
    </w:p>
    <w:p w14:paraId="079C6F7B" w14:textId="77777777" w:rsidR="00737138" w:rsidRDefault="00737138" w:rsidP="00737138">
      <w:pPr>
        <w:spacing w:line="480" w:lineRule="auto"/>
        <w:ind w:hanging="2"/>
        <w:rPr>
          <w:rFonts w:asciiTheme="majorBidi" w:hAnsiTheme="majorBidi" w:cstheme="majorBidi"/>
          <w:b/>
          <w:bCs/>
        </w:rPr>
      </w:pPr>
    </w:p>
    <w:p w14:paraId="176D66ED" w14:textId="77777777" w:rsidR="00737138" w:rsidRDefault="00737138" w:rsidP="00737138">
      <w:pPr>
        <w:spacing w:line="480" w:lineRule="auto"/>
        <w:ind w:hanging="2"/>
        <w:rPr>
          <w:rFonts w:asciiTheme="majorBidi" w:hAnsiTheme="majorBidi" w:cstheme="majorBidi"/>
          <w:b/>
          <w:bCs/>
        </w:rPr>
      </w:pPr>
    </w:p>
    <w:p w14:paraId="5B125023" w14:textId="77777777" w:rsidR="00737138" w:rsidRDefault="00737138" w:rsidP="00737138">
      <w:pPr>
        <w:spacing w:line="480" w:lineRule="auto"/>
        <w:ind w:hanging="2"/>
        <w:rPr>
          <w:rFonts w:asciiTheme="majorBidi" w:hAnsiTheme="majorBidi" w:cstheme="majorBidi"/>
          <w:b/>
          <w:bCs/>
        </w:rPr>
      </w:pPr>
    </w:p>
    <w:p w14:paraId="4B3497F1" w14:textId="77777777" w:rsidR="00AB28E1" w:rsidRDefault="00AB28E1" w:rsidP="00737138">
      <w:pPr>
        <w:spacing w:line="480" w:lineRule="auto"/>
        <w:ind w:hanging="2"/>
        <w:rPr>
          <w:rFonts w:asciiTheme="majorBidi" w:hAnsiTheme="majorBidi" w:cstheme="majorBidi"/>
          <w:b/>
          <w:bCs/>
        </w:rPr>
      </w:pPr>
    </w:p>
    <w:p w14:paraId="665C19BD" w14:textId="77777777" w:rsidR="00AB28E1" w:rsidRDefault="00AB28E1" w:rsidP="00737138">
      <w:pPr>
        <w:spacing w:line="480" w:lineRule="auto"/>
        <w:ind w:hanging="2"/>
        <w:rPr>
          <w:rFonts w:asciiTheme="majorBidi" w:hAnsiTheme="majorBidi" w:cstheme="majorBidi"/>
          <w:b/>
          <w:bCs/>
        </w:rPr>
      </w:pPr>
    </w:p>
    <w:p w14:paraId="1C2D5CF9" w14:textId="77777777" w:rsidR="00AB28E1" w:rsidRDefault="00AB28E1" w:rsidP="00737138">
      <w:pPr>
        <w:spacing w:line="480" w:lineRule="auto"/>
        <w:ind w:hanging="2"/>
        <w:rPr>
          <w:rFonts w:asciiTheme="majorBidi" w:hAnsiTheme="majorBidi" w:cstheme="majorBidi"/>
          <w:b/>
          <w:bCs/>
        </w:rPr>
      </w:pPr>
    </w:p>
    <w:p w14:paraId="2ABB6576" w14:textId="77777777" w:rsidR="00AB28E1" w:rsidRDefault="00AB28E1" w:rsidP="00737138">
      <w:pPr>
        <w:spacing w:line="480" w:lineRule="auto"/>
        <w:ind w:hanging="2"/>
        <w:rPr>
          <w:rFonts w:asciiTheme="majorBidi" w:hAnsiTheme="majorBidi" w:cstheme="majorBidi"/>
          <w:b/>
          <w:bCs/>
        </w:rPr>
      </w:pPr>
    </w:p>
    <w:p w14:paraId="3D39FC69" w14:textId="77777777" w:rsidR="00AB28E1" w:rsidRDefault="00AB28E1" w:rsidP="00737138">
      <w:pPr>
        <w:spacing w:line="480" w:lineRule="auto"/>
        <w:ind w:hanging="2"/>
        <w:rPr>
          <w:rFonts w:asciiTheme="majorBidi" w:hAnsiTheme="majorBidi" w:cstheme="majorBidi"/>
          <w:b/>
          <w:bCs/>
        </w:rPr>
      </w:pPr>
    </w:p>
    <w:p w14:paraId="19B581AB" w14:textId="77777777" w:rsidR="00AB28E1" w:rsidRDefault="00AB28E1" w:rsidP="00737138">
      <w:pPr>
        <w:spacing w:line="480" w:lineRule="auto"/>
        <w:ind w:hanging="2"/>
        <w:rPr>
          <w:rFonts w:asciiTheme="majorBidi" w:hAnsiTheme="majorBidi" w:cstheme="majorBidi"/>
          <w:b/>
          <w:bCs/>
        </w:rPr>
      </w:pPr>
    </w:p>
    <w:p w14:paraId="18859F38" w14:textId="77777777" w:rsidR="00AB28E1" w:rsidRDefault="00AB28E1" w:rsidP="00737138">
      <w:pPr>
        <w:spacing w:line="480" w:lineRule="auto"/>
        <w:ind w:hanging="2"/>
        <w:rPr>
          <w:rFonts w:asciiTheme="majorBidi" w:hAnsiTheme="majorBidi" w:cstheme="majorBidi"/>
          <w:b/>
          <w:bCs/>
        </w:rPr>
      </w:pPr>
    </w:p>
    <w:p w14:paraId="1F638FBC" w14:textId="77777777" w:rsidR="00AB28E1" w:rsidRDefault="00AB28E1" w:rsidP="00737138">
      <w:pPr>
        <w:spacing w:line="480" w:lineRule="auto"/>
        <w:ind w:hanging="2"/>
        <w:rPr>
          <w:rFonts w:asciiTheme="majorBidi" w:hAnsiTheme="majorBidi" w:cstheme="majorBidi"/>
          <w:b/>
          <w:bCs/>
        </w:rPr>
      </w:pPr>
    </w:p>
    <w:p w14:paraId="624BB70C" w14:textId="77777777" w:rsidR="00AB28E1" w:rsidRDefault="00AB28E1" w:rsidP="00737138">
      <w:pPr>
        <w:spacing w:line="480" w:lineRule="auto"/>
        <w:ind w:hanging="2"/>
        <w:rPr>
          <w:rFonts w:asciiTheme="majorBidi" w:hAnsiTheme="majorBidi" w:cstheme="majorBidi"/>
          <w:b/>
          <w:bCs/>
        </w:rPr>
      </w:pPr>
    </w:p>
    <w:p w14:paraId="689937D6" w14:textId="77777777" w:rsidR="00737138" w:rsidRDefault="00737138" w:rsidP="00AA5DBF">
      <w:pPr>
        <w:pStyle w:val="Titre1"/>
      </w:pPr>
      <w:bookmarkStart w:id="95" w:name="_Toc200486033"/>
      <w:r>
        <w:rPr>
          <w:noProof/>
          <w:lang w:val="fr-FR" w:eastAsia="fr-FR" w:bidi="ar-SA"/>
        </w:rPr>
        <w:drawing>
          <wp:inline distT="0" distB="0" distL="0" distR="0" wp14:anchorId="7902CCE2" wp14:editId="07295526">
            <wp:extent cx="5486400" cy="2057400"/>
            <wp:effectExtent l="38100" t="38100" r="38100" b="0"/>
            <wp:docPr id="1612069023" name="Diagram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2" r:lo="rId23" r:qs="rId24" r:cs="rId25"/>
              </a:graphicData>
            </a:graphic>
          </wp:inline>
        </w:drawing>
      </w:r>
      <w:bookmarkEnd w:id="95"/>
    </w:p>
    <w:p w14:paraId="590006E0" w14:textId="77777777" w:rsidR="00737138" w:rsidRDefault="00737138" w:rsidP="00737138">
      <w:pPr>
        <w:spacing w:line="480" w:lineRule="auto"/>
        <w:ind w:hanging="2"/>
        <w:rPr>
          <w:rFonts w:asciiTheme="majorBidi" w:hAnsiTheme="majorBidi" w:cstheme="majorBidi"/>
          <w:b/>
          <w:bCs/>
        </w:rPr>
      </w:pPr>
    </w:p>
    <w:p w14:paraId="71149C0F" w14:textId="77777777" w:rsidR="00737138" w:rsidRDefault="00737138" w:rsidP="00737138">
      <w:pPr>
        <w:spacing w:line="480" w:lineRule="auto"/>
        <w:ind w:hanging="2"/>
        <w:rPr>
          <w:rFonts w:asciiTheme="majorBidi" w:hAnsiTheme="majorBidi" w:cstheme="majorBidi"/>
          <w:b/>
          <w:bCs/>
        </w:rPr>
      </w:pPr>
    </w:p>
    <w:p w14:paraId="3EB3DFBD" w14:textId="77777777" w:rsidR="00737138" w:rsidRDefault="00737138" w:rsidP="00737138">
      <w:pPr>
        <w:spacing w:line="480" w:lineRule="auto"/>
        <w:ind w:hanging="2"/>
        <w:rPr>
          <w:rFonts w:asciiTheme="majorBidi" w:hAnsiTheme="majorBidi" w:cstheme="majorBidi"/>
          <w:b/>
          <w:bCs/>
        </w:rPr>
      </w:pPr>
    </w:p>
    <w:p w14:paraId="159B2BE8" w14:textId="77777777" w:rsidR="00737138" w:rsidRDefault="00737138" w:rsidP="00737138">
      <w:pPr>
        <w:spacing w:line="480" w:lineRule="auto"/>
        <w:ind w:hanging="2"/>
        <w:rPr>
          <w:rFonts w:asciiTheme="majorBidi" w:hAnsiTheme="majorBidi" w:cstheme="majorBidi"/>
          <w:b/>
          <w:bCs/>
        </w:rPr>
      </w:pPr>
    </w:p>
    <w:p w14:paraId="7CF01960" w14:textId="77777777" w:rsidR="00737138" w:rsidRDefault="00737138" w:rsidP="00737138">
      <w:pPr>
        <w:spacing w:line="480" w:lineRule="auto"/>
        <w:ind w:hanging="2"/>
        <w:rPr>
          <w:rFonts w:asciiTheme="majorBidi" w:hAnsiTheme="majorBidi" w:cstheme="majorBidi"/>
        </w:rPr>
      </w:pPr>
    </w:p>
    <w:p w14:paraId="064D9ECB" w14:textId="2EF60219" w:rsidR="00737138" w:rsidRPr="00737138" w:rsidRDefault="00737138" w:rsidP="00635F51">
      <w:pPr>
        <w:tabs>
          <w:tab w:val="center" w:pos="5651"/>
        </w:tabs>
        <w:rPr>
          <w:sz w:val="28"/>
          <w:szCs w:val="28"/>
          <w:lang w:val="en-GB"/>
        </w:rPr>
        <w:sectPr w:rsidR="00737138" w:rsidRPr="00737138" w:rsidSect="00E35BF7">
          <w:headerReference w:type="default" r:id="rId27"/>
          <w:pgSz w:w="11907" w:h="16840"/>
          <w:pgMar w:top="1440" w:right="1440" w:bottom="1440" w:left="1440" w:header="0" w:footer="0" w:gutter="0"/>
          <w:pgNumType w:start="0"/>
          <w:cols w:space="720"/>
          <w:titlePg/>
          <w:docGrid w:linePitch="326"/>
        </w:sectPr>
      </w:pPr>
    </w:p>
    <w:p w14:paraId="58F4428F" w14:textId="5B223F53" w:rsidR="00CF3DB4" w:rsidRPr="00CF3DB4" w:rsidRDefault="00CF3DB4" w:rsidP="00AA5DBF">
      <w:pPr>
        <w:pStyle w:val="Titre1"/>
      </w:pPr>
      <w:bookmarkStart w:id="96" w:name="_Toc200486034"/>
      <w:r w:rsidRPr="00CF3DB4">
        <w:lastRenderedPageBreak/>
        <w:t>Introduction</w:t>
      </w:r>
      <w:bookmarkEnd w:id="96"/>
    </w:p>
    <w:p w14:paraId="2DAA4DA1" w14:textId="77777777" w:rsidR="00CF3DB4" w:rsidRPr="00CF3DB4" w:rsidRDefault="00CF3DB4" w:rsidP="00CF3DB4">
      <w:pPr>
        <w:spacing w:after="160" w:line="480" w:lineRule="auto"/>
        <w:jc w:val="both"/>
        <w:rPr>
          <w:rFonts w:eastAsia="Calibri"/>
          <w:b/>
          <w:bCs/>
          <w:kern w:val="2"/>
          <w:position w:val="0"/>
          <w:sz w:val="28"/>
          <w:szCs w:val="28"/>
          <w14:ligatures w14:val="standardContextual"/>
        </w:rPr>
      </w:pPr>
      <w:r w:rsidRPr="00CF3DB4">
        <w:rPr>
          <w:rFonts w:eastAsia="Calibri"/>
          <w:kern w:val="2"/>
          <w:position w:val="0"/>
          <w14:ligatures w14:val="standardContextual"/>
        </w:rPr>
        <w:t xml:space="preserve">       Online teacher communities (OTCs) represent a potentially significant resource for fostering and enhancing educators' assessment literacy through collaborative knowledge sharing and professional development. OTCs offer a unique space for educators to collectively address challenges and refine their assessment literacy, ultimately leading to improved student learning outcomes. This chapter provides the conceptual and theoretical underpinnings for this exploration. The first section defines key concepts related to assessment literacy and online teacher communities. The second section highlights the most relevant theories that offer insights into learning phenomena in general, and online learning in particular.</w:t>
      </w:r>
    </w:p>
    <w:p w14:paraId="7970DF9E" w14:textId="4A1EA01D" w:rsidR="00CF3DB4" w:rsidRPr="00CF3DB4" w:rsidRDefault="004E6FB4" w:rsidP="00AA5DBF">
      <w:pPr>
        <w:pStyle w:val="Titre1"/>
      </w:pPr>
      <w:bookmarkStart w:id="97" w:name="_Toc200486035"/>
      <w:r>
        <w:t xml:space="preserve">I. </w:t>
      </w:r>
      <w:r w:rsidR="00CF3DB4" w:rsidRPr="00CF3DB4">
        <w:t>Language Assessment</w:t>
      </w:r>
      <w:bookmarkStart w:id="98" w:name="_Hlk195957240"/>
      <w:bookmarkEnd w:id="97"/>
    </w:p>
    <w:p w14:paraId="12584177" w14:textId="33ECEEC5" w:rsidR="002F24E0" w:rsidRPr="002F24E0" w:rsidRDefault="00372530" w:rsidP="00AA5DBF">
      <w:pPr>
        <w:pStyle w:val="Titre1"/>
        <w:numPr>
          <w:ilvl w:val="1"/>
          <w:numId w:val="9"/>
        </w:numPr>
      </w:pPr>
      <w:bookmarkStart w:id="99" w:name="_Toc200486036"/>
      <w:bookmarkStart w:id="100" w:name="_Hlk195957296"/>
      <w:bookmarkEnd w:id="98"/>
      <w:r>
        <w:t xml:space="preserve"> </w:t>
      </w:r>
      <w:r w:rsidR="00CF3DB4" w:rsidRPr="00CF3DB4">
        <w:t>Definition of Assessment</w:t>
      </w:r>
      <w:bookmarkEnd w:id="99"/>
    </w:p>
    <w:bookmarkEnd w:id="100"/>
    <w:p w14:paraId="731A1C3C" w14:textId="5863B2EC" w:rsidR="00A31FDE" w:rsidRDefault="00CF3DB4" w:rsidP="00A31FDE">
      <w:pPr>
        <w:spacing w:after="100" w:afterAutospacing="1" w:line="480" w:lineRule="auto"/>
        <w:ind w:firstLine="567"/>
        <w:contextualSpacing/>
        <w:jc w:val="both"/>
        <w:rPr>
          <w:rFonts w:eastAsia="Calibri"/>
          <w:kern w:val="2"/>
          <w:position w:val="0"/>
          <w14:ligatures w14:val="standardContextual"/>
        </w:rPr>
      </w:pPr>
      <w:r w:rsidRPr="00CF3DB4">
        <w:rPr>
          <w:rFonts w:eastAsia="Calibri"/>
          <w:kern w:val="2"/>
          <w:position w:val="0"/>
          <w14:ligatures w14:val="standardContextual"/>
        </w:rPr>
        <w:t xml:space="preserve"> An essential component of the language teaching and learning process is assessment</w:t>
      </w:r>
      <w:r w:rsidRPr="00CF3DB4">
        <w:rPr>
          <w:rFonts w:ascii="Palatino Linotype" w:eastAsia="Calibri" w:hAnsi="Palatino Linotype" w:cs="Palatino Linotype"/>
          <w:position w:val="0"/>
          <w:sz w:val="23"/>
          <w:szCs w:val="23"/>
          <w14:ligatures w14:val="standardContextual"/>
        </w:rPr>
        <w:t>.</w:t>
      </w:r>
      <w:r w:rsidRPr="00CF3DB4">
        <w:rPr>
          <w:rFonts w:eastAsia="Calibri"/>
          <w:kern w:val="2"/>
          <w:position w:val="0"/>
          <w14:ligatures w14:val="standardContextual"/>
        </w:rPr>
        <w:t xml:space="preserve"> In addition to meeting student needs, assessment</w:t>
      </w:r>
      <w:r w:rsidR="00A92003">
        <w:rPr>
          <w:rFonts w:eastAsia="Calibri"/>
          <w:kern w:val="2"/>
          <w:position w:val="0"/>
          <w14:ligatures w14:val="standardContextual"/>
        </w:rPr>
        <w:t xml:space="preserve"> or evaluation</w:t>
      </w:r>
      <w:r w:rsidRPr="00CF3DB4">
        <w:rPr>
          <w:rFonts w:eastAsia="Calibri"/>
          <w:kern w:val="2"/>
          <w:position w:val="0"/>
          <w14:ligatures w14:val="standardContextual"/>
        </w:rPr>
        <w:t xml:space="preserve"> plays a key role in teacher planning, which includes testing. Assessment </w:t>
      </w:r>
      <w:proofErr w:type="gramStart"/>
      <w:r w:rsidRPr="00CF3DB4">
        <w:rPr>
          <w:rFonts w:eastAsia="Calibri"/>
          <w:kern w:val="2"/>
          <w:position w:val="0"/>
          <w14:ligatures w14:val="standardContextual"/>
        </w:rPr>
        <w:t>is thought</w:t>
      </w:r>
      <w:proofErr w:type="gramEnd"/>
      <w:r w:rsidRPr="00CF3DB4">
        <w:rPr>
          <w:rFonts w:eastAsia="Calibri"/>
          <w:kern w:val="2"/>
          <w:position w:val="0"/>
          <w14:ligatures w14:val="standardContextual"/>
        </w:rPr>
        <w:t xml:space="preserve"> to be the third side of the educational triangle alongside teaching and learning </w:t>
      </w:r>
      <w:sdt>
        <w:sdtPr>
          <w:rPr>
            <w:rFonts w:eastAsia="Calibri"/>
            <w:kern w:val="2"/>
            <w:position w:val="0"/>
            <w14:ligatures w14:val="standardContextual"/>
          </w:rPr>
          <w:id w:val="920756397"/>
          <w:citation/>
        </w:sdtPr>
        <w:sdtEndPr/>
        <w:sdtContent>
          <w:r w:rsidRPr="00CF3DB4">
            <w:rPr>
              <w:rFonts w:eastAsia="Calibri"/>
              <w:kern w:val="2"/>
              <w:position w:val="0"/>
              <w14:ligatures w14:val="standardContextual"/>
            </w:rPr>
            <w:fldChar w:fldCharType="begin"/>
          </w:r>
          <w:r w:rsidRPr="00CF3DB4">
            <w:rPr>
              <w:rFonts w:eastAsia="Calibri"/>
              <w:kern w:val="2"/>
              <w:position w:val="0"/>
              <w14:ligatures w14:val="standardContextual"/>
            </w:rPr>
            <w:instrText xml:space="preserve">CITATION Bir97 \p 71 \l 1033 </w:instrText>
          </w:r>
          <w:r w:rsidRPr="00CF3DB4">
            <w:rPr>
              <w:rFonts w:eastAsia="Calibri"/>
              <w:kern w:val="2"/>
              <w:position w:val="0"/>
              <w14:ligatures w14:val="standardContextual"/>
            </w:rPr>
            <w:fldChar w:fldCharType="separate"/>
          </w:r>
          <w:r w:rsidRPr="00CF3DB4">
            <w:rPr>
              <w:rFonts w:eastAsia="Calibri"/>
              <w:noProof/>
              <w:kern w:val="2"/>
              <w:position w:val="0"/>
              <w14:ligatures w14:val="standardContextual"/>
            </w:rPr>
            <w:t>(Birenbaum, 1997, p. 71)</w:t>
          </w:r>
          <w:r w:rsidRPr="00CF3DB4">
            <w:rPr>
              <w:rFonts w:eastAsia="Calibri"/>
              <w:kern w:val="2"/>
              <w:position w:val="0"/>
              <w14:ligatures w14:val="standardContextual"/>
            </w:rPr>
            <w:fldChar w:fldCharType="end"/>
          </w:r>
        </w:sdtContent>
      </w:sdt>
      <w:r w:rsidRPr="00CF3DB4">
        <w:rPr>
          <w:rFonts w:eastAsia="Calibri"/>
          <w:kern w:val="2"/>
          <w:position w:val="0"/>
          <w14:ligatures w14:val="standardContextual"/>
        </w:rPr>
        <w:t xml:space="preserve">. </w:t>
      </w:r>
      <w:proofErr w:type="gramStart"/>
      <w:r w:rsidRPr="00CF3DB4">
        <w:rPr>
          <w:rFonts w:eastAsia="Calibri"/>
          <w:kern w:val="2"/>
          <w:position w:val="0"/>
          <w14:ligatures w14:val="standardContextual"/>
        </w:rPr>
        <w:t>In this vein, it has been viewed as the procedure of gathering data regarding students' performance in order to comprehend and ascertain their current level of proficiency and, accordingly,</w:t>
      </w:r>
      <w:r w:rsidRPr="00CF3DB4">
        <w:rPr>
          <w:position w:val="0"/>
        </w:rPr>
        <w:t xml:space="preserve"> </w:t>
      </w:r>
      <w:r w:rsidRPr="00CF3DB4">
        <w:rPr>
          <w:rFonts w:eastAsia="Calibri"/>
          <w:kern w:val="2"/>
          <w:position w:val="0"/>
          <w14:ligatures w14:val="standardContextual"/>
        </w:rPr>
        <w:t>teachers will be taking a significant step in converting their classrooms into immersive spaces for children where they can acquire knowledge, develop understanding and gain skills and competencies to be important, productive members of society (</w:t>
      </w:r>
      <w:proofErr w:type="spellStart"/>
      <w:r w:rsidRPr="00CF3DB4">
        <w:rPr>
          <w:rFonts w:eastAsia="Calibri"/>
          <w:kern w:val="2"/>
          <w:position w:val="0"/>
          <w14:ligatures w14:val="standardContextual"/>
        </w:rPr>
        <w:t>Arkoudis</w:t>
      </w:r>
      <w:proofErr w:type="spellEnd"/>
      <w:r w:rsidRPr="00CF3DB4">
        <w:rPr>
          <w:rFonts w:eastAsia="Calibri"/>
          <w:kern w:val="2"/>
          <w:position w:val="0"/>
          <w14:ligatures w14:val="standardContextual"/>
        </w:rPr>
        <w:t xml:space="preserve"> &amp; O’Loughlin, 2004; Cumming, 2009b; Davison &amp; Leung, 2009 as cited in </w:t>
      </w:r>
      <w:proofErr w:type="spellStart"/>
      <w:r w:rsidRPr="00CF3DB4">
        <w:rPr>
          <w:rFonts w:eastAsia="Calibri"/>
          <w:kern w:val="2"/>
          <w:position w:val="0"/>
          <w14:ligatures w14:val="standardContextual"/>
        </w:rPr>
        <w:t>Celce</w:t>
      </w:r>
      <w:proofErr w:type="spellEnd"/>
      <w:r w:rsidRPr="00CF3DB4">
        <w:rPr>
          <w:rFonts w:eastAsia="Calibri"/>
          <w:kern w:val="2"/>
          <w:position w:val="0"/>
          <w14:ligatures w14:val="standardContextual"/>
        </w:rPr>
        <w:t>-Murcia., et al, 2014).</w:t>
      </w:r>
      <w:proofErr w:type="gramEnd"/>
      <w:r w:rsidRPr="00CF3DB4">
        <w:rPr>
          <w:rFonts w:eastAsia="Calibri"/>
          <w:kern w:val="2"/>
          <w:position w:val="0"/>
          <w14:ligatures w14:val="standardContextual"/>
        </w:rPr>
        <w:t xml:space="preserve"> </w:t>
      </w:r>
    </w:p>
    <w:p w14:paraId="0E5416DD" w14:textId="3939A274" w:rsidR="00CF3DB4" w:rsidRPr="00CF3DB4" w:rsidRDefault="00CF3DB4" w:rsidP="00A31FDE">
      <w:pPr>
        <w:spacing w:after="100" w:afterAutospacing="1" w:line="480" w:lineRule="auto"/>
        <w:ind w:firstLine="567"/>
        <w:contextualSpacing/>
        <w:jc w:val="both"/>
        <w:rPr>
          <w:rFonts w:eastAsia="Calibri"/>
          <w:kern w:val="2"/>
          <w:position w:val="0"/>
          <w14:ligatures w14:val="standardContextual"/>
        </w:rPr>
      </w:pPr>
      <w:r w:rsidRPr="00CF3DB4">
        <w:rPr>
          <w:rFonts w:eastAsia="Calibri"/>
          <w:kern w:val="2"/>
          <w:position w:val="0"/>
          <w14:ligatures w14:val="standardContextual"/>
        </w:rPr>
        <w:t xml:space="preserve"> </w:t>
      </w:r>
      <w:proofErr w:type="spellStart"/>
      <w:r w:rsidRPr="00CF3DB4">
        <w:rPr>
          <w:rFonts w:eastAsia="Calibri"/>
          <w:kern w:val="2"/>
          <w:position w:val="0"/>
          <w14:ligatures w14:val="standardContextual"/>
        </w:rPr>
        <w:t>Stiggins</w:t>
      </w:r>
      <w:proofErr w:type="spellEnd"/>
      <w:r w:rsidRPr="00CF3DB4">
        <w:rPr>
          <w:rFonts w:eastAsia="Calibri"/>
          <w:kern w:val="2"/>
          <w:position w:val="0"/>
          <w14:ligatures w14:val="standardContextual"/>
        </w:rPr>
        <w:t xml:space="preserve"> </w:t>
      </w:r>
      <w:bookmarkStart w:id="101" w:name="_Hlk192080754"/>
      <w:r w:rsidRPr="00CF3DB4">
        <w:rPr>
          <w:rFonts w:eastAsia="Calibri"/>
          <w:kern w:val="2"/>
          <w:position w:val="0"/>
          <w14:ligatures w14:val="standardContextual"/>
        </w:rPr>
        <w:t xml:space="preserve">(1999) </w:t>
      </w:r>
      <w:bookmarkEnd w:id="101"/>
      <w:r w:rsidRPr="00CF3DB4">
        <w:rPr>
          <w:rFonts w:eastAsia="Calibri"/>
          <w:kern w:val="2"/>
          <w:position w:val="0"/>
          <w14:ligatures w14:val="standardContextual"/>
        </w:rPr>
        <w:t xml:space="preserve">claims that sound assessment practices are pivotal since assessment methods employed determine the effectiveness of instruction and learning. Hence, English teaching and learning didactics place a strong emphasis on the use of a variety of assessment strategies and techniques to assist teachers in tracking students' progress, pinpointing areas for </w:t>
      </w:r>
      <w:r w:rsidRPr="00CF3DB4">
        <w:rPr>
          <w:rFonts w:eastAsia="Calibri"/>
          <w:kern w:val="2"/>
          <w:position w:val="0"/>
          <w14:ligatures w14:val="standardContextual"/>
        </w:rPr>
        <w:lastRenderedPageBreak/>
        <w:t>improvement, and informing instructional decisions. It is evident that various types of assessments cater for distinct purposes to measure users’ achievements in diverse settings and at different times. (</w:t>
      </w:r>
      <w:proofErr w:type="spellStart"/>
      <w:proofErr w:type="gramStart"/>
      <w:r w:rsidRPr="00CF3DB4">
        <w:rPr>
          <w:rFonts w:eastAsia="Calibri"/>
          <w:kern w:val="2"/>
          <w:position w:val="0"/>
          <w14:ligatures w14:val="standardContextual"/>
        </w:rPr>
        <w:t>Stiggins</w:t>
      </w:r>
      <w:proofErr w:type="spellEnd"/>
      <w:r w:rsidRPr="00CF3DB4">
        <w:rPr>
          <w:rFonts w:eastAsia="Calibri"/>
          <w:kern w:val="2"/>
          <w:position w:val="0"/>
          <w14:ligatures w14:val="standardContextual"/>
        </w:rPr>
        <w:t>.,</w:t>
      </w:r>
      <w:proofErr w:type="gramEnd"/>
      <w:r w:rsidRPr="00CF3DB4">
        <w:rPr>
          <w:rFonts w:eastAsia="Calibri"/>
          <w:kern w:val="2"/>
          <w:position w:val="0"/>
          <w14:ligatures w14:val="standardContextual"/>
        </w:rPr>
        <w:t xml:space="preserve"> et al ,2004, p.14).</w:t>
      </w:r>
    </w:p>
    <w:p w14:paraId="4AFDCA11" w14:textId="2390D03D" w:rsidR="00CF3DB4" w:rsidRPr="00CF3DB4" w:rsidRDefault="00A86737" w:rsidP="00AA5DBF">
      <w:pPr>
        <w:pStyle w:val="Titre1"/>
      </w:pPr>
      <w:bookmarkStart w:id="102" w:name="_Toc200486037"/>
      <w:r>
        <w:t>1.1.1</w:t>
      </w:r>
      <w:r w:rsidR="00372530">
        <w:t xml:space="preserve"> </w:t>
      </w:r>
      <w:r w:rsidR="00CF3DB4" w:rsidRPr="00CF3DB4">
        <w:t>Purpose of Assessment</w:t>
      </w:r>
      <w:bookmarkEnd w:id="102"/>
    </w:p>
    <w:p w14:paraId="0FE108A5" w14:textId="77777777" w:rsidR="00372530" w:rsidRDefault="00CF3DB4" w:rsidP="00A86737">
      <w:pPr>
        <w:spacing w:after="160" w:line="480" w:lineRule="auto"/>
        <w:ind w:firstLine="567"/>
        <w:contextualSpacing/>
        <w:jc w:val="both"/>
        <w:rPr>
          <w:rFonts w:eastAsia="Calibri"/>
          <w:kern w:val="2"/>
          <w:position w:val="0"/>
          <w14:ligatures w14:val="standardContextual"/>
        </w:rPr>
      </w:pPr>
      <w:r w:rsidRPr="00CF3DB4">
        <w:rPr>
          <w:rFonts w:eastAsia="Calibri"/>
          <w:kern w:val="2"/>
          <w:position w:val="0"/>
          <w14:ligatures w14:val="standardContextual"/>
        </w:rPr>
        <w:t xml:space="preserve"> Assessment plays a critical role in education and in the teaching process. Utilizing appropriate assessment assists teachers in grouping learners, assigning feedback and tailoring instruction</w:t>
      </w:r>
      <w:sdt>
        <w:sdtPr>
          <w:rPr>
            <w:rFonts w:eastAsia="Calibri"/>
            <w:kern w:val="2"/>
            <w:position w:val="0"/>
            <w14:ligatures w14:val="standardContextual"/>
          </w:rPr>
          <w:id w:val="1255779112"/>
          <w:citation/>
        </w:sdtPr>
        <w:sdtEndPr/>
        <w:sdtContent>
          <w:r w:rsidRPr="00CF3DB4">
            <w:rPr>
              <w:rFonts w:eastAsia="Calibri"/>
              <w:kern w:val="2"/>
              <w:position w:val="0"/>
              <w14:ligatures w14:val="standardContextual"/>
            </w:rPr>
            <w:fldChar w:fldCharType="begin"/>
          </w:r>
          <w:r w:rsidRPr="00CF3DB4">
            <w:rPr>
              <w:rFonts w:eastAsia="Calibri"/>
              <w:kern w:val="2"/>
              <w:position w:val="0"/>
              <w14:ligatures w14:val="standardContextual"/>
            </w:rPr>
            <w:instrText xml:space="preserve"> CITATION Tos18 \l 1033 </w:instrText>
          </w:r>
          <w:r w:rsidRPr="00CF3DB4">
            <w:rPr>
              <w:rFonts w:eastAsia="Calibri"/>
              <w:kern w:val="2"/>
              <w:position w:val="0"/>
              <w14:ligatures w14:val="standardContextual"/>
            </w:rPr>
            <w:fldChar w:fldCharType="separate"/>
          </w:r>
          <w:r w:rsidRPr="00CF3DB4">
            <w:rPr>
              <w:rFonts w:eastAsia="Calibri"/>
              <w:noProof/>
              <w:kern w:val="2"/>
              <w:position w:val="0"/>
              <w14:ligatures w14:val="standardContextual"/>
            </w:rPr>
            <w:t xml:space="preserve"> (Tosuncuoglu, 2018)</w:t>
          </w:r>
          <w:r w:rsidRPr="00CF3DB4">
            <w:rPr>
              <w:rFonts w:eastAsia="Calibri"/>
              <w:kern w:val="2"/>
              <w:position w:val="0"/>
              <w14:ligatures w14:val="standardContextual"/>
            </w:rPr>
            <w:fldChar w:fldCharType="end"/>
          </w:r>
        </w:sdtContent>
      </w:sdt>
      <w:r w:rsidRPr="00CF3DB4">
        <w:rPr>
          <w:rFonts w:eastAsia="Calibri"/>
          <w:kern w:val="2"/>
          <w:position w:val="0"/>
          <w14:ligatures w14:val="standardContextual"/>
        </w:rPr>
        <w:t>. Formative, summative and metacognitive assessments represent different approaches, each serving unique purposes at specific stages of learning. This demonstrates the various ways in which learning and assessment might be connected.</w:t>
      </w:r>
    </w:p>
    <w:p w14:paraId="053DC758" w14:textId="37B75913" w:rsidR="00CF3DB4" w:rsidRPr="00CF3DB4" w:rsidRDefault="00CF3DB4" w:rsidP="00A86737">
      <w:pPr>
        <w:spacing w:after="160" w:line="480" w:lineRule="auto"/>
        <w:ind w:firstLine="567"/>
        <w:contextualSpacing/>
        <w:jc w:val="both"/>
        <w:rPr>
          <w:rFonts w:eastAsia="Calibri"/>
          <w:kern w:val="2"/>
          <w:position w:val="0"/>
          <w14:ligatures w14:val="standardContextual"/>
        </w:rPr>
      </w:pPr>
      <w:r w:rsidRPr="00CF3DB4">
        <w:rPr>
          <w:rFonts w:eastAsia="Calibri"/>
          <w:kern w:val="2"/>
          <w:position w:val="0"/>
          <w14:ligatures w14:val="standardContextual"/>
        </w:rPr>
        <w:t xml:space="preserve">Torrance (2007) argues that: ‘in a very real sense we have moved from “assessment of learning” through “assessment for learning” to “assessment as learning”, for both learners and tutors alike, with assessment procedures and process completely dominating the teaching and learning experience’. Hence, distinguishing between them is a crucial step for educators to appropriately and efficiently design, implement and reflect on testing tools. It is worth mentioning that assessment tools are not inherently summative or formative; rather, their designation </w:t>
      </w:r>
      <w:proofErr w:type="gramStart"/>
      <w:r w:rsidRPr="00CF3DB4">
        <w:rPr>
          <w:rFonts w:eastAsia="Calibri"/>
          <w:kern w:val="2"/>
          <w:position w:val="0"/>
          <w14:ligatures w14:val="standardContextual"/>
        </w:rPr>
        <w:t>is determined</w:t>
      </w:r>
      <w:proofErr w:type="gramEnd"/>
      <w:r w:rsidRPr="00CF3DB4">
        <w:rPr>
          <w:rFonts w:eastAsia="Calibri"/>
          <w:kern w:val="2"/>
          <w:position w:val="0"/>
          <w14:ligatures w14:val="standardContextual"/>
        </w:rPr>
        <w:t xml:space="preserve"> by the purpose for which they are employed </w:t>
      </w:r>
      <w:r w:rsidRPr="00CF3DB4">
        <w:rPr>
          <w:rFonts w:eastAsia="Calibri"/>
          <w:noProof/>
          <w:kern w:val="2"/>
          <w:position w:val="0"/>
          <w14:ligatures w14:val="standardContextual"/>
        </w:rPr>
        <w:t>(</w:t>
      </w:r>
      <w:bookmarkStart w:id="103" w:name="_Hlk195071380"/>
      <w:r w:rsidRPr="00CF3DB4">
        <w:rPr>
          <w:rFonts w:eastAsia="Calibri"/>
          <w:noProof/>
          <w:kern w:val="2"/>
          <w:position w:val="0"/>
          <w14:ligatures w14:val="standardContextual"/>
        </w:rPr>
        <w:t>Marianne et al, 2014, 2001, 1991</w:t>
      </w:r>
      <w:bookmarkEnd w:id="103"/>
      <w:r w:rsidRPr="00CF3DB4">
        <w:rPr>
          <w:rFonts w:eastAsia="Calibri"/>
          <w:noProof/>
          <w:kern w:val="2"/>
          <w:position w:val="0"/>
          <w14:ligatures w14:val="standardContextual"/>
        </w:rPr>
        <w:t>)</w:t>
      </w:r>
      <w:r w:rsidRPr="00CF3DB4">
        <w:rPr>
          <w:rFonts w:eastAsia="Calibri"/>
          <w:kern w:val="2"/>
          <w:position w:val="0"/>
          <w14:ligatures w14:val="standardContextual"/>
        </w:rPr>
        <w:t>.</w:t>
      </w:r>
    </w:p>
    <w:p w14:paraId="2E15344A" w14:textId="5DC92058" w:rsidR="00CF3DB4" w:rsidRPr="00CF3DB4" w:rsidRDefault="00CF3DB4" w:rsidP="00AA5DBF">
      <w:pPr>
        <w:pStyle w:val="Titre1"/>
        <w:numPr>
          <w:ilvl w:val="3"/>
          <w:numId w:val="10"/>
        </w:numPr>
        <w:rPr>
          <w:rFonts w:eastAsia="Calibri"/>
        </w:rPr>
      </w:pPr>
      <w:bookmarkStart w:id="104" w:name="_Toc200486038"/>
      <w:r w:rsidRPr="00CF3DB4">
        <w:rPr>
          <w:rFonts w:eastAsia="Calibri"/>
        </w:rPr>
        <w:t>Assessment for Learning (Formative Assessment)</w:t>
      </w:r>
      <w:bookmarkEnd w:id="104"/>
      <w:r w:rsidRPr="00CF3DB4">
        <w:rPr>
          <w:rFonts w:eastAsia="Calibri"/>
        </w:rPr>
        <w:t xml:space="preserve"> </w:t>
      </w:r>
    </w:p>
    <w:p w14:paraId="486D8439" w14:textId="77777777" w:rsidR="00DD7F63" w:rsidRDefault="00CF3DB4" w:rsidP="00DD7F63">
      <w:pPr>
        <w:spacing w:after="160" w:line="480" w:lineRule="auto"/>
        <w:ind w:firstLine="567"/>
        <w:jc w:val="both"/>
        <w:rPr>
          <w:rFonts w:eastAsia="Calibri"/>
          <w:kern w:val="2"/>
          <w:position w:val="0"/>
          <w14:ligatures w14:val="standardContextual"/>
        </w:rPr>
      </w:pPr>
      <w:r w:rsidRPr="00CF3DB4">
        <w:rPr>
          <w:rFonts w:eastAsia="Calibri"/>
          <w:kern w:val="2"/>
          <w:position w:val="0"/>
          <w14:ligatures w14:val="standardContextual"/>
        </w:rPr>
        <w:t xml:space="preserve">The concept of formative assessment </w:t>
      </w:r>
      <w:proofErr w:type="gramStart"/>
      <w:r w:rsidRPr="00CF3DB4">
        <w:rPr>
          <w:rFonts w:eastAsia="Calibri"/>
          <w:kern w:val="2"/>
          <w:position w:val="0"/>
          <w14:ligatures w14:val="standardContextual"/>
        </w:rPr>
        <w:t>has been defined</w:t>
      </w:r>
      <w:proofErr w:type="gramEnd"/>
      <w:r w:rsidRPr="00CF3DB4">
        <w:rPr>
          <w:rFonts w:eastAsia="Calibri"/>
          <w:kern w:val="2"/>
          <w:position w:val="0"/>
          <w14:ligatures w14:val="standardContextual"/>
        </w:rPr>
        <w:t xml:space="preserve"> in multiple ways. Black &amp; </w:t>
      </w:r>
      <w:proofErr w:type="spellStart"/>
      <w:r w:rsidRPr="00CF3DB4">
        <w:rPr>
          <w:rFonts w:eastAsia="Calibri"/>
          <w:kern w:val="2"/>
          <w:position w:val="0"/>
          <w14:ligatures w14:val="standardContextual"/>
        </w:rPr>
        <w:t>Wiliam</w:t>
      </w:r>
      <w:proofErr w:type="spellEnd"/>
      <w:r w:rsidRPr="00CF3DB4">
        <w:rPr>
          <w:rFonts w:eastAsia="Calibri"/>
          <w:kern w:val="2"/>
          <w:position w:val="0"/>
          <w14:ligatures w14:val="standardContextual"/>
        </w:rPr>
        <w:t xml:space="preserve"> (1998) describe formative assessment</w:t>
      </w:r>
      <w:r w:rsidRPr="00CF3DB4">
        <w:rPr>
          <w:rFonts w:eastAsia="Calibri" w:hint="eastAsia"/>
          <w:kern w:val="2"/>
          <w:position w:val="0"/>
          <w14:ligatures w14:val="standardContextual"/>
        </w:rPr>
        <w:t xml:space="preserve"> </w:t>
      </w:r>
      <w:r w:rsidRPr="00CF3DB4">
        <w:rPr>
          <w:rFonts w:eastAsia="Calibri"/>
          <w:kern w:val="2"/>
          <w:position w:val="0"/>
          <w14:ligatures w14:val="standardContextual"/>
        </w:rPr>
        <w:t xml:space="preserve">“as encompassing all those activities undertaken by teachers, and/or students which provide information for feedback to modify teaching and learning activities in which they are engaged” (p.7).  The National Research Council </w:t>
      </w:r>
      <w:r w:rsidRPr="00CF3DB4">
        <w:rPr>
          <w:rFonts w:eastAsia="Calibri"/>
          <w:noProof/>
          <w:kern w:val="2"/>
          <w:position w:val="0"/>
          <w14:ligatures w14:val="standardContextual"/>
        </w:rPr>
        <w:t>(1996)</w:t>
      </w:r>
      <w:r w:rsidRPr="00CF3DB4">
        <w:rPr>
          <w:rFonts w:eastAsia="Calibri"/>
          <w:kern w:val="2"/>
          <w:position w:val="0"/>
          <w14:ligatures w14:val="standardContextual"/>
        </w:rPr>
        <w:t xml:space="preserve"> clearly indicates that “assessment becomes formative in nature only when either the teacher or the student uses that information to inform teaching and/or to influence learning. </w:t>
      </w:r>
    </w:p>
    <w:p w14:paraId="7C63CDEE" w14:textId="268D1E15" w:rsidR="0061505F" w:rsidRDefault="00CF3DB4" w:rsidP="0061505F">
      <w:pPr>
        <w:spacing w:after="160" w:line="480" w:lineRule="auto"/>
        <w:ind w:firstLine="567"/>
        <w:jc w:val="both"/>
        <w:rPr>
          <w:rFonts w:eastAsia="Calibri"/>
          <w:kern w:val="2"/>
          <w:position w:val="0"/>
          <w14:ligatures w14:val="standardContextual"/>
        </w:rPr>
      </w:pPr>
      <w:r w:rsidRPr="00CF3DB4">
        <w:rPr>
          <w:rFonts w:eastAsia="Calibri"/>
          <w:kern w:val="2"/>
          <w:position w:val="0"/>
          <w14:ligatures w14:val="standardContextual"/>
        </w:rPr>
        <w:lastRenderedPageBreak/>
        <w:t xml:space="preserve">Further, the Latin verb </w:t>
      </w:r>
      <w:proofErr w:type="spellStart"/>
      <w:r w:rsidRPr="00CF3DB4">
        <w:rPr>
          <w:rFonts w:eastAsia="Calibri"/>
          <w:i/>
          <w:iCs/>
          <w:kern w:val="2"/>
          <w:position w:val="0"/>
          <w14:ligatures w14:val="standardContextual"/>
        </w:rPr>
        <w:t>assidere</w:t>
      </w:r>
      <w:proofErr w:type="spellEnd"/>
      <w:r w:rsidRPr="00CF3DB4">
        <w:rPr>
          <w:rFonts w:eastAsia="Calibri"/>
          <w:i/>
          <w:iCs/>
          <w:kern w:val="2"/>
          <w:position w:val="0"/>
          <w14:ligatures w14:val="standardContextual"/>
        </w:rPr>
        <w:t>,</w:t>
      </w:r>
      <w:r w:rsidRPr="00CF3DB4">
        <w:rPr>
          <w:rFonts w:eastAsia="Calibri"/>
          <w:kern w:val="2"/>
          <w:position w:val="0"/>
          <w14:ligatures w14:val="standardContextual"/>
        </w:rPr>
        <w:t xml:space="preserve"> which means "to sit beside", is where the word "assessment" originates. This idea is somewhat different from ideas of assessment that prioritize testing and examination </w:t>
      </w:r>
      <w:sdt>
        <w:sdtPr>
          <w:rPr>
            <w:rFonts w:eastAsia="Calibri"/>
            <w:kern w:val="2"/>
            <w:position w:val="0"/>
            <w14:ligatures w14:val="standardContextual"/>
          </w:rPr>
          <w:id w:val="146323361"/>
          <w:citation/>
        </w:sdtPr>
        <w:sdtEndPr/>
        <w:sdtContent>
          <w:r w:rsidRPr="00CF3DB4">
            <w:rPr>
              <w:rFonts w:eastAsia="Calibri"/>
              <w:kern w:val="2"/>
              <w:position w:val="0"/>
              <w14:ligatures w14:val="standardContextual"/>
            </w:rPr>
            <w:fldChar w:fldCharType="begin"/>
          </w:r>
          <w:r w:rsidRPr="00CF3DB4">
            <w:rPr>
              <w:rFonts w:eastAsia="Calibri"/>
              <w:kern w:val="2"/>
              <w:position w:val="0"/>
              <w14:ligatures w14:val="standardContextual"/>
            </w:rPr>
            <w:instrText xml:space="preserve">CITATION Sue11 \p 433&amp;#8211;449 \l 1033 </w:instrText>
          </w:r>
          <w:r w:rsidRPr="00CF3DB4">
            <w:rPr>
              <w:rFonts w:eastAsia="Calibri"/>
              <w:kern w:val="2"/>
              <w:position w:val="0"/>
              <w14:ligatures w14:val="standardContextual"/>
            </w:rPr>
            <w:fldChar w:fldCharType="separate"/>
          </w:r>
          <w:r w:rsidRPr="00CF3DB4">
            <w:rPr>
              <w:rFonts w:eastAsia="Calibri"/>
              <w:noProof/>
              <w:kern w:val="2"/>
              <w:position w:val="0"/>
              <w14:ligatures w14:val="standardContextual"/>
            </w:rPr>
            <w:t>(Swaffield, 2011, pp. 433–449)</w:t>
          </w:r>
          <w:r w:rsidRPr="00CF3DB4">
            <w:rPr>
              <w:rFonts w:eastAsia="Calibri"/>
              <w:kern w:val="2"/>
              <w:position w:val="0"/>
              <w14:ligatures w14:val="standardContextual"/>
            </w:rPr>
            <w:fldChar w:fldCharType="end"/>
          </w:r>
        </w:sdtContent>
      </w:sdt>
      <w:r w:rsidRPr="00CF3DB4">
        <w:rPr>
          <w:rFonts w:eastAsia="Calibri"/>
          <w:kern w:val="2"/>
          <w:position w:val="0"/>
          <w14:ligatures w14:val="standardContextual"/>
        </w:rPr>
        <w:t xml:space="preserve">. This emphasizes how assessment </w:t>
      </w:r>
      <w:proofErr w:type="gramStart"/>
      <w:r w:rsidRPr="00CF3DB4">
        <w:rPr>
          <w:rFonts w:eastAsia="Calibri"/>
          <w:kern w:val="2"/>
          <w:position w:val="0"/>
          <w14:ligatures w14:val="standardContextual"/>
        </w:rPr>
        <w:t>might be perceived</w:t>
      </w:r>
      <w:proofErr w:type="gramEnd"/>
      <w:r w:rsidRPr="00CF3DB4">
        <w:rPr>
          <w:rFonts w:eastAsia="Calibri"/>
          <w:kern w:val="2"/>
          <w:position w:val="0"/>
          <w14:ligatures w14:val="standardContextual"/>
        </w:rPr>
        <w:t xml:space="preserve"> as holistic where teachers evaluate students on a regular basis in order to assist and assess learning. Thus, it is “intended to enrich the learning process by providing nonjudgmental feedback” </w:t>
      </w:r>
      <w:sdt>
        <w:sdtPr>
          <w:rPr>
            <w:rFonts w:eastAsia="Calibri"/>
            <w:kern w:val="2"/>
            <w:position w:val="0"/>
            <w14:ligatures w14:val="standardContextual"/>
          </w:rPr>
          <w:id w:val="472568545"/>
          <w:citation/>
        </w:sdtPr>
        <w:sdtEndPr/>
        <w:sdtContent>
          <w:r w:rsidRPr="00CF3DB4">
            <w:rPr>
              <w:rFonts w:eastAsia="Calibri"/>
              <w:kern w:val="2"/>
              <w:position w:val="0"/>
              <w14:ligatures w14:val="standardContextual"/>
            </w:rPr>
            <w:fldChar w:fldCharType="begin"/>
          </w:r>
          <w:r w:rsidRPr="00CF3DB4">
            <w:rPr>
              <w:rFonts w:eastAsia="Calibri"/>
              <w:kern w:val="2"/>
              <w:position w:val="0"/>
              <w14:ligatures w14:val="standardContextual"/>
            </w:rPr>
            <w:instrText xml:space="preserve">CITATION Jon17 \p 110-119 \l 1033 </w:instrText>
          </w:r>
          <w:r w:rsidRPr="00CF3DB4">
            <w:rPr>
              <w:rFonts w:eastAsia="Calibri"/>
              <w:kern w:val="2"/>
              <w:position w:val="0"/>
              <w14:ligatures w14:val="standardContextual"/>
            </w:rPr>
            <w:fldChar w:fldCharType="separate"/>
          </w:r>
          <w:r w:rsidRPr="00CF3DB4">
            <w:rPr>
              <w:rFonts w:eastAsia="Calibri"/>
              <w:noProof/>
              <w:kern w:val="2"/>
              <w:position w:val="0"/>
              <w14:ligatures w14:val="standardContextual"/>
            </w:rPr>
            <w:t>(Kibble, 2017, pp. 110-119)</w:t>
          </w:r>
          <w:r w:rsidRPr="00CF3DB4">
            <w:rPr>
              <w:rFonts w:eastAsia="Calibri"/>
              <w:kern w:val="2"/>
              <w:position w:val="0"/>
              <w14:ligatures w14:val="standardContextual"/>
            </w:rPr>
            <w:fldChar w:fldCharType="end"/>
          </w:r>
        </w:sdtContent>
      </w:sdt>
      <w:r w:rsidRPr="00CF3DB4">
        <w:rPr>
          <w:rFonts w:eastAsia="Calibri"/>
          <w:kern w:val="2"/>
          <w:position w:val="0"/>
          <w14:ligatures w14:val="standardContextual"/>
        </w:rPr>
        <w:t xml:space="preserve">. </w:t>
      </w:r>
      <w:r w:rsidR="006D3B84">
        <w:rPr>
          <w:rFonts w:eastAsia="Calibri"/>
          <w:kern w:val="2"/>
          <w:position w:val="0"/>
          <w14:ligatures w14:val="standardContextual"/>
        </w:rPr>
        <w:t>Moreo</w:t>
      </w:r>
      <w:r w:rsidR="006D3B84" w:rsidRPr="00CF3DB4">
        <w:rPr>
          <w:rFonts w:eastAsia="Calibri"/>
          <w:kern w:val="2"/>
          <w:position w:val="0"/>
          <w14:ligatures w14:val="standardContextual"/>
        </w:rPr>
        <w:t>ver</w:t>
      </w:r>
      <w:r w:rsidRPr="00CF3DB4">
        <w:rPr>
          <w:rFonts w:eastAsia="Calibri"/>
          <w:kern w:val="2"/>
          <w:position w:val="0"/>
          <w14:ligatures w14:val="standardContextual"/>
        </w:rPr>
        <w:t xml:space="preserve">, assessment for learning focuses on identifying gaps between current and desired performance and guiding instructional adjustments. As mentioned by Black &amp;William </w:t>
      </w:r>
      <w:bookmarkStart w:id="105" w:name="_Hlk192164254"/>
      <w:r w:rsidRPr="00CF3DB4">
        <w:rPr>
          <w:rFonts w:eastAsia="Calibri"/>
          <w:kern w:val="2"/>
          <w:position w:val="0"/>
          <w14:ligatures w14:val="standardContextual"/>
        </w:rPr>
        <w:t>(1998)</w:t>
      </w:r>
      <w:bookmarkEnd w:id="105"/>
      <w:r w:rsidRPr="00CF3DB4">
        <w:rPr>
          <w:rFonts w:eastAsia="Calibri"/>
          <w:kern w:val="2"/>
          <w:position w:val="0"/>
          <w14:ligatures w14:val="standardContextual"/>
        </w:rPr>
        <w:t xml:space="preserve">, Sadler </w:t>
      </w:r>
      <w:bookmarkStart w:id="106" w:name="_Hlk192164590"/>
      <w:r w:rsidRPr="00CF3DB4">
        <w:rPr>
          <w:rFonts w:eastAsia="Calibri"/>
          <w:kern w:val="2"/>
          <w:position w:val="0"/>
          <w14:ligatures w14:val="standardContextual"/>
        </w:rPr>
        <w:t xml:space="preserve">(1989) </w:t>
      </w:r>
      <w:bookmarkEnd w:id="106"/>
      <w:r w:rsidRPr="00CF3DB4">
        <w:rPr>
          <w:rFonts w:eastAsia="Calibri"/>
          <w:kern w:val="2"/>
          <w:position w:val="0"/>
          <w14:ligatures w14:val="standardContextual"/>
        </w:rPr>
        <w:t xml:space="preserve">and </w:t>
      </w:r>
      <w:proofErr w:type="spellStart"/>
      <w:r w:rsidRPr="00CF3DB4">
        <w:rPr>
          <w:rFonts w:eastAsia="Calibri"/>
          <w:kern w:val="2"/>
          <w:position w:val="0"/>
          <w14:ligatures w14:val="standardContextual"/>
        </w:rPr>
        <w:t>Popham</w:t>
      </w:r>
      <w:proofErr w:type="spellEnd"/>
      <w:r w:rsidRPr="00CF3DB4">
        <w:rPr>
          <w:rFonts w:eastAsia="Calibri"/>
          <w:kern w:val="2"/>
          <w:position w:val="0"/>
          <w14:ligatures w14:val="standardContextual"/>
        </w:rPr>
        <w:t xml:space="preserve"> (2008), they argue that formative assessment is set at first or during the learning process; it scaffolds learning, provides ongoing feedback during instruction and/or student performances and engages students in self-assessment.  </w:t>
      </w:r>
    </w:p>
    <w:p w14:paraId="6A16A3B7" w14:textId="40B860BB" w:rsidR="00CF3DB4" w:rsidRPr="00CF3DB4" w:rsidRDefault="00CF3DB4" w:rsidP="0061505F">
      <w:pPr>
        <w:spacing w:after="160" w:line="480" w:lineRule="auto"/>
        <w:ind w:firstLine="567"/>
        <w:jc w:val="both"/>
        <w:rPr>
          <w:rFonts w:eastAsia="Calibri"/>
          <w:kern w:val="2"/>
          <w:position w:val="0"/>
          <w14:ligatures w14:val="standardContextual"/>
        </w:rPr>
      </w:pPr>
      <w:r w:rsidRPr="00CF3DB4">
        <w:rPr>
          <w:rFonts w:eastAsia="Calibri"/>
          <w:kern w:val="2"/>
          <w:position w:val="0"/>
          <w14:ligatures w14:val="standardContextual"/>
        </w:rPr>
        <w:t xml:space="preserve">Therefore, data from summative assessments </w:t>
      </w:r>
      <w:proofErr w:type="gramStart"/>
      <w:r w:rsidRPr="00CF3DB4">
        <w:rPr>
          <w:rFonts w:eastAsia="Calibri"/>
          <w:kern w:val="2"/>
          <w:position w:val="0"/>
          <w14:ligatures w14:val="standardContextual"/>
        </w:rPr>
        <w:t>can be used</w:t>
      </w:r>
      <w:proofErr w:type="gramEnd"/>
      <w:r w:rsidRPr="00CF3DB4">
        <w:rPr>
          <w:rFonts w:eastAsia="Calibri"/>
          <w:kern w:val="2"/>
          <w:position w:val="0"/>
          <w14:ligatures w14:val="standardContextual"/>
        </w:rPr>
        <w:t xml:space="preserve"> for formative purposes.  Owing to this continuum of assessment of and for learning, it is evident that holistic responsive teaching practices necessitate reflective carefully constructed performance tasks that permit meaningful interpretation of findings, address gaps and refine the ongoing teaching learning cyclic process.</w:t>
      </w:r>
    </w:p>
    <w:p w14:paraId="0193966D" w14:textId="2324AB5E" w:rsidR="00CF3DB4" w:rsidRPr="007B0FC1" w:rsidRDefault="007B0FC1" w:rsidP="007B0FC1">
      <w:pPr>
        <w:spacing w:after="160" w:line="480" w:lineRule="auto"/>
        <w:ind w:hanging="2"/>
        <w:jc w:val="both"/>
        <w:rPr>
          <w:rFonts w:eastAsia="Calibri"/>
          <w:b/>
          <w:bCs/>
          <w:kern w:val="2"/>
          <w:position w:val="0"/>
          <w14:ligatures w14:val="standardContextual"/>
        </w:rPr>
      </w:pPr>
      <w:bookmarkStart w:id="107" w:name="_Toc200486039"/>
      <w:r>
        <w:rPr>
          <w:rFonts w:eastAsia="Calibri"/>
          <w:b/>
          <w:bCs/>
          <w:kern w:val="2"/>
          <w:position w:val="0"/>
          <w14:ligatures w14:val="standardContextual"/>
        </w:rPr>
        <w:t xml:space="preserve">1.1.1.2 </w:t>
      </w:r>
      <w:r w:rsidR="00CF3DB4" w:rsidRPr="007B0FC1">
        <w:rPr>
          <w:rFonts w:eastAsia="Calibri"/>
          <w:b/>
          <w:bCs/>
          <w:kern w:val="2"/>
          <w:position w:val="0"/>
          <w14:ligatures w14:val="standardContextual"/>
        </w:rPr>
        <w:t>Assessment of Learning (Summative Assessment)</w:t>
      </w:r>
      <w:bookmarkEnd w:id="107"/>
      <w:r w:rsidR="00E41235" w:rsidRPr="007B0FC1">
        <w:rPr>
          <w:rFonts w:eastAsia="Calibri"/>
          <w:b/>
          <w:bCs/>
          <w:kern w:val="2"/>
          <w:position w:val="0"/>
          <w14:ligatures w14:val="standardContextual"/>
        </w:rPr>
        <w:t xml:space="preserve"> </w:t>
      </w:r>
    </w:p>
    <w:p w14:paraId="17C82525" w14:textId="77777777" w:rsidR="00175F70" w:rsidRDefault="00CF3DB4" w:rsidP="00175F70">
      <w:pPr>
        <w:spacing w:after="160" w:line="480" w:lineRule="auto"/>
        <w:ind w:firstLine="567"/>
        <w:contextualSpacing/>
        <w:jc w:val="both"/>
        <w:rPr>
          <w:rFonts w:eastAsia="Calibri"/>
          <w:kern w:val="2"/>
          <w:position w:val="0"/>
          <w14:ligatures w14:val="standardContextual"/>
        </w:rPr>
      </w:pPr>
      <w:r w:rsidRPr="00CF3DB4">
        <w:rPr>
          <w:rFonts w:eastAsia="Calibri"/>
          <w:kern w:val="2"/>
          <w:position w:val="0"/>
          <w14:ligatures w14:val="standardContextual"/>
        </w:rPr>
        <w:t xml:space="preserve">In contrast to formative assessments, summative assessments, which are also known as high stakes, involve some kind of assignments or tasks usually applied at the end of a learning process such as the end of a unit of work over a week, a term or a year. Assessment of learning is a top-down approach that </w:t>
      </w:r>
      <w:proofErr w:type="gramStart"/>
      <w:r w:rsidRPr="00CF3DB4">
        <w:rPr>
          <w:rFonts w:eastAsia="Calibri"/>
          <w:kern w:val="2"/>
          <w:position w:val="0"/>
          <w14:ligatures w14:val="standardContextual"/>
        </w:rPr>
        <w:t>is utilized</w:t>
      </w:r>
      <w:proofErr w:type="gramEnd"/>
      <w:r w:rsidRPr="00CF3DB4">
        <w:rPr>
          <w:rFonts w:eastAsia="Calibri"/>
          <w:kern w:val="2"/>
          <w:position w:val="0"/>
          <w14:ligatures w14:val="standardContextual"/>
        </w:rPr>
        <w:t xml:space="preserve"> for grading and measuring the outcome of student learning with the purpose of reviewing, critically discussing and reflecting on what is being assessed </w:t>
      </w:r>
      <w:sdt>
        <w:sdtPr>
          <w:rPr>
            <w:rFonts w:eastAsia="Calibri"/>
            <w:kern w:val="2"/>
            <w:position w:val="0"/>
            <w14:ligatures w14:val="standardContextual"/>
          </w:rPr>
          <w:id w:val="1400167918"/>
          <w:citation/>
        </w:sdtPr>
        <w:sdtEndPr/>
        <w:sdtContent>
          <w:r w:rsidRPr="00CF3DB4">
            <w:rPr>
              <w:rFonts w:eastAsia="Calibri"/>
              <w:kern w:val="2"/>
              <w:position w:val="0"/>
              <w14:ligatures w14:val="standardContextual"/>
            </w:rPr>
            <w:fldChar w:fldCharType="begin"/>
          </w:r>
          <w:r w:rsidRPr="00CF3DB4">
            <w:rPr>
              <w:rFonts w:eastAsia="Calibri"/>
              <w:kern w:val="2"/>
              <w:position w:val="0"/>
              <w14:ligatures w14:val="standardContextual"/>
            </w:rPr>
            <w:instrText xml:space="preserve">CITATION Bla74 \t  \l 1033 </w:instrText>
          </w:r>
          <w:r w:rsidRPr="00CF3DB4">
            <w:rPr>
              <w:rFonts w:eastAsia="Calibri"/>
              <w:kern w:val="2"/>
              <w:position w:val="0"/>
              <w14:ligatures w14:val="standardContextual"/>
            </w:rPr>
            <w:fldChar w:fldCharType="separate"/>
          </w:r>
          <w:r w:rsidRPr="00CF3DB4">
            <w:rPr>
              <w:rFonts w:eastAsia="Calibri"/>
              <w:noProof/>
              <w:kern w:val="2"/>
              <w:position w:val="0"/>
              <w14:ligatures w14:val="standardContextual"/>
            </w:rPr>
            <w:t>(Black &amp; Wiliam, 1998)</w:t>
          </w:r>
          <w:r w:rsidRPr="00CF3DB4">
            <w:rPr>
              <w:rFonts w:eastAsia="Calibri"/>
              <w:kern w:val="2"/>
              <w:position w:val="0"/>
              <w14:ligatures w14:val="standardContextual"/>
            </w:rPr>
            <w:fldChar w:fldCharType="end"/>
          </w:r>
        </w:sdtContent>
      </w:sdt>
      <w:r w:rsidRPr="00CF3DB4">
        <w:rPr>
          <w:rFonts w:eastAsia="Calibri"/>
          <w:kern w:val="2"/>
          <w:position w:val="0"/>
          <w14:ligatures w14:val="standardContextual"/>
        </w:rPr>
        <w:t xml:space="preserve">. </w:t>
      </w:r>
      <w:proofErr w:type="gramStart"/>
      <w:r w:rsidRPr="00CF3DB4">
        <w:rPr>
          <w:rFonts w:eastAsia="Calibri"/>
          <w:kern w:val="2"/>
          <w:position w:val="0"/>
          <w14:ligatures w14:val="standardContextual"/>
        </w:rPr>
        <w:t>Also</w:t>
      </w:r>
      <w:proofErr w:type="gramEnd"/>
      <w:r w:rsidRPr="00CF3DB4">
        <w:rPr>
          <w:rFonts w:eastAsia="Calibri"/>
          <w:kern w:val="2"/>
          <w:position w:val="0"/>
          <w14:ligatures w14:val="standardContextual"/>
        </w:rPr>
        <w:t xml:space="preserve">, Higginson (2000) refers to summative assessment (SA) as assessment for grading. According to him, SA is an evaluation that ranks students, </w:t>
      </w:r>
      <w:r w:rsidRPr="00CF3DB4">
        <w:rPr>
          <w:rFonts w:eastAsia="Calibri"/>
          <w:kern w:val="2"/>
          <w:position w:val="0"/>
          <w14:ligatures w14:val="standardContextual"/>
        </w:rPr>
        <w:lastRenderedPageBreak/>
        <w:t>indicates what they have achieved and aids in judging their own progress.  Hence, summative assessment plays a major role in providing feedback and guiding the teaching learning process.</w:t>
      </w:r>
    </w:p>
    <w:p w14:paraId="23139295" w14:textId="77777777" w:rsidR="00FC7110" w:rsidRDefault="00CF3DB4" w:rsidP="00FC7110">
      <w:pPr>
        <w:spacing w:after="160" w:line="480" w:lineRule="auto"/>
        <w:ind w:firstLine="567"/>
        <w:contextualSpacing/>
        <w:jc w:val="both"/>
        <w:rPr>
          <w:rFonts w:eastAsia="Calibri"/>
          <w:kern w:val="2"/>
          <w:position w:val="0"/>
          <w14:ligatures w14:val="standardContextual"/>
        </w:rPr>
      </w:pPr>
      <w:r w:rsidRPr="00CF3DB4">
        <w:rPr>
          <w:rFonts w:eastAsia="Calibri"/>
          <w:kern w:val="2"/>
          <w:position w:val="0"/>
          <w14:ligatures w14:val="standardContextual"/>
        </w:rPr>
        <w:t xml:space="preserve"> What is more, when conducting an assessment, a teacher should take into account a number of methods to obtain information about students’ progress such as projects, portfolios, performances, observations, and tests. This can enhance teachers’ instructional practices through action research; teachers keep adjusting their teaching strategies in light of observing and analyzing students’ effort and test scores </w:t>
      </w:r>
      <w:sdt>
        <w:sdtPr>
          <w:rPr>
            <w:rFonts w:eastAsia="Calibri"/>
            <w:kern w:val="2"/>
            <w:position w:val="0"/>
            <w14:ligatures w14:val="standardContextual"/>
          </w:rPr>
          <w:id w:val="2103440984"/>
          <w:citation/>
        </w:sdtPr>
        <w:sdtEndPr/>
        <w:sdtContent>
          <w:r w:rsidRPr="00CF3DB4">
            <w:rPr>
              <w:rFonts w:eastAsia="Calibri"/>
              <w:kern w:val="2"/>
              <w:position w:val="0"/>
              <w14:ligatures w14:val="standardContextual"/>
            </w:rPr>
            <w:fldChar w:fldCharType="begin"/>
          </w:r>
          <w:r w:rsidRPr="00CF3DB4">
            <w:rPr>
              <w:rFonts w:eastAsia="Calibri"/>
              <w:kern w:val="2"/>
              <w:position w:val="0"/>
              <w14:ligatures w14:val="standardContextual"/>
            </w:rPr>
            <w:instrText xml:space="preserve">CITATION Sei19 \l 1033 </w:instrText>
          </w:r>
          <w:r w:rsidRPr="00CF3DB4">
            <w:rPr>
              <w:rFonts w:eastAsia="Calibri"/>
              <w:kern w:val="2"/>
              <w:position w:val="0"/>
              <w14:ligatures w14:val="standardContextual"/>
            </w:rPr>
            <w:fldChar w:fldCharType="separate"/>
          </w:r>
          <w:r w:rsidRPr="00CF3DB4">
            <w:rPr>
              <w:rFonts w:eastAsia="Calibri"/>
              <w:noProof/>
              <w:kern w:val="2"/>
              <w:position w:val="0"/>
              <w14:ligatures w14:val="standardContextual"/>
            </w:rPr>
            <w:t>(Seifert &amp; Sutton, 2019)</w:t>
          </w:r>
          <w:r w:rsidRPr="00CF3DB4">
            <w:rPr>
              <w:rFonts w:eastAsia="Calibri"/>
              <w:kern w:val="2"/>
              <w:position w:val="0"/>
              <w14:ligatures w14:val="standardContextual"/>
            </w:rPr>
            <w:fldChar w:fldCharType="end"/>
          </w:r>
        </w:sdtContent>
      </w:sdt>
      <w:r w:rsidRPr="00CF3DB4">
        <w:rPr>
          <w:rFonts w:eastAsia="Calibri"/>
          <w:kern w:val="2"/>
          <w:position w:val="0"/>
          <w14:ligatures w14:val="standardContextual"/>
        </w:rPr>
        <w:t xml:space="preserve">. Hence, high quality assessments ought to be valid and reliable. </w:t>
      </w:r>
    </w:p>
    <w:p w14:paraId="4B9E8CE6" w14:textId="77777777" w:rsidR="00EF3FFB" w:rsidRDefault="00CF3DB4" w:rsidP="00EF3FFB">
      <w:pPr>
        <w:spacing w:after="160" w:line="480" w:lineRule="auto"/>
        <w:ind w:firstLine="567"/>
        <w:contextualSpacing/>
        <w:jc w:val="both"/>
        <w:rPr>
          <w:rFonts w:eastAsia="Calibri"/>
          <w:kern w:val="2"/>
          <w:position w:val="0"/>
          <w14:ligatures w14:val="standardContextual"/>
        </w:rPr>
      </w:pPr>
      <w:r w:rsidRPr="00CF3DB4">
        <w:rPr>
          <w:rFonts w:eastAsia="Calibri"/>
          <w:kern w:val="2"/>
          <w:position w:val="0"/>
          <w14:ligatures w14:val="standardContextual"/>
        </w:rPr>
        <w:t xml:space="preserve">Validity refers to “adequacy and appropriateness of the interpretations and uses of assessment results” (Linn &amp; Miller, 2005, p. 68). In other words, it manifests how well the assessment aligns with the learning objectives. On the other hand, reliability is associated with “the consistency” and “the accuracy” of assessment </w:t>
      </w:r>
      <w:sdt>
        <w:sdtPr>
          <w:rPr>
            <w:rFonts w:eastAsia="Calibri"/>
            <w:kern w:val="2"/>
            <w:position w:val="0"/>
            <w14:ligatures w14:val="standardContextual"/>
          </w:rPr>
          <w:id w:val="1748311858"/>
          <w:citation/>
        </w:sdtPr>
        <w:sdtEndPr/>
        <w:sdtContent>
          <w:r w:rsidRPr="00CF3DB4">
            <w:rPr>
              <w:rFonts w:eastAsia="Calibri"/>
              <w:kern w:val="2"/>
              <w:position w:val="0"/>
              <w14:ligatures w14:val="standardContextual"/>
            </w:rPr>
            <w:fldChar w:fldCharType="begin"/>
          </w:r>
          <w:r w:rsidRPr="00CF3DB4">
            <w:rPr>
              <w:rFonts w:eastAsia="Calibri"/>
              <w:kern w:val="2"/>
              <w:position w:val="0"/>
              <w14:ligatures w14:val="standardContextual"/>
            </w:rPr>
            <w:instrText xml:space="preserve">CITATION Placeholder1 \t  \l 1033 </w:instrText>
          </w:r>
          <w:r w:rsidRPr="00CF3DB4">
            <w:rPr>
              <w:rFonts w:eastAsia="Calibri"/>
              <w:kern w:val="2"/>
              <w:position w:val="0"/>
              <w14:ligatures w14:val="standardContextual"/>
            </w:rPr>
            <w:fldChar w:fldCharType="separate"/>
          </w:r>
          <w:r w:rsidRPr="00CF3DB4">
            <w:rPr>
              <w:rFonts w:eastAsia="Calibri"/>
              <w:noProof/>
              <w:kern w:val="2"/>
              <w:position w:val="0"/>
              <w14:ligatures w14:val="standardContextual"/>
            </w:rPr>
            <w:t>(Engemann, J., &amp; Gallagher, T. , 2006)</w:t>
          </w:r>
          <w:r w:rsidRPr="00CF3DB4">
            <w:rPr>
              <w:rFonts w:eastAsia="Calibri"/>
              <w:kern w:val="2"/>
              <w:position w:val="0"/>
              <w14:ligatures w14:val="standardContextual"/>
            </w:rPr>
            <w:fldChar w:fldCharType="end"/>
          </w:r>
        </w:sdtContent>
      </w:sdt>
      <w:r w:rsidRPr="00CF3DB4">
        <w:rPr>
          <w:rFonts w:eastAsia="Calibri"/>
          <w:kern w:val="2"/>
          <w:position w:val="0"/>
          <w14:ligatures w14:val="standardContextual"/>
        </w:rPr>
        <w:t xml:space="preserve">. Results </w:t>
      </w:r>
      <w:proofErr w:type="gramStart"/>
      <w:r w:rsidRPr="00CF3DB4">
        <w:rPr>
          <w:rFonts w:eastAsia="Calibri"/>
          <w:kern w:val="2"/>
          <w:position w:val="0"/>
          <w14:ligatures w14:val="standardContextual"/>
        </w:rPr>
        <w:t>are said</w:t>
      </w:r>
      <w:proofErr w:type="gramEnd"/>
      <w:r w:rsidRPr="00CF3DB4">
        <w:rPr>
          <w:rFonts w:eastAsia="Calibri"/>
          <w:kern w:val="2"/>
          <w:position w:val="0"/>
          <w14:ligatures w14:val="standardContextual"/>
        </w:rPr>
        <w:t xml:space="preserve"> to be reliable if different graders achieve similar outcomes under consistent conditions. Consequently, this inter-rater reliability </w:t>
      </w:r>
      <w:proofErr w:type="gramStart"/>
      <w:r w:rsidRPr="00CF3DB4">
        <w:rPr>
          <w:rFonts w:eastAsia="Calibri"/>
          <w:kern w:val="2"/>
          <w:position w:val="0"/>
          <w14:ligatures w14:val="standardContextual"/>
        </w:rPr>
        <w:t>can be improved</w:t>
      </w:r>
      <w:proofErr w:type="gramEnd"/>
      <w:r w:rsidRPr="00CF3DB4">
        <w:rPr>
          <w:rFonts w:eastAsia="Calibri"/>
          <w:kern w:val="2"/>
          <w:position w:val="0"/>
          <w14:ligatures w14:val="standardContextual"/>
        </w:rPr>
        <w:t xml:space="preserve"> through collaborative efforts among teacher colleagues.</w:t>
      </w:r>
    </w:p>
    <w:p w14:paraId="729CAD71" w14:textId="39B0B863" w:rsidR="00CF3DB4" w:rsidRPr="00CF3DB4" w:rsidRDefault="00CF3DB4" w:rsidP="00EF3FFB">
      <w:pPr>
        <w:spacing w:after="160" w:line="480" w:lineRule="auto"/>
        <w:ind w:firstLine="567"/>
        <w:contextualSpacing/>
        <w:jc w:val="both"/>
        <w:rPr>
          <w:rFonts w:eastAsia="Calibri"/>
          <w:kern w:val="2"/>
          <w:position w:val="0"/>
          <w14:ligatures w14:val="standardContextual"/>
        </w:rPr>
      </w:pPr>
      <w:r w:rsidRPr="00CF3DB4">
        <w:rPr>
          <w:rFonts w:eastAsia="Calibri"/>
          <w:kern w:val="2"/>
          <w:position w:val="0"/>
          <w14:ligatures w14:val="standardContextual"/>
        </w:rPr>
        <w:t xml:space="preserve"> </w:t>
      </w:r>
      <w:proofErr w:type="gramStart"/>
      <w:r w:rsidRPr="00CF3DB4">
        <w:rPr>
          <w:rFonts w:eastAsia="Calibri"/>
          <w:kern w:val="2"/>
          <w:position w:val="0"/>
          <w14:ligatures w14:val="standardContextual"/>
        </w:rPr>
        <w:t>In a nutshell</w:t>
      </w:r>
      <w:proofErr w:type="gramEnd"/>
      <w:r w:rsidRPr="00CF3DB4">
        <w:rPr>
          <w:rFonts w:eastAsia="Calibri"/>
          <w:kern w:val="2"/>
          <w:position w:val="0"/>
          <w14:ligatures w14:val="standardContextual"/>
        </w:rPr>
        <w:t xml:space="preserve">, the process of measuring learners’ outcomes necessitates a variety of SA tools. </w:t>
      </w:r>
      <w:proofErr w:type="gramStart"/>
      <w:r w:rsidRPr="00CF3DB4">
        <w:rPr>
          <w:rFonts w:eastAsia="Calibri"/>
          <w:kern w:val="2"/>
          <w:position w:val="0"/>
          <w14:ligatures w14:val="standardContextual"/>
        </w:rPr>
        <w:t>This is to develop specific skills that are consistent with relevant learning objectives.</w:t>
      </w:r>
      <w:proofErr w:type="gramEnd"/>
    </w:p>
    <w:p w14:paraId="7FB6ADBA" w14:textId="0EA05113" w:rsidR="00CF3DB4" w:rsidRPr="00CF3DB4" w:rsidRDefault="00EF3FFB" w:rsidP="00AA5DBF">
      <w:pPr>
        <w:pStyle w:val="Titre1"/>
        <w:rPr>
          <w:rFonts w:eastAsia="Calibri"/>
        </w:rPr>
      </w:pPr>
      <w:bookmarkStart w:id="108" w:name="_Toc200486040"/>
      <w:r>
        <w:rPr>
          <w:rFonts w:eastAsia="Calibri"/>
        </w:rPr>
        <w:t xml:space="preserve">1.1.1.2.1 </w:t>
      </w:r>
      <w:r w:rsidR="00CF3DB4" w:rsidRPr="00CF3DB4">
        <w:rPr>
          <w:rFonts w:eastAsia="Calibri"/>
        </w:rPr>
        <w:t>Curriculum-Based Assessment</w:t>
      </w:r>
      <w:bookmarkEnd w:id="108"/>
    </w:p>
    <w:p w14:paraId="33930541" w14:textId="77777777" w:rsidR="00A164A5" w:rsidRDefault="00CF3DB4" w:rsidP="00A164A5">
      <w:pPr>
        <w:spacing w:after="160" w:line="480" w:lineRule="auto"/>
        <w:ind w:firstLine="567"/>
        <w:jc w:val="both"/>
        <w:rPr>
          <w:rFonts w:eastAsia="Calibri"/>
          <w:kern w:val="2"/>
          <w:position w:val="0"/>
          <w14:ligatures w14:val="standardContextual"/>
        </w:rPr>
      </w:pPr>
      <w:r w:rsidRPr="00CF3DB4">
        <w:rPr>
          <w:rFonts w:eastAsia="Calibri"/>
          <w:b/>
          <w:bCs/>
          <w:kern w:val="2"/>
          <w:position w:val="0"/>
          <w14:ligatures w14:val="standardContextual"/>
        </w:rPr>
        <w:t xml:space="preserve"> </w:t>
      </w:r>
      <w:r w:rsidRPr="00CF3DB4">
        <w:rPr>
          <w:rFonts w:eastAsia="Calibri"/>
          <w:kern w:val="2"/>
          <w:position w:val="0"/>
          <w14:ligatures w14:val="standardContextual"/>
        </w:rPr>
        <w:t>Curriculum</w:t>
      </w:r>
      <w:r w:rsidRPr="00CF3DB4">
        <w:rPr>
          <w:rFonts w:eastAsia="Calibri"/>
          <w:b/>
          <w:bCs/>
          <w:kern w:val="2"/>
          <w:position w:val="0"/>
          <w14:ligatures w14:val="standardContextual"/>
        </w:rPr>
        <w:t>-</w:t>
      </w:r>
      <w:r w:rsidRPr="00CF3DB4">
        <w:rPr>
          <w:rFonts w:eastAsia="Calibri"/>
          <w:kern w:val="2"/>
          <w:position w:val="0"/>
          <w14:ligatures w14:val="standardContextual"/>
        </w:rPr>
        <w:t>based assessment</w:t>
      </w:r>
      <w:r w:rsidRPr="00CF3DB4">
        <w:rPr>
          <w:rFonts w:eastAsia="Calibri"/>
          <w:b/>
          <w:bCs/>
          <w:kern w:val="2"/>
          <w:position w:val="0"/>
          <w14:ligatures w14:val="standardContextual"/>
        </w:rPr>
        <w:t xml:space="preserve"> </w:t>
      </w:r>
      <w:r w:rsidRPr="00CF3DB4">
        <w:rPr>
          <w:rFonts w:eastAsia="Calibri"/>
          <w:kern w:val="2"/>
          <w:position w:val="0"/>
          <w14:ligatures w14:val="standardContextual"/>
        </w:rPr>
        <w:t>can</w:t>
      </w:r>
      <w:r w:rsidRPr="00CF3DB4">
        <w:rPr>
          <w:rFonts w:eastAsia="Calibri"/>
          <w:b/>
          <w:bCs/>
          <w:kern w:val="2"/>
          <w:position w:val="0"/>
          <w14:ligatures w14:val="standardContextual"/>
        </w:rPr>
        <w:t xml:space="preserve"> </w:t>
      </w:r>
      <w:r w:rsidRPr="00CF3DB4">
        <w:rPr>
          <w:rFonts w:eastAsia="Calibri"/>
          <w:kern w:val="2"/>
          <w:position w:val="0"/>
          <w14:ligatures w14:val="standardContextual"/>
        </w:rPr>
        <w:t xml:space="preserve">be defined as the “direct observation and recording of a student’s performance in the local curriculum as a basis for gathering information to make instructional decisions” </w:t>
      </w:r>
      <w:sdt>
        <w:sdtPr>
          <w:rPr>
            <w:rFonts w:eastAsia="Calibri"/>
            <w:kern w:val="2"/>
            <w:position w:val="0"/>
            <w14:ligatures w14:val="standardContextual"/>
          </w:rPr>
          <w:id w:val="1595591727"/>
          <w:citation/>
        </w:sdtPr>
        <w:sdtEndPr/>
        <w:sdtContent>
          <w:r w:rsidRPr="00CF3DB4">
            <w:rPr>
              <w:rFonts w:eastAsia="Calibri"/>
              <w:kern w:val="2"/>
              <w:position w:val="0"/>
              <w14:ligatures w14:val="standardContextual"/>
            </w:rPr>
            <w:fldChar w:fldCharType="begin"/>
          </w:r>
          <w:r w:rsidRPr="00CF3DB4">
            <w:rPr>
              <w:rFonts w:eastAsia="Calibri"/>
              <w:kern w:val="2"/>
              <w:position w:val="0"/>
              <w14:ligatures w14:val="standardContextual"/>
            </w:rPr>
            <w:instrText xml:space="preserve">CITATION Sta85 \p 41 \l 1033 </w:instrText>
          </w:r>
          <w:r w:rsidRPr="00CF3DB4">
            <w:rPr>
              <w:rFonts w:eastAsia="Calibri"/>
              <w:kern w:val="2"/>
              <w:position w:val="0"/>
              <w14:ligatures w14:val="standardContextual"/>
            </w:rPr>
            <w:fldChar w:fldCharType="separate"/>
          </w:r>
          <w:r w:rsidRPr="00CF3DB4">
            <w:rPr>
              <w:rFonts w:eastAsia="Calibri"/>
              <w:noProof/>
              <w:kern w:val="2"/>
              <w:position w:val="0"/>
              <w14:ligatures w14:val="standardContextual"/>
            </w:rPr>
            <w:t>(Deno, 1985, p. 41)</w:t>
          </w:r>
          <w:r w:rsidRPr="00CF3DB4">
            <w:rPr>
              <w:rFonts w:eastAsia="Calibri"/>
              <w:kern w:val="2"/>
              <w:position w:val="0"/>
              <w14:ligatures w14:val="standardContextual"/>
            </w:rPr>
            <w:fldChar w:fldCharType="end"/>
          </w:r>
        </w:sdtContent>
      </w:sdt>
      <w:r w:rsidRPr="00CF3DB4">
        <w:rPr>
          <w:rFonts w:eastAsia="Calibri"/>
          <w:kern w:val="2"/>
          <w:position w:val="0"/>
          <w14:ligatures w14:val="standardContextual"/>
        </w:rPr>
        <w:t>.</w:t>
      </w:r>
      <w:r w:rsidRPr="00CF3DB4">
        <w:rPr>
          <w:rFonts w:eastAsia="Calibri"/>
          <w:b/>
          <w:bCs/>
          <w:kern w:val="2"/>
          <w:position w:val="0"/>
          <w14:ligatures w14:val="standardContextual"/>
        </w:rPr>
        <w:t xml:space="preserve"> </w:t>
      </w:r>
      <w:r w:rsidRPr="00CF3DB4">
        <w:rPr>
          <w:rFonts w:eastAsia="Calibri"/>
          <w:kern w:val="2"/>
          <w:position w:val="0"/>
          <w14:ligatures w14:val="standardContextual"/>
        </w:rPr>
        <w:t xml:space="preserve">Although curriculum-based assessment </w:t>
      </w:r>
      <w:proofErr w:type="gramStart"/>
      <w:r w:rsidRPr="00CF3DB4">
        <w:rPr>
          <w:rFonts w:eastAsia="Calibri"/>
          <w:kern w:val="2"/>
          <w:position w:val="0"/>
          <w14:ligatures w14:val="standardContextual"/>
        </w:rPr>
        <w:t>is primarily utilized</w:t>
      </w:r>
      <w:proofErr w:type="gramEnd"/>
      <w:r w:rsidRPr="00CF3DB4">
        <w:rPr>
          <w:rFonts w:eastAsia="Calibri"/>
          <w:kern w:val="2"/>
          <w:position w:val="0"/>
          <w14:ligatures w14:val="standardContextual"/>
        </w:rPr>
        <w:t xml:space="preserve"> for formative purposes</w:t>
      </w:r>
      <w:sdt>
        <w:sdtPr>
          <w:rPr>
            <w:rFonts w:eastAsia="Calibri"/>
            <w:kern w:val="2"/>
            <w:position w:val="0"/>
            <w14:ligatures w14:val="standardContextual"/>
          </w:rPr>
          <w:id w:val="1999918184"/>
          <w:citation/>
        </w:sdtPr>
        <w:sdtEndPr/>
        <w:sdtContent>
          <w:r w:rsidRPr="00CF3DB4">
            <w:rPr>
              <w:rFonts w:eastAsia="Calibri"/>
              <w:kern w:val="2"/>
              <w:position w:val="0"/>
              <w14:ligatures w14:val="standardContextual"/>
            </w:rPr>
            <w:fldChar w:fldCharType="begin"/>
          </w:r>
          <w:r w:rsidRPr="00CF3DB4">
            <w:rPr>
              <w:rFonts w:eastAsia="Calibri"/>
              <w:kern w:val="2"/>
              <w:position w:val="0"/>
              <w14:ligatures w14:val="standardContextual"/>
            </w:rPr>
            <w:instrText xml:space="preserve">CITATION Pau98 \l 1033 </w:instrText>
          </w:r>
          <w:r w:rsidRPr="00CF3DB4">
            <w:rPr>
              <w:rFonts w:eastAsia="Calibri"/>
              <w:kern w:val="2"/>
              <w:position w:val="0"/>
              <w14:ligatures w14:val="standardContextual"/>
            </w:rPr>
            <w:fldChar w:fldCharType="separate"/>
          </w:r>
          <w:r w:rsidRPr="00CF3DB4">
            <w:rPr>
              <w:rFonts w:eastAsia="Calibri"/>
              <w:noProof/>
              <w:kern w:val="2"/>
              <w:position w:val="0"/>
              <w14:ligatures w14:val="standardContextual"/>
            </w:rPr>
            <w:t xml:space="preserve"> (Black &amp; Wiliam, 1998)</w:t>
          </w:r>
          <w:r w:rsidRPr="00CF3DB4">
            <w:rPr>
              <w:rFonts w:eastAsia="Calibri"/>
              <w:kern w:val="2"/>
              <w:position w:val="0"/>
              <w14:ligatures w14:val="standardContextual"/>
            </w:rPr>
            <w:fldChar w:fldCharType="end"/>
          </w:r>
        </w:sdtContent>
      </w:sdt>
      <w:r w:rsidRPr="00CF3DB4">
        <w:rPr>
          <w:rFonts w:eastAsia="Calibri"/>
          <w:kern w:val="2"/>
          <w:position w:val="0"/>
          <w14:ligatures w14:val="standardContextual"/>
        </w:rPr>
        <w:t xml:space="preserve">, it can judge learners’ performance at the end of instructional practices employing what is referred to as curriculum-based measurement (CBM). </w:t>
      </w:r>
    </w:p>
    <w:p w14:paraId="3E53378F" w14:textId="7FCE03C8" w:rsidR="00CF3DB4" w:rsidRPr="00CF3DB4" w:rsidRDefault="00CF3DB4" w:rsidP="00A164A5">
      <w:pPr>
        <w:spacing w:after="160" w:line="480" w:lineRule="auto"/>
        <w:ind w:firstLine="567"/>
        <w:jc w:val="both"/>
        <w:rPr>
          <w:rFonts w:eastAsia="Calibri"/>
          <w:kern w:val="2"/>
          <w:position w:val="0"/>
          <w14:ligatures w14:val="standardContextual"/>
        </w:rPr>
      </w:pPr>
      <w:r w:rsidRPr="00CF3DB4">
        <w:rPr>
          <w:rFonts w:eastAsia="Calibri"/>
          <w:kern w:val="2"/>
          <w:position w:val="0"/>
          <w14:ligatures w14:val="standardContextual"/>
        </w:rPr>
        <w:lastRenderedPageBreak/>
        <w:t xml:space="preserve"> </w:t>
      </w:r>
      <w:proofErr w:type="spellStart"/>
      <w:r w:rsidRPr="00CF3DB4">
        <w:rPr>
          <w:rFonts w:eastAsia="Calibri"/>
          <w:kern w:val="2"/>
          <w:position w:val="0"/>
          <w14:ligatures w14:val="standardContextual"/>
        </w:rPr>
        <w:t>Deno</w:t>
      </w:r>
      <w:proofErr w:type="spellEnd"/>
      <w:r w:rsidRPr="00CF3DB4">
        <w:rPr>
          <w:rFonts w:eastAsia="Calibri"/>
          <w:kern w:val="2"/>
          <w:position w:val="0"/>
          <w14:ligatures w14:val="standardContextual"/>
        </w:rPr>
        <w:t xml:space="preserve"> (1985) also asserts that CBM entails </w:t>
      </w:r>
      <w:r w:rsidR="006276A9">
        <w:rPr>
          <w:rFonts w:eastAsia="Calibri"/>
          <w:kern w:val="2"/>
          <w:position w:val="0"/>
          <w14:ligatures w14:val="standardContextual"/>
        </w:rPr>
        <w:t>obtain</w:t>
      </w:r>
      <w:r w:rsidRPr="00CF3DB4">
        <w:rPr>
          <w:rFonts w:eastAsia="Calibri"/>
          <w:kern w:val="2"/>
          <w:position w:val="0"/>
          <w14:ligatures w14:val="standardContextual"/>
        </w:rPr>
        <w:t xml:space="preserve">ing valid and reliable students' academic performance measures through utilizing some </w:t>
      </w:r>
      <w:proofErr w:type="spellStart"/>
      <w:r w:rsidRPr="00CF3DB4">
        <w:rPr>
          <w:rFonts w:eastAsia="Calibri"/>
          <w:kern w:val="2"/>
          <w:position w:val="0"/>
          <w14:ligatures w14:val="standardContextual"/>
        </w:rPr>
        <w:t>standardised</w:t>
      </w:r>
      <w:proofErr w:type="spellEnd"/>
      <w:r w:rsidRPr="00CF3DB4">
        <w:rPr>
          <w:rFonts w:eastAsia="Calibri"/>
          <w:kern w:val="2"/>
          <w:position w:val="0"/>
          <w14:ligatures w14:val="standardContextual"/>
        </w:rPr>
        <w:t xml:space="preserve"> procedures. Curriculum, which serves as a natural context for assessment, </w:t>
      </w:r>
      <w:proofErr w:type="gramStart"/>
      <w:r w:rsidRPr="00CF3DB4">
        <w:rPr>
          <w:rFonts w:eastAsia="Calibri"/>
          <w:kern w:val="2"/>
          <w:position w:val="0"/>
          <w14:ligatures w14:val="standardContextual"/>
        </w:rPr>
        <w:t>is significantly reflected</w:t>
      </w:r>
      <w:proofErr w:type="gramEnd"/>
      <w:r w:rsidRPr="00CF3DB4">
        <w:rPr>
          <w:rFonts w:eastAsia="Calibri"/>
          <w:kern w:val="2"/>
          <w:position w:val="0"/>
          <w14:ligatures w14:val="standardContextual"/>
        </w:rPr>
        <w:t xml:space="preserve"> in what is being tested. Thus, teachers can measure learners’ specific </w:t>
      </w:r>
      <w:r w:rsidRPr="00CF3DB4">
        <w:rPr>
          <w:rFonts w:eastAsia="Calibri"/>
          <w:i/>
          <w:iCs/>
          <w:kern w:val="2"/>
          <w:position w:val="0"/>
          <w14:ligatures w14:val="standardContextual"/>
        </w:rPr>
        <w:t xml:space="preserve">subskill mastery </w:t>
      </w:r>
      <w:r w:rsidRPr="00CF3DB4">
        <w:rPr>
          <w:rFonts w:eastAsia="Calibri"/>
          <w:kern w:val="2"/>
          <w:position w:val="0"/>
          <w14:ligatures w14:val="standardContextual"/>
        </w:rPr>
        <w:t>aiming to achieve</w:t>
      </w:r>
      <w:r w:rsidRPr="00CF3DB4">
        <w:rPr>
          <w:rFonts w:ascii="Calibri" w:eastAsia="Calibri" w:hAnsi="Calibri" w:cs="Arial"/>
          <w:kern w:val="2"/>
          <w:position w:val="0"/>
          <w:sz w:val="22"/>
          <w:szCs w:val="22"/>
          <w14:ligatures w14:val="standardContextual"/>
        </w:rPr>
        <w:t xml:space="preserve"> </w:t>
      </w:r>
      <w:r w:rsidRPr="00CF3DB4">
        <w:rPr>
          <w:rFonts w:eastAsia="Calibri"/>
          <w:kern w:val="2"/>
          <w:position w:val="0"/>
          <w14:ligatures w14:val="standardContextual"/>
        </w:rPr>
        <w:t xml:space="preserve">short-term instructional objectives or assess their overall language level of proficiency across the course content relying on </w:t>
      </w:r>
      <w:r w:rsidRPr="00CF3DB4">
        <w:rPr>
          <w:rFonts w:eastAsia="Calibri"/>
          <w:i/>
          <w:iCs/>
          <w:kern w:val="2"/>
          <w:position w:val="0"/>
          <w14:ligatures w14:val="standardContextual"/>
        </w:rPr>
        <w:t>general outcome measurement</w:t>
      </w:r>
      <w:r w:rsidRPr="00CF3DB4">
        <w:rPr>
          <w:rFonts w:eastAsia="Calibri"/>
          <w:kern w:val="2"/>
          <w:position w:val="0"/>
          <w14:ligatures w14:val="standardContextual"/>
        </w:rPr>
        <w:t xml:space="preserve">. These criterion-referenced and norm-referenced items both adopt </w:t>
      </w:r>
      <w:proofErr w:type="spellStart"/>
      <w:r w:rsidRPr="00CF3DB4">
        <w:rPr>
          <w:rFonts w:eastAsia="Calibri"/>
          <w:kern w:val="2"/>
          <w:position w:val="0"/>
          <w14:ligatures w14:val="standardContextual"/>
        </w:rPr>
        <w:t>standardised</w:t>
      </w:r>
      <w:proofErr w:type="spellEnd"/>
      <w:r w:rsidRPr="00CF3DB4">
        <w:rPr>
          <w:rFonts w:eastAsia="Calibri"/>
          <w:kern w:val="2"/>
          <w:position w:val="0"/>
          <w14:ligatures w14:val="standardContextual"/>
        </w:rPr>
        <w:t xml:space="preserve"> tests to quantify student performance and address their needs.</w:t>
      </w:r>
    </w:p>
    <w:p w14:paraId="19874EDB" w14:textId="0AD550B9" w:rsidR="00CF3DB4" w:rsidRPr="00CF3DB4" w:rsidRDefault="008F7147" w:rsidP="00AA5DBF">
      <w:pPr>
        <w:pStyle w:val="Titre1"/>
        <w:rPr>
          <w:rFonts w:eastAsia="Calibri"/>
        </w:rPr>
      </w:pPr>
      <w:bookmarkStart w:id="109" w:name="_Toc200486041"/>
      <w:r>
        <w:rPr>
          <w:rFonts w:eastAsia="Calibri"/>
        </w:rPr>
        <w:t xml:space="preserve">1.1.1.2.2 </w:t>
      </w:r>
      <w:r w:rsidR="00CF3DB4" w:rsidRPr="00CF3DB4">
        <w:rPr>
          <w:rFonts w:eastAsia="Calibri"/>
        </w:rPr>
        <w:t>Structured Summative Assessment (SSA): Standardized Tests</w:t>
      </w:r>
      <w:bookmarkEnd w:id="109"/>
    </w:p>
    <w:p w14:paraId="52C11901" w14:textId="417A55CA" w:rsidR="0030130D" w:rsidRDefault="00CF3DB4" w:rsidP="0030130D">
      <w:pPr>
        <w:spacing w:after="160" w:line="480" w:lineRule="auto"/>
        <w:ind w:firstLine="567"/>
        <w:jc w:val="both"/>
        <w:rPr>
          <w:rFonts w:eastAsia="Calibri"/>
          <w:kern w:val="2"/>
          <w:position w:val="0"/>
          <w14:ligatures w14:val="standardContextual"/>
        </w:rPr>
      </w:pPr>
      <w:r w:rsidRPr="00CF3DB4">
        <w:rPr>
          <w:rFonts w:eastAsia="Calibri"/>
          <w:kern w:val="2"/>
          <w:position w:val="0"/>
          <w14:ligatures w14:val="standardContextual"/>
        </w:rPr>
        <w:t xml:space="preserve"> A standardized test </w:t>
      </w:r>
      <w:proofErr w:type="gramStart"/>
      <w:r w:rsidRPr="00CF3DB4">
        <w:rPr>
          <w:rFonts w:eastAsia="Calibri"/>
          <w:kern w:val="2"/>
          <w:position w:val="0"/>
          <w14:ligatures w14:val="standardContextual"/>
        </w:rPr>
        <w:t>is claimed</w:t>
      </w:r>
      <w:proofErr w:type="gramEnd"/>
      <w:r w:rsidRPr="00CF3DB4">
        <w:rPr>
          <w:rFonts w:eastAsia="Calibri"/>
          <w:kern w:val="2"/>
          <w:position w:val="0"/>
          <w14:ligatures w14:val="standardContextual"/>
        </w:rPr>
        <w:t xml:space="preserve"> to be a variant of </w:t>
      </w:r>
      <w:r w:rsidRPr="00CF3DB4">
        <w:rPr>
          <w:rFonts w:eastAsia="Calibri"/>
          <w:i/>
          <w:iCs/>
          <w:kern w:val="2"/>
          <w:position w:val="0"/>
          <w14:ligatures w14:val="standardContextual"/>
        </w:rPr>
        <w:t>structured summative assessment</w:t>
      </w:r>
      <w:r w:rsidRPr="00CF3DB4">
        <w:rPr>
          <w:rFonts w:eastAsia="Calibri"/>
          <w:kern w:val="2"/>
          <w:position w:val="0"/>
          <w14:ligatures w14:val="standardContextual"/>
        </w:rPr>
        <w:t>. “A standardized test is any examination that is administered and scored in a predetermined, standard manner”</w:t>
      </w:r>
      <w:sdt>
        <w:sdtPr>
          <w:rPr>
            <w:rFonts w:eastAsia="Calibri"/>
            <w:kern w:val="2"/>
            <w:position w:val="0"/>
            <w14:ligatures w14:val="standardContextual"/>
          </w:rPr>
          <w:id w:val="1998994935"/>
          <w:citation/>
        </w:sdtPr>
        <w:sdtEndPr/>
        <w:sdtContent>
          <w:r w:rsidRPr="00CF3DB4">
            <w:rPr>
              <w:rFonts w:eastAsia="Calibri"/>
              <w:kern w:val="2"/>
              <w:position w:val="0"/>
              <w14:ligatures w14:val="standardContextual"/>
            </w:rPr>
            <w:fldChar w:fldCharType="begin"/>
          </w:r>
          <w:r w:rsidR="00106786">
            <w:rPr>
              <w:rFonts w:eastAsia="Calibri"/>
              <w:kern w:val="2"/>
              <w:position w:val="0"/>
              <w14:ligatures w14:val="standardContextual"/>
            </w:rPr>
            <w:instrText xml:space="preserve">CITATION Pop99 \p 9 \t  \l 1033 </w:instrText>
          </w:r>
          <w:r w:rsidRPr="00CF3DB4">
            <w:rPr>
              <w:rFonts w:eastAsia="Calibri"/>
              <w:kern w:val="2"/>
              <w:position w:val="0"/>
              <w14:ligatures w14:val="standardContextual"/>
            </w:rPr>
            <w:fldChar w:fldCharType="separate"/>
          </w:r>
          <w:r w:rsidR="00106786">
            <w:rPr>
              <w:rFonts w:eastAsia="Calibri"/>
              <w:noProof/>
              <w:kern w:val="2"/>
              <w:position w:val="0"/>
              <w14:ligatures w14:val="standardContextual"/>
            </w:rPr>
            <w:t xml:space="preserve"> </w:t>
          </w:r>
          <w:r w:rsidR="00106786" w:rsidRPr="00106786">
            <w:rPr>
              <w:rFonts w:eastAsia="Calibri"/>
              <w:noProof/>
              <w:kern w:val="2"/>
              <w:position w:val="0"/>
              <w14:ligatures w14:val="standardContextual"/>
            </w:rPr>
            <w:t>(Popham, 1999, p. 9)</w:t>
          </w:r>
          <w:r w:rsidRPr="00CF3DB4">
            <w:rPr>
              <w:rFonts w:eastAsia="Calibri"/>
              <w:kern w:val="2"/>
              <w:position w:val="0"/>
              <w14:ligatures w14:val="standardContextual"/>
            </w:rPr>
            <w:fldChar w:fldCharType="end"/>
          </w:r>
        </w:sdtContent>
      </w:sdt>
      <w:r w:rsidRPr="00CF3DB4">
        <w:rPr>
          <w:rFonts w:eastAsia="Calibri"/>
          <w:kern w:val="2"/>
          <w:position w:val="0"/>
          <w14:ligatures w14:val="standardContextual"/>
        </w:rPr>
        <w:t xml:space="preserve">.  In this vein, standardized tests </w:t>
      </w:r>
      <w:proofErr w:type="gramStart"/>
      <w:r w:rsidRPr="00CF3DB4">
        <w:rPr>
          <w:rFonts w:eastAsia="Calibri"/>
          <w:kern w:val="2"/>
          <w:position w:val="0"/>
          <w14:ligatures w14:val="standardContextual"/>
        </w:rPr>
        <w:t>are designed</w:t>
      </w:r>
      <w:proofErr w:type="gramEnd"/>
      <w:r w:rsidRPr="00CF3DB4">
        <w:rPr>
          <w:rFonts w:eastAsia="Calibri"/>
          <w:kern w:val="2"/>
          <w:position w:val="0"/>
          <w14:ligatures w14:val="standardContextual"/>
        </w:rPr>
        <w:t xml:space="preserve"> to measure learners’ developed skills and knowledge in a specific subject area (</w:t>
      </w:r>
      <w:proofErr w:type="spellStart"/>
      <w:r w:rsidRPr="00CF3DB4">
        <w:rPr>
          <w:rFonts w:eastAsia="Calibri"/>
          <w:kern w:val="2"/>
          <w:position w:val="0"/>
          <w14:ligatures w14:val="standardContextual"/>
        </w:rPr>
        <w:t>Kuncel</w:t>
      </w:r>
      <w:proofErr w:type="spellEnd"/>
      <w:r w:rsidRPr="00CF3DB4">
        <w:rPr>
          <w:rFonts w:eastAsia="Calibri"/>
          <w:kern w:val="2"/>
          <w:position w:val="0"/>
          <w14:ligatures w14:val="standardContextual"/>
        </w:rPr>
        <w:t xml:space="preserve"> &amp; </w:t>
      </w:r>
      <w:proofErr w:type="spellStart"/>
      <w:r w:rsidRPr="00CF3DB4">
        <w:rPr>
          <w:rFonts w:eastAsia="Calibri"/>
          <w:kern w:val="2"/>
          <w:position w:val="0"/>
          <w14:ligatures w14:val="standardContextual"/>
        </w:rPr>
        <w:t>Hezlett</w:t>
      </w:r>
      <w:proofErr w:type="spellEnd"/>
      <w:r w:rsidRPr="00CF3DB4">
        <w:rPr>
          <w:rFonts w:eastAsia="Calibri"/>
          <w:kern w:val="2"/>
          <w:position w:val="0"/>
          <w14:ligatures w14:val="standardContextual"/>
        </w:rPr>
        <w:t>, 2007). Moreover, Shepard</w:t>
      </w:r>
      <w:r w:rsidRPr="00CF3DB4">
        <w:rPr>
          <w:rFonts w:eastAsia="Calibri"/>
          <w:noProof/>
          <w:kern w:val="2"/>
          <w:position w:val="0"/>
          <w14:ligatures w14:val="standardContextual"/>
        </w:rPr>
        <w:t xml:space="preserve"> (2000)</w:t>
      </w:r>
      <w:r w:rsidRPr="00CF3DB4">
        <w:rPr>
          <w:rFonts w:eastAsia="Calibri"/>
          <w:kern w:val="2"/>
          <w:position w:val="0"/>
          <w14:ligatures w14:val="standardContextual"/>
        </w:rPr>
        <w:t xml:space="preserve"> argues that this kind of evaluation also focuses on integrating teaching and learning with an aim to develop students' competence and improve their academic performance. It is evident that they are subsequent indicators of learners’ success or failure.</w:t>
      </w:r>
    </w:p>
    <w:p w14:paraId="5E55B7DF" w14:textId="47F66658" w:rsidR="00CF3DB4" w:rsidRPr="00CF3DB4" w:rsidRDefault="00CF3DB4" w:rsidP="0030130D">
      <w:pPr>
        <w:spacing w:after="160" w:line="480" w:lineRule="auto"/>
        <w:ind w:firstLine="567"/>
        <w:jc w:val="both"/>
        <w:rPr>
          <w:rFonts w:eastAsia="Calibri"/>
          <w:kern w:val="2"/>
          <w:position w:val="0"/>
          <w14:ligatures w14:val="standardContextual"/>
        </w:rPr>
      </w:pPr>
      <w:r w:rsidRPr="00CF3DB4">
        <w:rPr>
          <w:rFonts w:eastAsia="Calibri"/>
          <w:kern w:val="2"/>
          <w:position w:val="0"/>
          <w14:ligatures w14:val="standardContextual"/>
        </w:rPr>
        <w:t xml:space="preserve">Consequently, standardized tests’ efficacy depends on how they </w:t>
      </w:r>
      <w:proofErr w:type="gramStart"/>
      <w:r w:rsidRPr="00CF3DB4">
        <w:rPr>
          <w:rFonts w:eastAsia="Calibri"/>
          <w:kern w:val="2"/>
          <w:position w:val="0"/>
          <w14:ligatures w14:val="standardContextual"/>
        </w:rPr>
        <w:t>are designed</w:t>
      </w:r>
      <w:proofErr w:type="gramEnd"/>
      <w:r w:rsidRPr="00CF3DB4">
        <w:rPr>
          <w:rFonts w:eastAsia="Calibri"/>
          <w:kern w:val="2"/>
          <w:position w:val="0"/>
          <w14:ligatures w14:val="standardContextual"/>
        </w:rPr>
        <w:t xml:space="preserve"> and to what extent they are congruent with educational goals and pedagogical purposes. As the key element of a successful assessment is choosing and implementing appropriate techniques, these structured summative tools necessitate much consideration. Overall, ongoing research and teacher professional development are essential not only to improve scoring practices, but also to inform alternative assessment methods.  </w:t>
      </w:r>
    </w:p>
    <w:p w14:paraId="197BCA58" w14:textId="2F3E292A" w:rsidR="00CF3DB4" w:rsidRPr="00CF3DB4" w:rsidRDefault="00C5606B" w:rsidP="00AA5DBF">
      <w:pPr>
        <w:pStyle w:val="Titre1"/>
        <w:rPr>
          <w:rFonts w:eastAsia="Calibri"/>
        </w:rPr>
      </w:pPr>
      <w:bookmarkStart w:id="110" w:name="_Toc200486042"/>
      <w:r>
        <w:rPr>
          <w:rFonts w:eastAsia="Calibri"/>
        </w:rPr>
        <w:lastRenderedPageBreak/>
        <w:t xml:space="preserve">1.1.1.2.3 </w:t>
      </w:r>
      <w:r w:rsidR="00CF3DB4" w:rsidRPr="00CF3DB4">
        <w:rPr>
          <w:rFonts w:eastAsia="Calibri"/>
        </w:rPr>
        <w:t>Portfolio Assessment</w:t>
      </w:r>
      <w:bookmarkEnd w:id="110"/>
    </w:p>
    <w:p w14:paraId="3D35C7C3" w14:textId="77777777" w:rsidR="005F0A46" w:rsidRDefault="00CF3DB4" w:rsidP="00C5606B">
      <w:pPr>
        <w:spacing w:after="160" w:line="480" w:lineRule="auto"/>
        <w:ind w:firstLine="567"/>
        <w:jc w:val="both"/>
        <w:rPr>
          <w:rFonts w:eastAsia="Calibri"/>
          <w:kern w:val="2"/>
          <w:position w:val="0"/>
          <w14:ligatures w14:val="standardContextual"/>
        </w:rPr>
      </w:pPr>
      <w:r w:rsidRPr="00CF3DB4">
        <w:rPr>
          <w:rFonts w:eastAsia="Calibri"/>
          <w:kern w:val="2"/>
          <w:position w:val="0"/>
          <w14:ligatures w14:val="standardContextual"/>
        </w:rPr>
        <w:t xml:space="preserve">Portfolio assessment is one of the </w:t>
      </w:r>
      <w:r w:rsidRPr="00CF3DB4">
        <w:rPr>
          <w:rFonts w:eastAsia="Calibri"/>
          <w:i/>
          <w:iCs/>
          <w:kern w:val="2"/>
          <w:position w:val="0"/>
          <w14:ligatures w14:val="standardContextual"/>
        </w:rPr>
        <w:t>alternative unstructured assessment practices</w:t>
      </w:r>
      <w:r w:rsidRPr="00CF3DB4">
        <w:rPr>
          <w:rFonts w:eastAsia="Calibri"/>
          <w:kern w:val="2"/>
          <w:position w:val="0"/>
          <w14:ligatures w14:val="standardContextual"/>
        </w:rPr>
        <w:t xml:space="preserve"> that prioritize learner-centered environments. This holistic approach focuses on evaluating varied learners’ process and performance of academic achievement unlike tests, which are score-based “one-shot formalized instruments”</w:t>
      </w:r>
      <w:sdt>
        <w:sdtPr>
          <w:rPr>
            <w:rFonts w:eastAsia="Calibri"/>
            <w:kern w:val="2"/>
            <w:position w:val="0"/>
            <w14:ligatures w14:val="standardContextual"/>
          </w:rPr>
          <w:id w:val="2059970996"/>
          <w:citation/>
        </w:sdtPr>
        <w:sdtEndPr/>
        <w:sdtContent>
          <w:r w:rsidRPr="00CF3DB4">
            <w:rPr>
              <w:rFonts w:eastAsia="Calibri"/>
              <w:kern w:val="2"/>
              <w:position w:val="0"/>
              <w14:ligatures w14:val="standardContextual"/>
            </w:rPr>
            <w:fldChar w:fldCharType="begin"/>
          </w:r>
          <w:r w:rsidRPr="00CF3DB4">
            <w:rPr>
              <w:rFonts w:eastAsia="Calibri"/>
              <w:kern w:val="2"/>
              <w:position w:val="0"/>
              <w14:ligatures w14:val="standardContextual"/>
            </w:rPr>
            <w:instrText xml:space="preserve">CITATION Col00 \p 2 \l 1033 </w:instrText>
          </w:r>
          <w:r w:rsidRPr="00CF3DB4">
            <w:rPr>
              <w:rFonts w:eastAsia="Calibri"/>
              <w:kern w:val="2"/>
              <w:position w:val="0"/>
              <w14:ligatures w14:val="standardContextual"/>
            </w:rPr>
            <w:fldChar w:fldCharType="separate"/>
          </w:r>
          <w:r w:rsidRPr="00CF3DB4">
            <w:rPr>
              <w:rFonts w:eastAsia="Calibri"/>
              <w:noProof/>
              <w:kern w:val="2"/>
              <w:position w:val="0"/>
              <w14:ligatures w14:val="standardContextual"/>
            </w:rPr>
            <w:t xml:space="preserve"> (Cole, 2000, p. 2)</w:t>
          </w:r>
          <w:r w:rsidRPr="00CF3DB4">
            <w:rPr>
              <w:rFonts w:eastAsia="Calibri"/>
              <w:kern w:val="2"/>
              <w:position w:val="0"/>
              <w14:ligatures w14:val="standardContextual"/>
            </w:rPr>
            <w:fldChar w:fldCharType="end"/>
          </w:r>
        </w:sdtContent>
      </w:sdt>
      <w:r w:rsidRPr="00CF3DB4">
        <w:rPr>
          <w:rFonts w:eastAsia="Calibri"/>
          <w:kern w:val="2"/>
          <w:position w:val="0"/>
          <w14:ligatures w14:val="standardContextual"/>
        </w:rPr>
        <w:t xml:space="preserve"> . Several researchers defined a portfolio as the deliberate process of purposefully gathering evidence samples about students’ performance that reflect and measure progress</w:t>
      </w:r>
      <w:sdt>
        <w:sdtPr>
          <w:rPr>
            <w:rFonts w:eastAsia="Calibri"/>
            <w:kern w:val="2"/>
            <w:position w:val="0"/>
            <w14:ligatures w14:val="standardContextual"/>
          </w:rPr>
          <w:id w:val="-1213735252"/>
          <w:citation/>
        </w:sdtPr>
        <w:sdtEndPr/>
        <w:sdtContent>
          <w:r w:rsidRPr="00CF3DB4">
            <w:rPr>
              <w:rFonts w:eastAsia="Calibri"/>
              <w:kern w:val="2"/>
              <w:position w:val="0"/>
              <w14:ligatures w14:val="standardContextual"/>
            </w:rPr>
            <w:fldChar w:fldCharType="begin"/>
          </w:r>
          <w:r w:rsidRPr="00CF3DB4">
            <w:rPr>
              <w:rFonts w:eastAsia="Calibri"/>
              <w:kern w:val="2"/>
              <w:position w:val="0"/>
              <w14:ligatures w14:val="standardContextual"/>
            </w:rPr>
            <w:instrText xml:space="preserve">CITATION Jud95 \l 1033 </w:instrText>
          </w:r>
          <w:r w:rsidRPr="00CF3DB4">
            <w:rPr>
              <w:rFonts w:eastAsia="Calibri"/>
              <w:kern w:val="2"/>
              <w:position w:val="0"/>
              <w14:ligatures w14:val="standardContextual"/>
            </w:rPr>
            <w:fldChar w:fldCharType="separate"/>
          </w:r>
          <w:r w:rsidRPr="00CF3DB4">
            <w:rPr>
              <w:rFonts w:eastAsia="Calibri"/>
              <w:noProof/>
              <w:kern w:val="2"/>
              <w:position w:val="0"/>
              <w14:ligatures w14:val="standardContextual"/>
            </w:rPr>
            <w:t xml:space="preserve"> (Arter, 1995)</w:t>
          </w:r>
          <w:r w:rsidRPr="00CF3DB4">
            <w:rPr>
              <w:rFonts w:eastAsia="Calibri"/>
              <w:kern w:val="2"/>
              <w:position w:val="0"/>
              <w14:ligatures w14:val="standardContextual"/>
            </w:rPr>
            <w:fldChar w:fldCharType="end"/>
          </w:r>
        </w:sdtContent>
      </w:sdt>
      <w:r w:rsidRPr="00CF3DB4">
        <w:rPr>
          <w:rFonts w:eastAsia="Calibri"/>
          <w:kern w:val="2"/>
          <w:position w:val="0"/>
          <w14:ligatures w14:val="standardContextual"/>
        </w:rPr>
        <w:t xml:space="preserve">. Attempts to shift from quantitative measures to qualitative open-ended structures </w:t>
      </w:r>
      <w:proofErr w:type="gramStart"/>
      <w:r w:rsidRPr="00CF3DB4">
        <w:rPr>
          <w:rFonts w:eastAsia="Calibri"/>
          <w:kern w:val="2"/>
          <w:position w:val="0"/>
          <w14:ligatures w14:val="standardContextual"/>
        </w:rPr>
        <w:t>are more directly linked</w:t>
      </w:r>
      <w:proofErr w:type="gramEnd"/>
      <w:r w:rsidRPr="00CF3DB4">
        <w:rPr>
          <w:rFonts w:eastAsia="Calibri"/>
          <w:kern w:val="2"/>
          <w:position w:val="0"/>
          <w14:ligatures w14:val="standardContextual"/>
        </w:rPr>
        <w:t xml:space="preserve"> to the portfolio movement. </w:t>
      </w:r>
    </w:p>
    <w:p w14:paraId="3D0E4DC3" w14:textId="76292AFC" w:rsidR="00CF3DB4" w:rsidRPr="00CF3DB4" w:rsidRDefault="00CF3DB4" w:rsidP="00C5606B">
      <w:pPr>
        <w:spacing w:after="160" w:line="480" w:lineRule="auto"/>
        <w:ind w:firstLine="567"/>
        <w:jc w:val="both"/>
        <w:rPr>
          <w:rFonts w:eastAsia="Calibri"/>
          <w:kern w:val="2"/>
          <w:position w:val="0"/>
          <w14:ligatures w14:val="standardContextual"/>
        </w:rPr>
      </w:pPr>
      <w:r w:rsidRPr="00CF3DB4">
        <w:rPr>
          <w:rFonts w:eastAsia="Calibri"/>
          <w:kern w:val="2"/>
          <w:position w:val="0"/>
          <w14:ligatures w14:val="standardContextual"/>
        </w:rPr>
        <w:t xml:space="preserve">Furthermore, research findings prove that portfolio assessment can develop responsible, autonomous and lifelong learners who are eager to self-evaluate their progress. Hence, educators work to motivate and involve learners in their own learning so that self-confidence and self-esteem </w:t>
      </w:r>
      <w:proofErr w:type="gramStart"/>
      <w:r w:rsidRPr="00CF3DB4">
        <w:rPr>
          <w:rFonts w:eastAsia="Calibri"/>
          <w:kern w:val="2"/>
          <w:position w:val="0"/>
          <w14:ligatures w14:val="standardContextual"/>
        </w:rPr>
        <w:t>can effectively be enhanced</w:t>
      </w:r>
      <w:proofErr w:type="gramEnd"/>
      <w:r w:rsidRPr="00CF3DB4">
        <w:rPr>
          <w:rFonts w:eastAsia="Calibri"/>
          <w:kern w:val="2"/>
          <w:position w:val="0"/>
          <w14:ligatures w14:val="standardContextual"/>
        </w:rPr>
        <w:t>. For instance, Mitchell (1994) found that students writing skill positively correlate with their feeling toward portfolio assessment. Other studies demonstrated that utilizing portfolios assisted nurturing a positive attitude towards writing</w:t>
      </w:r>
      <w:sdt>
        <w:sdtPr>
          <w:rPr>
            <w:rFonts w:eastAsia="Calibri"/>
            <w:kern w:val="2"/>
            <w:position w:val="0"/>
            <w14:ligatures w14:val="standardContextual"/>
          </w:rPr>
          <w:id w:val="2045551489"/>
          <w:citation/>
        </w:sdtPr>
        <w:sdtEndPr/>
        <w:sdtContent>
          <w:r w:rsidRPr="00CF3DB4">
            <w:rPr>
              <w:rFonts w:eastAsia="Calibri"/>
              <w:kern w:val="2"/>
              <w:position w:val="0"/>
              <w14:ligatures w14:val="standardContextual"/>
            </w:rPr>
            <w:fldChar w:fldCharType="begin"/>
          </w:r>
          <w:r w:rsidRPr="00CF3DB4">
            <w:rPr>
              <w:rFonts w:eastAsia="Calibri"/>
              <w:kern w:val="2"/>
              <w:position w:val="0"/>
              <w14:ligatures w14:val="standardContextual"/>
            </w:rPr>
            <w:instrText xml:space="preserve">CITATION Güm19 \l 1033 </w:instrText>
          </w:r>
          <w:r w:rsidRPr="00CF3DB4">
            <w:rPr>
              <w:rFonts w:eastAsia="Calibri"/>
              <w:kern w:val="2"/>
              <w:position w:val="0"/>
              <w14:ligatures w14:val="standardContextual"/>
            </w:rPr>
            <w:fldChar w:fldCharType="separate"/>
          </w:r>
          <w:r w:rsidRPr="00CF3DB4">
            <w:rPr>
              <w:rFonts w:eastAsia="Calibri"/>
              <w:noProof/>
              <w:kern w:val="2"/>
              <w:position w:val="0"/>
              <w14:ligatures w14:val="standardContextual"/>
            </w:rPr>
            <w:t xml:space="preserve"> (GÜMÜŞ, 2019)</w:t>
          </w:r>
          <w:r w:rsidRPr="00CF3DB4">
            <w:rPr>
              <w:rFonts w:eastAsia="Calibri"/>
              <w:kern w:val="2"/>
              <w:position w:val="0"/>
              <w14:ligatures w14:val="standardContextual"/>
            </w:rPr>
            <w:fldChar w:fldCharType="end"/>
          </w:r>
        </w:sdtContent>
      </w:sdt>
      <w:r w:rsidRPr="00CF3DB4">
        <w:rPr>
          <w:rFonts w:eastAsia="Calibri"/>
          <w:kern w:val="2"/>
          <w:position w:val="0"/>
          <w14:ligatures w14:val="standardContextual"/>
        </w:rPr>
        <w:t xml:space="preserve"> , reading and language arts</w:t>
      </w:r>
      <w:sdt>
        <w:sdtPr>
          <w:rPr>
            <w:rFonts w:eastAsia="Calibri"/>
            <w:kern w:val="2"/>
            <w:position w:val="0"/>
            <w14:ligatures w14:val="standardContextual"/>
          </w:rPr>
          <w:id w:val="676163728"/>
          <w:citation/>
        </w:sdtPr>
        <w:sdtEndPr/>
        <w:sdtContent>
          <w:r w:rsidRPr="00CF3DB4">
            <w:rPr>
              <w:rFonts w:eastAsia="Calibri"/>
              <w:kern w:val="2"/>
              <w:position w:val="0"/>
              <w14:ligatures w14:val="standardContextual"/>
            </w:rPr>
            <w:fldChar w:fldCharType="begin"/>
          </w:r>
          <w:r w:rsidRPr="00CF3DB4">
            <w:rPr>
              <w:rFonts w:eastAsia="Calibri"/>
              <w:kern w:val="2"/>
              <w:position w:val="0"/>
              <w14:ligatures w14:val="standardContextual"/>
            </w:rPr>
            <w:instrText xml:space="preserve">CITATION Rob \l 1033 </w:instrText>
          </w:r>
          <w:r w:rsidRPr="00CF3DB4">
            <w:rPr>
              <w:rFonts w:eastAsia="Calibri"/>
              <w:kern w:val="2"/>
              <w:position w:val="0"/>
              <w14:ligatures w14:val="standardContextual"/>
            </w:rPr>
            <w:fldChar w:fldCharType="separate"/>
          </w:r>
          <w:r w:rsidRPr="00CF3DB4">
            <w:rPr>
              <w:rFonts w:eastAsia="Calibri"/>
              <w:noProof/>
              <w:kern w:val="2"/>
              <w:position w:val="0"/>
              <w14:ligatures w14:val="standardContextual"/>
            </w:rPr>
            <w:t xml:space="preserve"> (Calfee, 2012)</w:t>
          </w:r>
          <w:r w:rsidRPr="00CF3DB4">
            <w:rPr>
              <w:rFonts w:eastAsia="Calibri"/>
              <w:kern w:val="2"/>
              <w:position w:val="0"/>
              <w14:ligatures w14:val="standardContextual"/>
            </w:rPr>
            <w:fldChar w:fldCharType="end"/>
          </w:r>
        </w:sdtContent>
      </w:sdt>
      <w:r w:rsidRPr="00CF3DB4">
        <w:rPr>
          <w:rFonts w:eastAsia="Calibri"/>
          <w:kern w:val="2"/>
          <w:position w:val="0"/>
          <w14:ligatures w14:val="standardContextual"/>
        </w:rPr>
        <w:t>.</w:t>
      </w:r>
    </w:p>
    <w:p w14:paraId="68CA09BB" w14:textId="319F9D72" w:rsidR="00CF3DB4" w:rsidRPr="00CF3DB4" w:rsidRDefault="002063F1" w:rsidP="00AA5DBF">
      <w:pPr>
        <w:pStyle w:val="Titre1"/>
        <w:rPr>
          <w:rFonts w:eastAsia="Calibri"/>
        </w:rPr>
      </w:pPr>
      <w:bookmarkStart w:id="111" w:name="_Toc200486043"/>
      <w:r>
        <w:rPr>
          <w:rFonts w:eastAsia="Calibri"/>
        </w:rPr>
        <w:t xml:space="preserve">1.1.1.3 </w:t>
      </w:r>
      <w:r w:rsidR="00CF3DB4" w:rsidRPr="00CF3DB4">
        <w:rPr>
          <w:rFonts w:eastAsia="Calibri"/>
        </w:rPr>
        <w:t>Assessment as Learning (Self-Assessment)</w:t>
      </w:r>
      <w:bookmarkEnd w:id="111"/>
    </w:p>
    <w:p w14:paraId="707D65E5" w14:textId="77777777" w:rsidR="00C33886" w:rsidRDefault="00CF3DB4" w:rsidP="00C33886">
      <w:pPr>
        <w:spacing w:after="160" w:line="480" w:lineRule="auto"/>
        <w:ind w:firstLine="567"/>
        <w:jc w:val="both"/>
        <w:rPr>
          <w:rFonts w:eastAsia="Calibri"/>
          <w:kern w:val="2"/>
          <w:position w:val="0"/>
          <w14:ligatures w14:val="standardContextual"/>
        </w:rPr>
      </w:pPr>
      <w:r w:rsidRPr="00CF3DB4">
        <w:rPr>
          <w:rFonts w:eastAsia="Calibri"/>
          <w:kern w:val="2"/>
          <w:position w:val="0"/>
          <w14:ligatures w14:val="standardContextual"/>
        </w:rPr>
        <w:t xml:space="preserve"> Existing literature indicates that students </w:t>
      </w:r>
      <w:proofErr w:type="gramStart"/>
      <w:r w:rsidRPr="00CF3DB4">
        <w:rPr>
          <w:rFonts w:eastAsia="Calibri"/>
          <w:kern w:val="2"/>
          <w:position w:val="0"/>
          <w14:ligatures w14:val="standardContextual"/>
        </w:rPr>
        <w:t>have been assessed</w:t>
      </w:r>
      <w:proofErr w:type="gramEnd"/>
      <w:r w:rsidRPr="00CF3DB4">
        <w:rPr>
          <w:rFonts w:eastAsia="Calibri"/>
          <w:kern w:val="2"/>
          <w:position w:val="0"/>
          <w14:ligatures w14:val="standardContextual"/>
        </w:rPr>
        <w:t xml:space="preserve"> for learning to be measured, evaluated and fostered. Jennie </w:t>
      </w:r>
      <w:r w:rsidRPr="00CF3DB4">
        <w:rPr>
          <w:rFonts w:eastAsia="Calibri"/>
          <w:noProof/>
          <w:kern w:val="2"/>
          <w:position w:val="0"/>
          <w14:ligatures w14:val="standardContextual"/>
        </w:rPr>
        <w:t>Sivenbring (2018)</w:t>
      </w:r>
      <w:r w:rsidRPr="00CF3DB4">
        <w:rPr>
          <w:rFonts w:eastAsia="Calibri"/>
          <w:kern w:val="2"/>
          <w:position w:val="0"/>
          <w14:ligatures w14:val="standardContextual"/>
        </w:rPr>
        <w:t xml:space="preserve"> claims that assessment, accordingly, ought to be “informative, formative and active”. This points to the fact that assessment forms an integral part of the learning process which reflects how effective were the pedagogical techniques and strategies employed by both teachers and learners. They actively self-regulate and self-assess their feedback-based teaching learning process.</w:t>
      </w:r>
    </w:p>
    <w:p w14:paraId="76AC0F79" w14:textId="64D272B2" w:rsidR="00E43BCB" w:rsidRDefault="00CF3DB4" w:rsidP="00C33886">
      <w:pPr>
        <w:spacing w:after="160" w:line="480" w:lineRule="auto"/>
        <w:ind w:firstLine="567"/>
        <w:jc w:val="both"/>
        <w:rPr>
          <w:rFonts w:eastAsia="Calibri"/>
          <w:kern w:val="2"/>
          <w:position w:val="0"/>
          <w14:ligatures w14:val="standardContextual"/>
        </w:rPr>
      </w:pPr>
      <w:r w:rsidRPr="00CF3DB4">
        <w:rPr>
          <w:rFonts w:eastAsia="Calibri"/>
          <w:kern w:val="2"/>
          <w:position w:val="0"/>
          <w14:ligatures w14:val="standardContextual"/>
        </w:rPr>
        <w:lastRenderedPageBreak/>
        <w:t xml:space="preserve">Moreover, research indicates that the best learning outcomes for students occur when teachers become learners of their own instruction as well as when students become their own teachers (through self-monitoring and self-assessment) </w:t>
      </w:r>
      <w:sdt>
        <w:sdtPr>
          <w:rPr>
            <w:rFonts w:eastAsia="Calibri"/>
            <w:kern w:val="2"/>
            <w:position w:val="0"/>
            <w14:ligatures w14:val="standardContextual"/>
          </w:rPr>
          <w:id w:val="720486280"/>
          <w:citation/>
        </w:sdtPr>
        <w:sdtEndPr/>
        <w:sdtContent>
          <w:r w:rsidRPr="00CF3DB4">
            <w:rPr>
              <w:rFonts w:eastAsia="Calibri"/>
              <w:kern w:val="2"/>
              <w:position w:val="0"/>
              <w14:ligatures w14:val="standardContextual"/>
            </w:rPr>
            <w:fldChar w:fldCharType="begin"/>
          </w:r>
          <w:r w:rsidRPr="00CF3DB4">
            <w:rPr>
              <w:rFonts w:eastAsia="Calibri"/>
              <w:kern w:val="2"/>
              <w:position w:val="0"/>
              <w14:ligatures w14:val="standardContextual"/>
            </w:rPr>
            <w:instrText xml:space="preserve"> CITATION Joh12 \l 1033 </w:instrText>
          </w:r>
          <w:r w:rsidRPr="00CF3DB4">
            <w:rPr>
              <w:rFonts w:eastAsia="Calibri"/>
              <w:kern w:val="2"/>
              <w:position w:val="0"/>
              <w14:ligatures w14:val="standardContextual"/>
            </w:rPr>
            <w:fldChar w:fldCharType="separate"/>
          </w:r>
          <w:r w:rsidRPr="00CF3DB4">
            <w:rPr>
              <w:rFonts w:eastAsia="Calibri"/>
              <w:noProof/>
              <w:kern w:val="2"/>
              <w:position w:val="0"/>
              <w14:ligatures w14:val="standardContextual"/>
            </w:rPr>
            <w:t>(Hattie, 2012)</w:t>
          </w:r>
          <w:r w:rsidRPr="00CF3DB4">
            <w:rPr>
              <w:rFonts w:eastAsia="Calibri"/>
              <w:kern w:val="2"/>
              <w:position w:val="0"/>
              <w14:ligatures w14:val="standardContextual"/>
            </w:rPr>
            <w:fldChar w:fldCharType="end"/>
          </w:r>
        </w:sdtContent>
      </w:sdt>
      <w:r w:rsidRPr="00CF3DB4">
        <w:rPr>
          <w:rFonts w:eastAsia="Calibri"/>
          <w:kern w:val="2"/>
          <w:position w:val="0"/>
          <w14:ligatures w14:val="standardContextual"/>
        </w:rPr>
        <w:t>. Dann (1996, p. 57) argues that self-assessment calls for a deeper understanding of the goal, method, and outcome of learning between the teacher and the students. He also emphasizes the role of metacognition when he defines assessment as learning (</w:t>
      </w:r>
      <w:proofErr w:type="spellStart"/>
      <w:r w:rsidRPr="00CF3DB4">
        <w:rPr>
          <w:rFonts w:eastAsia="Calibri"/>
          <w:kern w:val="2"/>
          <w:position w:val="0"/>
          <w14:ligatures w14:val="standardContextual"/>
        </w:rPr>
        <w:t>AaL</w:t>
      </w:r>
      <w:proofErr w:type="spellEnd"/>
      <w:r w:rsidRPr="00CF3DB4">
        <w:rPr>
          <w:rFonts w:eastAsia="Calibri"/>
          <w:kern w:val="2"/>
          <w:position w:val="0"/>
          <w14:ligatures w14:val="standardContextual"/>
        </w:rPr>
        <w:t xml:space="preserve">) as “a complex interplay of assessment, teaching, and learning which holds at its core the notion that pupils must understand their own learning progress and goals through a range of processes which are in themselves cognitive events. Implicit is the need for pupils to be active in both learning and assessment.” </w:t>
      </w:r>
      <w:r w:rsidR="00E43BCB" w:rsidRPr="00CF3DB4">
        <w:rPr>
          <w:rFonts w:eastAsia="Calibri"/>
          <w:kern w:val="2"/>
          <w:position w:val="0"/>
          <w14:ligatures w14:val="standardContextual"/>
        </w:rPr>
        <w:t>(</w:t>
      </w:r>
      <w:r w:rsidR="00E43BCB">
        <w:rPr>
          <w:rFonts w:eastAsia="Calibri"/>
          <w:kern w:val="2"/>
          <w:position w:val="0"/>
          <w14:ligatures w14:val="standardContextual"/>
        </w:rPr>
        <w:t xml:space="preserve">Dann, </w:t>
      </w:r>
      <w:r w:rsidR="00E43BCB" w:rsidRPr="00CF3DB4">
        <w:rPr>
          <w:rFonts w:eastAsia="Calibri"/>
          <w:kern w:val="2"/>
          <w:position w:val="0"/>
          <w14:ligatures w14:val="standardContextual"/>
        </w:rPr>
        <w:t>1996</w:t>
      </w:r>
      <w:r w:rsidR="009C5D60">
        <w:rPr>
          <w:rFonts w:eastAsia="Calibri"/>
          <w:kern w:val="2"/>
          <w:position w:val="0"/>
          <w14:ligatures w14:val="standardContextual"/>
        </w:rPr>
        <w:t>, p.57</w:t>
      </w:r>
      <w:r w:rsidR="00E43BCB" w:rsidRPr="00CF3DB4">
        <w:rPr>
          <w:rFonts w:eastAsia="Calibri"/>
          <w:kern w:val="2"/>
          <w:position w:val="0"/>
          <w14:ligatures w14:val="standardContextual"/>
        </w:rPr>
        <w:t>)</w:t>
      </w:r>
      <w:r w:rsidR="00E43BCB">
        <w:rPr>
          <w:rFonts w:eastAsia="Calibri"/>
          <w:kern w:val="2"/>
          <w:position w:val="0"/>
          <w14:ligatures w14:val="standardContextual"/>
        </w:rPr>
        <w:t>.</w:t>
      </w:r>
    </w:p>
    <w:p w14:paraId="29E4273F" w14:textId="5A39CE4C" w:rsidR="00CF3DB4" w:rsidRPr="00CF3DB4" w:rsidRDefault="00CF3DB4" w:rsidP="00C33886">
      <w:pPr>
        <w:spacing w:after="160" w:line="480" w:lineRule="auto"/>
        <w:ind w:firstLine="567"/>
        <w:jc w:val="both"/>
        <w:rPr>
          <w:rFonts w:eastAsia="Calibri"/>
          <w:color w:val="000000"/>
          <w:position w:val="0"/>
          <w14:ligatures w14:val="standardContextual"/>
        </w:rPr>
      </w:pPr>
      <w:r w:rsidRPr="00CF3DB4">
        <w:rPr>
          <w:rFonts w:eastAsia="Calibri"/>
          <w:kern w:val="2"/>
          <w:position w:val="0"/>
          <w14:ligatures w14:val="standardContextual"/>
        </w:rPr>
        <w:t>Building on this perspective, teachers significantly contribute to shape such assessment-rich environments. E</w:t>
      </w:r>
      <w:r w:rsidRPr="00CF3DB4">
        <w:rPr>
          <w:rFonts w:eastAsia="Calibri"/>
          <w:color w:val="000000"/>
          <w:position w:val="0"/>
          <w14:ligatures w14:val="standardContextual"/>
        </w:rPr>
        <w:t xml:space="preserve">ngaging in professional development trainings is required to gain insights into its core principles and to develop an ability to design meaningful </w:t>
      </w:r>
      <w:proofErr w:type="gramStart"/>
      <w:r w:rsidRPr="00CF3DB4">
        <w:rPr>
          <w:rFonts w:eastAsia="Calibri"/>
          <w:color w:val="000000"/>
          <w:position w:val="0"/>
          <w14:ligatures w14:val="standardContextual"/>
        </w:rPr>
        <w:t>tasks and, most importantly, offer</w:t>
      </w:r>
      <w:proofErr w:type="gramEnd"/>
      <w:r w:rsidRPr="00CF3DB4">
        <w:rPr>
          <w:rFonts w:eastAsia="Calibri"/>
          <w:color w:val="000000"/>
          <w:position w:val="0"/>
          <w14:ligatures w14:val="standardContextual"/>
        </w:rPr>
        <w:t xml:space="preserve"> and seek analytical actionable feedback. </w:t>
      </w:r>
    </w:p>
    <w:p w14:paraId="30C26D56" w14:textId="55D673B2" w:rsidR="00CF3DB4" w:rsidRPr="00CF3DB4" w:rsidRDefault="00817942" w:rsidP="00AA5DBF">
      <w:pPr>
        <w:pStyle w:val="Titre1"/>
        <w:rPr>
          <w:rFonts w:eastAsia="Calibri"/>
        </w:rPr>
      </w:pPr>
      <w:bookmarkStart w:id="112" w:name="_Toc200486044"/>
      <w:r>
        <w:rPr>
          <w:rFonts w:eastAsia="Calibri"/>
        </w:rPr>
        <w:t xml:space="preserve">1.1.2 </w:t>
      </w:r>
      <w:r w:rsidR="00CF3DB4" w:rsidRPr="00CF3DB4">
        <w:rPr>
          <w:rFonts w:eastAsia="Calibri"/>
        </w:rPr>
        <w:t>Assessment Literacy</w:t>
      </w:r>
      <w:bookmarkEnd w:id="112"/>
      <w:r w:rsidR="00CF3DB4" w:rsidRPr="00CF3DB4">
        <w:rPr>
          <w:rFonts w:eastAsia="Calibri"/>
        </w:rPr>
        <w:t xml:space="preserve"> </w:t>
      </w:r>
    </w:p>
    <w:p w14:paraId="1AF9746D" w14:textId="77777777" w:rsidR="00D24067" w:rsidRDefault="00CF3DB4" w:rsidP="00D24067">
      <w:pPr>
        <w:spacing w:after="160" w:line="480" w:lineRule="auto"/>
        <w:ind w:firstLine="567"/>
        <w:jc w:val="both"/>
        <w:rPr>
          <w:rFonts w:eastAsia="Calibri"/>
          <w:kern w:val="2"/>
          <w:position w:val="0"/>
          <w14:ligatures w14:val="standardContextual"/>
        </w:rPr>
      </w:pPr>
      <w:r w:rsidRPr="00CF3DB4">
        <w:rPr>
          <w:rFonts w:eastAsia="Calibri"/>
          <w:kern w:val="2"/>
          <w:position w:val="0"/>
          <w14:ligatures w14:val="standardContextual"/>
        </w:rPr>
        <w:t xml:space="preserve"> It is undeniable that sound assessments require skilled and knowledgeable teachers who utilize effective tools and procedures to meet their learners’ needs and expectations. In every classroom, the quality of the assessments employed determines the quality of the instruction </w:t>
      </w:r>
      <w:sdt>
        <w:sdtPr>
          <w:rPr>
            <w:rFonts w:eastAsia="Calibri"/>
            <w:kern w:val="2"/>
            <w:position w:val="0"/>
            <w14:ligatures w14:val="standardContextual"/>
          </w:rPr>
          <w:id w:val="201060711"/>
          <w:citation/>
        </w:sdtPr>
        <w:sdtEndPr/>
        <w:sdtContent>
          <w:r w:rsidRPr="00CF3DB4">
            <w:rPr>
              <w:rFonts w:eastAsia="Calibri"/>
              <w:kern w:val="2"/>
              <w:position w:val="0"/>
              <w14:ligatures w14:val="standardContextual"/>
            </w:rPr>
            <w:fldChar w:fldCharType="begin"/>
          </w:r>
          <w:r w:rsidRPr="00CF3DB4">
            <w:rPr>
              <w:rFonts w:eastAsia="Calibri"/>
              <w:kern w:val="2"/>
              <w:position w:val="0"/>
              <w14:ligatures w14:val="standardContextual"/>
            </w:rPr>
            <w:instrText xml:space="preserve"> CITATION Ric99 \l 1033 </w:instrText>
          </w:r>
          <w:r w:rsidRPr="00CF3DB4">
            <w:rPr>
              <w:rFonts w:eastAsia="Calibri"/>
              <w:kern w:val="2"/>
              <w:position w:val="0"/>
              <w14:ligatures w14:val="standardContextual"/>
            </w:rPr>
            <w:fldChar w:fldCharType="separate"/>
          </w:r>
          <w:r w:rsidRPr="00CF3DB4">
            <w:rPr>
              <w:rFonts w:eastAsia="Calibri"/>
              <w:noProof/>
              <w:kern w:val="2"/>
              <w:position w:val="0"/>
              <w14:ligatures w14:val="standardContextual"/>
            </w:rPr>
            <w:t>(Stiggins, 1999)</w:t>
          </w:r>
          <w:r w:rsidRPr="00CF3DB4">
            <w:rPr>
              <w:rFonts w:eastAsia="Calibri"/>
              <w:kern w:val="2"/>
              <w:position w:val="0"/>
              <w14:ligatures w14:val="standardContextual"/>
            </w:rPr>
            <w:fldChar w:fldCharType="end"/>
          </w:r>
        </w:sdtContent>
      </w:sdt>
      <w:r w:rsidRPr="00CF3DB4">
        <w:rPr>
          <w:rFonts w:eastAsia="Calibri"/>
          <w:kern w:val="2"/>
          <w:position w:val="0"/>
          <w14:ligatures w14:val="standardContextual"/>
        </w:rPr>
        <w:t xml:space="preserve">. </w:t>
      </w:r>
      <w:proofErr w:type="spellStart"/>
      <w:r w:rsidRPr="00CF3DB4">
        <w:rPr>
          <w:rFonts w:eastAsia="Calibri"/>
          <w:kern w:val="2"/>
          <w:position w:val="0"/>
          <w14:ligatures w14:val="standardContextual"/>
        </w:rPr>
        <w:t>Stiggins</w:t>
      </w:r>
      <w:proofErr w:type="spellEnd"/>
      <w:r w:rsidRPr="00CF3DB4">
        <w:rPr>
          <w:rFonts w:eastAsia="Calibri"/>
          <w:kern w:val="2"/>
          <w:position w:val="0"/>
          <w14:ligatures w14:val="standardContextual"/>
        </w:rPr>
        <w:t xml:space="preserve"> (1999) also claims that assessment at all levels—district, state, national, or international—represents a total waste of time and resources </w:t>
      </w:r>
      <w:proofErr w:type="gramStart"/>
      <w:r w:rsidRPr="00CF3DB4">
        <w:rPr>
          <w:rFonts w:eastAsia="Calibri"/>
          <w:kern w:val="2"/>
          <w:position w:val="0"/>
          <w14:ligatures w14:val="standardContextual"/>
        </w:rPr>
        <w:t>provided that</w:t>
      </w:r>
      <w:proofErr w:type="gramEnd"/>
      <w:r w:rsidRPr="00CF3DB4">
        <w:rPr>
          <w:rFonts w:eastAsia="Calibri"/>
          <w:kern w:val="2"/>
          <w:position w:val="0"/>
          <w14:ligatures w14:val="standardContextual"/>
        </w:rPr>
        <w:t xml:space="preserve"> it is not functioning well in classrooms on a daily basis </w:t>
      </w:r>
      <w:sdt>
        <w:sdtPr>
          <w:rPr>
            <w:rFonts w:eastAsia="Calibri"/>
            <w:kern w:val="2"/>
            <w:position w:val="0"/>
            <w14:ligatures w14:val="standardContextual"/>
          </w:rPr>
          <w:id w:val="-1703164076"/>
          <w:citation/>
        </w:sdtPr>
        <w:sdtEndPr/>
        <w:sdtContent>
          <w:r w:rsidRPr="00CF3DB4">
            <w:rPr>
              <w:rFonts w:eastAsia="Calibri"/>
              <w:kern w:val="2"/>
              <w:position w:val="0"/>
              <w14:ligatures w14:val="standardContextual"/>
            </w:rPr>
            <w:fldChar w:fldCharType="begin"/>
          </w:r>
          <w:r w:rsidRPr="00CF3DB4">
            <w:rPr>
              <w:rFonts w:eastAsia="Calibri"/>
              <w:kern w:val="2"/>
              <w:position w:val="0"/>
              <w14:ligatures w14:val="standardContextual"/>
            </w:rPr>
            <w:instrText xml:space="preserve">CITATION 193 \p 193 \n  \l 1033 </w:instrText>
          </w:r>
          <w:r w:rsidRPr="00CF3DB4">
            <w:rPr>
              <w:rFonts w:eastAsia="Calibri"/>
              <w:kern w:val="2"/>
              <w:position w:val="0"/>
              <w14:ligatures w14:val="standardContextual"/>
            </w:rPr>
            <w:fldChar w:fldCharType="separate"/>
          </w:r>
          <w:r w:rsidRPr="00CF3DB4">
            <w:rPr>
              <w:rFonts w:eastAsia="Calibri"/>
              <w:noProof/>
              <w:kern w:val="2"/>
              <w:position w:val="0"/>
              <w14:ligatures w14:val="standardContextual"/>
            </w:rPr>
            <w:t>(p. 193)</w:t>
          </w:r>
          <w:r w:rsidRPr="00CF3DB4">
            <w:rPr>
              <w:rFonts w:eastAsia="Calibri"/>
              <w:kern w:val="2"/>
              <w:position w:val="0"/>
              <w14:ligatures w14:val="standardContextual"/>
            </w:rPr>
            <w:fldChar w:fldCharType="end"/>
          </w:r>
        </w:sdtContent>
      </w:sdt>
      <w:r w:rsidRPr="00CF3DB4">
        <w:rPr>
          <w:rFonts w:eastAsia="Calibri"/>
          <w:kern w:val="2"/>
          <w:position w:val="0"/>
          <w14:ligatures w14:val="standardContextual"/>
        </w:rPr>
        <w:t xml:space="preserve">. As such, exploring teachers’ assessment skills and practices is an essential step to investigate their contribution to educational proficiency and academic achievement. </w:t>
      </w:r>
    </w:p>
    <w:p w14:paraId="0DA7B6D4" w14:textId="77777777" w:rsidR="00434E7E" w:rsidRDefault="00CF3DB4" w:rsidP="00434E7E">
      <w:pPr>
        <w:spacing w:after="160" w:line="480" w:lineRule="auto"/>
        <w:ind w:firstLine="567"/>
        <w:jc w:val="both"/>
        <w:rPr>
          <w:rFonts w:eastAsia="Calibri"/>
          <w:kern w:val="2"/>
          <w:position w:val="0"/>
          <w14:ligatures w14:val="standardContextual"/>
        </w:rPr>
      </w:pPr>
      <w:r w:rsidRPr="00CF3DB4">
        <w:rPr>
          <w:rFonts w:eastAsia="Calibri"/>
          <w:kern w:val="2"/>
          <w:position w:val="0"/>
          <w14:ligatures w14:val="standardContextual"/>
        </w:rPr>
        <w:t xml:space="preserve"> As stated by </w:t>
      </w:r>
      <w:proofErr w:type="spellStart"/>
      <w:r w:rsidRPr="00CF3DB4">
        <w:rPr>
          <w:rFonts w:eastAsia="Calibri"/>
          <w:kern w:val="2"/>
          <w:position w:val="0"/>
          <w14:ligatures w14:val="standardContextual"/>
        </w:rPr>
        <w:t>Guskey</w:t>
      </w:r>
      <w:proofErr w:type="spellEnd"/>
      <w:r w:rsidRPr="00CF3DB4">
        <w:rPr>
          <w:rFonts w:eastAsia="Calibri"/>
          <w:kern w:val="2"/>
          <w:position w:val="0"/>
          <w14:ligatures w14:val="standardContextual"/>
        </w:rPr>
        <w:t xml:space="preserve"> </w:t>
      </w:r>
      <w:bookmarkStart w:id="113" w:name="_Hlk194732624"/>
      <w:r w:rsidRPr="00CF3DB4">
        <w:rPr>
          <w:rFonts w:eastAsia="Calibri"/>
          <w:kern w:val="2"/>
          <w:position w:val="0"/>
          <w14:ligatures w14:val="standardContextual"/>
        </w:rPr>
        <w:t>(1999),</w:t>
      </w:r>
      <w:bookmarkEnd w:id="113"/>
      <w:r w:rsidRPr="00CF3DB4">
        <w:rPr>
          <w:rFonts w:eastAsia="Calibri"/>
          <w:kern w:val="2"/>
          <w:position w:val="0"/>
          <w14:ligatures w14:val="standardContextual"/>
        </w:rPr>
        <w:t xml:space="preserve"> skills, knowledge and expertise are what assessment literacy comprises. </w:t>
      </w:r>
      <w:proofErr w:type="spellStart"/>
      <w:r w:rsidRPr="00CF3DB4">
        <w:rPr>
          <w:rFonts w:eastAsia="Calibri"/>
          <w:kern w:val="2"/>
          <w:position w:val="0"/>
          <w14:ligatures w14:val="standardContextual"/>
        </w:rPr>
        <w:t>Guskey</w:t>
      </w:r>
      <w:proofErr w:type="spellEnd"/>
      <w:r w:rsidRPr="00CF3DB4">
        <w:rPr>
          <w:rFonts w:eastAsia="Calibri"/>
          <w:kern w:val="2"/>
          <w:position w:val="0"/>
          <w14:ligatures w14:val="standardContextual"/>
        </w:rPr>
        <w:t xml:space="preserve"> (2000) suggests a model based on </w:t>
      </w:r>
      <w:r w:rsidRPr="00CF3DB4">
        <w:rPr>
          <w:rFonts w:eastAsia="Calibri"/>
          <w:i/>
          <w:iCs/>
          <w:kern w:val="2"/>
          <w:position w:val="0"/>
          <w14:ligatures w14:val="standardContextual"/>
        </w:rPr>
        <w:t>five levels for staff development</w:t>
      </w:r>
      <w:r w:rsidRPr="00CF3DB4">
        <w:rPr>
          <w:rFonts w:eastAsia="Calibri"/>
          <w:kern w:val="2"/>
          <w:position w:val="0"/>
          <w14:ligatures w14:val="standardContextual"/>
        </w:rPr>
        <w:t xml:space="preserve">. </w:t>
      </w:r>
      <w:r w:rsidRPr="00CF3DB4">
        <w:rPr>
          <w:rFonts w:eastAsia="Calibri"/>
          <w:kern w:val="2"/>
          <w:position w:val="0"/>
          <w14:ligatures w14:val="standardContextual"/>
        </w:rPr>
        <w:lastRenderedPageBreak/>
        <w:t xml:space="preserve">Level four evaluation has taken into account the participants’ use of their </w:t>
      </w:r>
      <w:r w:rsidRPr="00CF3DB4">
        <w:rPr>
          <w:rFonts w:eastAsia="Calibri"/>
          <w:i/>
          <w:iCs/>
          <w:kern w:val="2"/>
          <w:position w:val="0"/>
          <w14:ligatures w14:val="standardContextual"/>
        </w:rPr>
        <w:t>new knowledge and skills</w:t>
      </w:r>
      <w:r w:rsidRPr="00CF3DB4">
        <w:rPr>
          <w:rFonts w:eastAsia="Calibri"/>
          <w:kern w:val="2"/>
          <w:position w:val="0"/>
          <w14:ligatures w14:val="standardContextual"/>
        </w:rPr>
        <w:t xml:space="preserve"> on instructional or assessment </w:t>
      </w:r>
      <w:proofErr w:type="gramStart"/>
      <w:r w:rsidRPr="00CF3DB4">
        <w:rPr>
          <w:rFonts w:eastAsia="Calibri"/>
          <w:kern w:val="2"/>
          <w:position w:val="0"/>
          <w14:ligatures w14:val="standardContextual"/>
        </w:rPr>
        <w:t>practices which</w:t>
      </w:r>
      <w:proofErr w:type="gramEnd"/>
      <w:r w:rsidRPr="00CF3DB4">
        <w:rPr>
          <w:rFonts w:eastAsia="Calibri"/>
          <w:kern w:val="2"/>
          <w:position w:val="0"/>
          <w14:ligatures w14:val="standardContextual"/>
        </w:rPr>
        <w:t xml:space="preserve"> significantly affect students learning outcomes </w:t>
      </w:r>
      <w:r w:rsidRPr="00CF3DB4">
        <w:rPr>
          <w:rFonts w:eastAsia="Calibri"/>
          <w:b/>
          <w:bCs/>
          <w:kern w:val="2"/>
          <w:position w:val="0"/>
          <w14:ligatures w14:val="standardContextual"/>
        </w:rPr>
        <w:t>(level five)</w:t>
      </w:r>
      <w:r w:rsidRPr="00CF3DB4">
        <w:rPr>
          <w:rFonts w:eastAsia="Calibri"/>
          <w:kern w:val="2"/>
          <w:position w:val="0"/>
          <w14:ligatures w14:val="standardContextual"/>
        </w:rPr>
        <w:t xml:space="preserve">. All aspects above emphasize the role of the participants’ experience, reflection and adaptation in the success of the teaching learning process. It is important to note that assessment literate educators are proficient designers who appropriately apply rationale theoretical foundations to create valid, reliable, holistic and fair assessment tools. </w:t>
      </w:r>
    </w:p>
    <w:p w14:paraId="04DDC187" w14:textId="1DBA42F7" w:rsidR="00CF3DB4" w:rsidRPr="00CF3DB4" w:rsidRDefault="00CF3DB4" w:rsidP="00434E7E">
      <w:pPr>
        <w:spacing w:after="160" w:line="480" w:lineRule="auto"/>
        <w:ind w:firstLine="567"/>
        <w:jc w:val="both"/>
        <w:rPr>
          <w:rFonts w:eastAsia="Calibri"/>
          <w:kern w:val="2"/>
          <w:position w:val="0"/>
          <w14:ligatures w14:val="standardContextual"/>
        </w:rPr>
      </w:pPr>
      <w:r w:rsidRPr="00CF3DB4">
        <w:rPr>
          <w:rFonts w:eastAsia="Calibri"/>
          <w:kern w:val="2"/>
          <w:position w:val="0"/>
          <w14:ligatures w14:val="standardContextual"/>
        </w:rPr>
        <w:t xml:space="preserve">Numerous studies have approached the issue under consideration offering diverse insights. </w:t>
      </w:r>
      <w:r w:rsidRPr="00CF3DB4">
        <w:rPr>
          <w:rFonts w:eastAsia="Calibri"/>
          <w:noProof/>
          <w:kern w:val="2"/>
          <w:position w:val="0"/>
          <w14:ligatures w14:val="standardContextual"/>
        </w:rPr>
        <w:t>Mertler (2003)</w:t>
      </w:r>
      <w:r w:rsidRPr="00CF3DB4">
        <w:rPr>
          <w:rFonts w:eastAsia="Calibri"/>
          <w:kern w:val="2"/>
          <w:position w:val="0"/>
          <w14:ligatures w14:val="standardContextual"/>
        </w:rPr>
        <w:t xml:space="preserve"> reveals that effective pedagogical educational conduct, including assessment, necessitates teacher’s ongoing training. This view </w:t>
      </w:r>
      <w:proofErr w:type="gramStart"/>
      <w:r w:rsidRPr="00CF3DB4">
        <w:rPr>
          <w:rFonts w:eastAsia="Calibri"/>
          <w:kern w:val="2"/>
          <w:position w:val="0"/>
          <w14:ligatures w14:val="standardContextual"/>
        </w:rPr>
        <w:t>is further supported</w:t>
      </w:r>
      <w:proofErr w:type="gramEnd"/>
      <w:r w:rsidRPr="00CF3DB4">
        <w:rPr>
          <w:rFonts w:eastAsia="Calibri"/>
          <w:kern w:val="2"/>
          <w:position w:val="0"/>
          <w14:ligatures w14:val="standardContextual"/>
        </w:rPr>
        <w:t xml:space="preserve"> by other studies such as </w:t>
      </w:r>
      <w:r w:rsidRPr="00CF3DB4">
        <w:rPr>
          <w:rFonts w:eastAsia="Calibri"/>
          <w:noProof/>
          <w:kern w:val="2"/>
          <w:position w:val="0"/>
          <w14:ligatures w14:val="standardContextual"/>
        </w:rPr>
        <w:t>(Apostol et al, 2023)</w:t>
      </w:r>
      <w:r w:rsidRPr="00CF3DB4">
        <w:rPr>
          <w:rFonts w:eastAsia="Calibri"/>
          <w:kern w:val="2"/>
          <w:position w:val="0"/>
          <w14:ligatures w14:val="standardContextual"/>
        </w:rPr>
        <w:t>.  The findings demonstrated that educators have to avoid “teaching for the test” and be adept and accurate test scores interpreters who efficiently assist students' learning and guide their instructional selections to cater for diverse learning developmental needs. This asserts that promoting reflection, critical thinking and problem-solving skills in EFL educators call for instructors who are not “increasingly caught up in a measurement-induced maelstrom”</w:t>
      </w:r>
      <w:sdt>
        <w:sdtPr>
          <w:rPr>
            <w:rFonts w:eastAsia="Calibri"/>
            <w:kern w:val="2"/>
            <w:position w:val="0"/>
            <w14:ligatures w14:val="standardContextual"/>
          </w:rPr>
          <w:id w:val="-1999652821"/>
          <w:citation/>
        </w:sdtPr>
        <w:sdtEndPr/>
        <w:sdtContent>
          <w:r w:rsidRPr="00CF3DB4">
            <w:rPr>
              <w:rFonts w:eastAsia="Calibri"/>
              <w:kern w:val="2"/>
              <w:position w:val="0"/>
              <w14:ligatures w14:val="standardContextual"/>
            </w:rPr>
            <w:fldChar w:fldCharType="begin"/>
          </w:r>
          <w:r w:rsidRPr="00CF3DB4">
            <w:rPr>
              <w:rFonts w:eastAsia="Calibri"/>
              <w:kern w:val="2"/>
              <w:position w:val="0"/>
              <w14:ligatures w14:val="standardContextual"/>
            </w:rPr>
            <w:instrText xml:space="preserve">CITATION Placeholder2 \l 1033 </w:instrText>
          </w:r>
          <w:r w:rsidRPr="00CF3DB4">
            <w:rPr>
              <w:rFonts w:eastAsia="Calibri"/>
              <w:kern w:val="2"/>
              <w:position w:val="0"/>
              <w14:ligatures w14:val="standardContextual"/>
            </w:rPr>
            <w:fldChar w:fldCharType="separate"/>
          </w:r>
          <w:r w:rsidRPr="00CF3DB4">
            <w:rPr>
              <w:rFonts w:eastAsia="Calibri"/>
              <w:noProof/>
              <w:kern w:val="2"/>
              <w:position w:val="0"/>
              <w14:ligatures w14:val="standardContextual"/>
            </w:rPr>
            <w:t xml:space="preserve"> (Popham, 2001)</w:t>
          </w:r>
          <w:r w:rsidRPr="00CF3DB4">
            <w:rPr>
              <w:rFonts w:eastAsia="Calibri"/>
              <w:kern w:val="2"/>
              <w:position w:val="0"/>
              <w14:ligatures w14:val="standardContextual"/>
            </w:rPr>
            <w:fldChar w:fldCharType="end"/>
          </w:r>
        </w:sdtContent>
      </w:sdt>
      <w:r w:rsidRPr="00CF3DB4">
        <w:rPr>
          <w:rFonts w:eastAsia="Calibri"/>
          <w:kern w:val="2"/>
          <w:position w:val="0"/>
          <w14:ligatures w14:val="standardContextual"/>
        </w:rPr>
        <w:t>, aiming at augmenting learners’ test grades, but for critical thinkers who base their inferences in response to feedback accumulated from reliable data.</w:t>
      </w:r>
    </w:p>
    <w:p w14:paraId="4A560839" w14:textId="74AEF905" w:rsidR="00CF3DB4" w:rsidRPr="00CF3DB4" w:rsidRDefault="00534289" w:rsidP="00AA5DBF">
      <w:pPr>
        <w:pStyle w:val="Titre1"/>
        <w:rPr>
          <w:rFonts w:eastAsia="Calibri"/>
        </w:rPr>
      </w:pPr>
      <w:bookmarkStart w:id="114" w:name="_Toc200486045"/>
      <w:r>
        <w:rPr>
          <w:rFonts w:eastAsia="Calibri"/>
        </w:rPr>
        <w:t xml:space="preserve">1.1.3 </w:t>
      </w:r>
      <w:r w:rsidR="00CF3DB4" w:rsidRPr="00CF3DB4">
        <w:rPr>
          <w:rFonts w:eastAsia="Calibri"/>
        </w:rPr>
        <w:t>Feedback and Reflection</w:t>
      </w:r>
      <w:bookmarkEnd w:id="114"/>
    </w:p>
    <w:p w14:paraId="4CA31E91" w14:textId="77777777" w:rsidR="001A7A66" w:rsidRDefault="00CF3DB4" w:rsidP="001A7A66">
      <w:pPr>
        <w:spacing w:after="160" w:line="480" w:lineRule="auto"/>
        <w:ind w:firstLine="567"/>
        <w:jc w:val="both"/>
        <w:rPr>
          <w:rFonts w:eastAsia="Calibri"/>
          <w:noProof/>
          <w:kern w:val="2"/>
          <w:position w:val="0"/>
          <w14:ligatures w14:val="standardContextual"/>
        </w:rPr>
      </w:pPr>
      <w:r w:rsidRPr="00CF3DB4">
        <w:rPr>
          <w:rFonts w:eastAsia="Calibri"/>
          <w:kern w:val="2"/>
          <w:position w:val="0"/>
          <w14:ligatures w14:val="standardContextual"/>
        </w:rPr>
        <w:t xml:space="preserve"> Feedback and reflection are two fundamental teaching methods in English language instructional practices. </w:t>
      </w:r>
      <w:r w:rsidRPr="00CF3DB4">
        <w:rPr>
          <w:rFonts w:eastAsia="Calibri"/>
          <w:b/>
          <w:bCs/>
          <w:kern w:val="2"/>
          <w:position w:val="0"/>
          <w14:ligatures w14:val="standardContextual"/>
        </w:rPr>
        <w:t>Feedback</w:t>
      </w:r>
      <w:r w:rsidRPr="00CF3DB4">
        <w:rPr>
          <w:rFonts w:eastAsia="Calibri"/>
          <w:kern w:val="2"/>
          <w:position w:val="0"/>
          <w14:ligatures w14:val="standardContextual"/>
        </w:rPr>
        <w:t xml:space="preserve">, which is a key element of assessment, refers to the information provided about learners and/or teachers’ strengths, delineated gaps or area(s) for improvement enabling them to make adjustments and refine their teaching and/or learning. It must be emphasized that it is essential to practice feedback in educational and training settings as it refers to “the transmission of evaluative or corrective information about an action, event, or process to the original or controlling source” </w:t>
      </w:r>
      <w:r w:rsidRPr="00CF3DB4">
        <w:rPr>
          <w:rFonts w:eastAsia="Calibri"/>
          <w:noProof/>
          <w:kern w:val="2"/>
          <w:position w:val="0"/>
          <w14:ligatures w14:val="standardContextual"/>
        </w:rPr>
        <w:t xml:space="preserve">(Merriam-Webster Dictionary, n.d.). In Oxford </w:t>
      </w:r>
      <w:r w:rsidRPr="00CF3DB4">
        <w:rPr>
          <w:rFonts w:eastAsia="Calibri"/>
          <w:noProof/>
          <w:kern w:val="2"/>
          <w:position w:val="0"/>
          <w14:ligatures w14:val="standardContextual"/>
        </w:rPr>
        <w:lastRenderedPageBreak/>
        <w:t xml:space="preserve">English Dictionary, it is defined as “advice, criticism, or information about how good or useful something or someone’s work is”. </w:t>
      </w:r>
    </w:p>
    <w:p w14:paraId="7F4B34CC" w14:textId="77777777" w:rsidR="001A7A66" w:rsidRDefault="00CF3DB4" w:rsidP="001A7A66">
      <w:pPr>
        <w:spacing w:after="160" w:line="480" w:lineRule="auto"/>
        <w:ind w:firstLine="567"/>
        <w:jc w:val="both"/>
        <w:rPr>
          <w:rFonts w:eastAsia="Calibri"/>
          <w:noProof/>
          <w:kern w:val="2"/>
          <w:position w:val="0"/>
          <w14:ligatures w14:val="standardContextual"/>
        </w:rPr>
      </w:pPr>
      <w:r w:rsidRPr="00CF3DB4">
        <w:rPr>
          <w:rFonts w:eastAsia="Calibri"/>
          <w:noProof/>
          <w:kern w:val="2"/>
          <w:position w:val="0"/>
          <w14:ligatures w14:val="standardContextual"/>
        </w:rPr>
        <w:t>Moreover,</w:t>
      </w:r>
      <w:r w:rsidRPr="00CF3DB4">
        <w:rPr>
          <w:rFonts w:eastAsia="Calibri"/>
          <w:kern w:val="2"/>
          <w:position w:val="0"/>
          <w14:ligatures w14:val="standardContextual"/>
        </w:rPr>
        <w:t xml:space="preserve"> </w:t>
      </w:r>
      <w:r w:rsidRPr="00CF3DB4">
        <w:rPr>
          <w:rFonts w:eastAsia="Calibri"/>
          <w:noProof/>
          <w:kern w:val="2"/>
          <w:position w:val="0"/>
          <w14:ligatures w14:val="standardContextual"/>
        </w:rPr>
        <w:t>Hattie &amp; Timperley (2007) claim that feedback can negatively or positively influence learning and achievement</w:t>
      </w:r>
      <w:r w:rsidRPr="00CF3DB4">
        <w:rPr>
          <w:rFonts w:eastAsia="Calibri"/>
          <w:kern w:val="2"/>
          <w:position w:val="0"/>
          <w14:ligatures w14:val="standardContextual"/>
        </w:rPr>
        <w:t xml:space="preserve">. Therefore, pertinent questions </w:t>
      </w:r>
      <w:proofErr w:type="gramStart"/>
      <w:r w:rsidRPr="00CF3DB4">
        <w:rPr>
          <w:rFonts w:eastAsia="Calibri"/>
          <w:kern w:val="2"/>
          <w:position w:val="0"/>
          <w14:ligatures w14:val="standardContextual"/>
        </w:rPr>
        <w:t>must be asked</w:t>
      </w:r>
      <w:proofErr w:type="gramEnd"/>
      <w:r w:rsidRPr="00CF3DB4">
        <w:rPr>
          <w:rFonts w:eastAsia="Calibri"/>
          <w:kern w:val="2"/>
          <w:position w:val="0"/>
          <w14:ligatures w14:val="standardContextual"/>
        </w:rPr>
        <w:t xml:space="preserve"> in order to provide useful feedback. Although this may seem apparent, it is less clear that in order to provide convenient feedback, a strategy for handling evidence </w:t>
      </w:r>
      <w:proofErr w:type="gramStart"/>
      <w:r w:rsidRPr="00CF3DB4">
        <w:rPr>
          <w:rFonts w:eastAsia="Calibri"/>
          <w:kern w:val="2"/>
          <w:position w:val="0"/>
          <w14:ligatures w14:val="standardContextual"/>
        </w:rPr>
        <w:t>must be developed</w:t>
      </w:r>
      <w:proofErr w:type="gramEnd"/>
      <w:r w:rsidRPr="00CF3DB4">
        <w:rPr>
          <w:rFonts w:eastAsia="Calibri"/>
          <w:kern w:val="2"/>
          <w:position w:val="0"/>
          <w14:ligatures w14:val="standardContextual"/>
        </w:rPr>
        <w:t xml:space="preserve"> prior to its collection</w:t>
      </w:r>
      <w:sdt>
        <w:sdtPr>
          <w:rPr>
            <w:rFonts w:eastAsia="Calibri"/>
            <w:kern w:val="2"/>
            <w:position w:val="0"/>
            <w14:ligatures w14:val="standardContextual"/>
          </w:rPr>
          <w:id w:val="-1507973045"/>
          <w:citation/>
        </w:sdtPr>
        <w:sdtEndPr/>
        <w:sdtContent>
          <w:r w:rsidRPr="00CF3DB4">
            <w:rPr>
              <w:rFonts w:eastAsia="Calibri"/>
              <w:kern w:val="2"/>
              <w:position w:val="0"/>
              <w14:ligatures w14:val="standardContextual"/>
            </w:rPr>
            <w:fldChar w:fldCharType="begin"/>
          </w:r>
          <w:r w:rsidRPr="00CF3DB4">
            <w:rPr>
              <w:rFonts w:eastAsia="Calibri"/>
              <w:kern w:val="2"/>
              <w:position w:val="0"/>
              <w14:ligatures w14:val="standardContextual"/>
            </w:rPr>
            <w:instrText xml:space="preserve">CITATION Pop01 \t  \l 1033 </w:instrText>
          </w:r>
          <w:r w:rsidRPr="00CF3DB4">
            <w:rPr>
              <w:rFonts w:eastAsia="Calibri"/>
              <w:kern w:val="2"/>
              <w:position w:val="0"/>
              <w14:ligatures w14:val="standardContextual"/>
            </w:rPr>
            <w:fldChar w:fldCharType="separate"/>
          </w:r>
          <w:r w:rsidRPr="00CF3DB4">
            <w:rPr>
              <w:rFonts w:eastAsia="Calibri"/>
              <w:noProof/>
              <w:kern w:val="2"/>
              <w:position w:val="0"/>
              <w14:ligatures w14:val="standardContextual"/>
            </w:rPr>
            <w:t xml:space="preserve"> (Popham, 2001)</w:t>
          </w:r>
          <w:r w:rsidRPr="00CF3DB4">
            <w:rPr>
              <w:rFonts w:eastAsia="Calibri"/>
              <w:kern w:val="2"/>
              <w:position w:val="0"/>
              <w14:ligatures w14:val="standardContextual"/>
            </w:rPr>
            <w:fldChar w:fldCharType="end"/>
          </w:r>
        </w:sdtContent>
      </w:sdt>
      <w:r w:rsidRPr="00CF3DB4">
        <w:rPr>
          <w:rFonts w:eastAsia="Calibri"/>
          <w:kern w:val="2"/>
          <w:position w:val="0"/>
          <w14:ligatures w14:val="standardContextual"/>
        </w:rPr>
        <w:t xml:space="preserve">. Feedback, accordingly, </w:t>
      </w:r>
      <w:proofErr w:type="gramStart"/>
      <w:r w:rsidRPr="00CF3DB4">
        <w:rPr>
          <w:rFonts w:eastAsia="Calibri"/>
          <w:kern w:val="2"/>
          <w:position w:val="0"/>
          <w14:ligatures w14:val="standardContextual"/>
        </w:rPr>
        <w:t>is utilized</w:t>
      </w:r>
      <w:proofErr w:type="gramEnd"/>
      <w:r w:rsidRPr="00CF3DB4">
        <w:rPr>
          <w:rFonts w:eastAsia="Calibri"/>
          <w:kern w:val="2"/>
          <w:position w:val="0"/>
          <w14:ligatures w14:val="standardContextual"/>
        </w:rPr>
        <w:t xml:space="preserve"> as a tool for motivation, encouragement, metacognition and improvement.</w:t>
      </w:r>
    </w:p>
    <w:p w14:paraId="2C5C9447" w14:textId="15B296AD" w:rsidR="00CF3DB4" w:rsidRPr="00CF3DB4" w:rsidRDefault="00CF3DB4" w:rsidP="001A7A66">
      <w:pPr>
        <w:spacing w:after="160" w:line="480" w:lineRule="auto"/>
        <w:ind w:firstLine="567"/>
        <w:jc w:val="both"/>
        <w:rPr>
          <w:rFonts w:eastAsia="Calibri"/>
          <w:noProof/>
          <w:kern w:val="2"/>
          <w:position w:val="0"/>
          <w14:ligatures w14:val="standardContextual"/>
        </w:rPr>
      </w:pPr>
      <w:r w:rsidRPr="00CF3DB4">
        <w:rPr>
          <w:rFonts w:eastAsia="Calibri"/>
          <w:noProof/>
          <w:kern w:val="2"/>
          <w:position w:val="0"/>
          <w14:ligatures w14:val="standardContextual"/>
        </w:rPr>
        <w:t xml:space="preserve">Richards &amp; Lockhart (1996) clarify that </w:t>
      </w:r>
      <w:r w:rsidRPr="00CF3DB4">
        <w:rPr>
          <w:rFonts w:eastAsia="Calibri"/>
          <w:b/>
          <w:bCs/>
          <w:i/>
          <w:iCs/>
          <w:noProof/>
          <w:kern w:val="2"/>
          <w:position w:val="0"/>
          <w14:ligatures w14:val="standardContextual"/>
        </w:rPr>
        <w:t>reflective teaching</w:t>
      </w:r>
      <w:r w:rsidRPr="00CF3DB4">
        <w:rPr>
          <w:rFonts w:eastAsia="Calibri"/>
          <w:noProof/>
          <w:kern w:val="2"/>
          <w:position w:val="0"/>
          <w14:ligatures w14:val="standardContextual"/>
        </w:rPr>
        <w:t xml:space="preserve"> is a regular procedure and aspect of second language instruction in which all teachers “collect data about teaching, examine their attitudes, beliefs, assumptions, and teaching practices, and use the information obtained as a basis for critical reflection”. To put it clear, reflective practice aims at collecting data on what is happening in a language course; analyzing it, gaining insights about teaching-learning practices,</w:t>
      </w:r>
      <w:r w:rsidRPr="00CF3DB4">
        <w:rPr>
          <w:position w:val="0"/>
        </w:rPr>
        <w:t xml:space="preserve"> </w:t>
      </w:r>
      <w:r w:rsidRPr="00CF3DB4">
        <w:rPr>
          <w:rFonts w:eastAsia="Calibri"/>
          <w:noProof/>
          <w:kern w:val="2"/>
          <w:position w:val="0"/>
          <w14:ligatures w14:val="standardContextual"/>
        </w:rPr>
        <w:t>cooperating with those who are curious about reflective teaching methods and conducting classroom-based action research for the purpose of incorporating evidence-based pedagogical updates.</w:t>
      </w:r>
    </w:p>
    <w:p w14:paraId="76B1350B" w14:textId="4AE83AC7" w:rsidR="00CF3DB4" w:rsidRPr="00CF3DB4" w:rsidRDefault="00A530AB" w:rsidP="00AA5DBF">
      <w:pPr>
        <w:pStyle w:val="Titre1"/>
        <w:rPr>
          <w:rFonts w:eastAsia="Calibri"/>
        </w:rPr>
      </w:pPr>
      <w:bookmarkStart w:id="115" w:name="_Toc200486046"/>
      <w:r>
        <w:rPr>
          <w:rFonts w:eastAsia="Calibri"/>
        </w:rPr>
        <w:t xml:space="preserve">1.1.3.1 </w:t>
      </w:r>
      <w:r w:rsidR="00CF3DB4" w:rsidRPr="00CF3DB4">
        <w:rPr>
          <w:rFonts w:eastAsia="Calibri"/>
        </w:rPr>
        <w:t>Peer and Mentor Feedback</w:t>
      </w:r>
      <w:bookmarkEnd w:id="115"/>
    </w:p>
    <w:p w14:paraId="766B125E" w14:textId="77777777" w:rsidR="005B5B87" w:rsidRDefault="00CF3DB4" w:rsidP="005B5B87">
      <w:pPr>
        <w:spacing w:after="160" w:line="480" w:lineRule="auto"/>
        <w:ind w:firstLine="567"/>
        <w:jc w:val="both"/>
        <w:rPr>
          <w:rFonts w:eastAsia="Calibri"/>
          <w:kern w:val="2"/>
          <w:position w:val="0"/>
          <w14:ligatures w14:val="standardContextual"/>
        </w:rPr>
      </w:pPr>
      <w:r w:rsidRPr="00CF3DB4">
        <w:rPr>
          <w:rFonts w:eastAsia="Calibri"/>
          <w:kern w:val="2"/>
          <w:position w:val="0"/>
          <w14:ligatures w14:val="standardContextual"/>
        </w:rPr>
        <w:t>Instructional practices are revised based on feedback received from peers, mentors and personal reflection.</w:t>
      </w:r>
      <w:bookmarkStart w:id="116" w:name="_Hlk195099461"/>
      <w:r w:rsidRPr="00CF3DB4">
        <w:rPr>
          <w:rFonts w:eastAsia="Calibri"/>
          <w:kern w:val="2"/>
          <w:position w:val="0"/>
          <w14:ligatures w14:val="standardContextual"/>
        </w:rPr>
        <w:t xml:space="preserve"> Hattie and Timperley (2007) </w:t>
      </w:r>
      <w:bookmarkEnd w:id="116"/>
      <w:r w:rsidRPr="00CF3DB4">
        <w:rPr>
          <w:rFonts w:eastAsia="Calibri"/>
          <w:kern w:val="2"/>
          <w:position w:val="0"/>
          <w14:ligatures w14:val="standardContextual"/>
        </w:rPr>
        <w:t xml:space="preserve">view feedback as “a consequence of performance”.  It is evident that peer and mentor feedback play a crucial role in teacher’s professional development making instruction and feedback in a continuum (Hattie and Timperley, 2007). </w:t>
      </w:r>
    </w:p>
    <w:p w14:paraId="6E6C3551" w14:textId="263696E5" w:rsidR="005B5B87" w:rsidRDefault="00CF3DB4" w:rsidP="005B5B87">
      <w:pPr>
        <w:spacing w:after="160" w:line="480" w:lineRule="auto"/>
        <w:ind w:firstLine="567"/>
        <w:jc w:val="both"/>
        <w:rPr>
          <w:rFonts w:eastAsia="Calibri"/>
          <w:kern w:val="2"/>
          <w:position w:val="0"/>
          <w14:ligatures w14:val="standardContextual"/>
        </w:rPr>
      </w:pPr>
      <w:r w:rsidRPr="00CF3DB4">
        <w:rPr>
          <w:rFonts w:eastAsia="Calibri"/>
          <w:b/>
          <w:bCs/>
          <w:i/>
          <w:iCs/>
          <w:kern w:val="2"/>
          <w:position w:val="0"/>
          <w14:ligatures w14:val="standardContextual"/>
        </w:rPr>
        <w:t>Peer feedback</w:t>
      </w:r>
      <w:r w:rsidRPr="00CF3DB4">
        <w:rPr>
          <w:rFonts w:eastAsia="Calibri"/>
          <w:kern w:val="2"/>
          <w:position w:val="0"/>
          <w14:ligatures w14:val="standardContextual"/>
        </w:rPr>
        <w:t xml:space="preserve"> refers to any input or insight on teaching methods, assessment literacy, </w:t>
      </w:r>
      <w:proofErr w:type="gramStart"/>
      <w:r w:rsidRPr="00CF3DB4">
        <w:rPr>
          <w:rFonts w:eastAsia="Calibri"/>
          <w:kern w:val="2"/>
          <w:position w:val="0"/>
          <w14:ligatures w14:val="standardContextual"/>
        </w:rPr>
        <w:t>classroom</w:t>
      </w:r>
      <w:proofErr w:type="gramEnd"/>
      <w:r w:rsidRPr="00CF3DB4">
        <w:rPr>
          <w:rFonts w:eastAsia="Calibri"/>
          <w:kern w:val="2"/>
          <w:position w:val="0"/>
          <w14:ligatures w14:val="standardContextual"/>
        </w:rPr>
        <w:t xml:space="preserve"> management or communication skills afforded by colleagues or peers. The quality </w:t>
      </w:r>
      <w:r w:rsidRPr="00CF3DB4">
        <w:rPr>
          <w:rFonts w:eastAsia="Calibri"/>
          <w:kern w:val="2"/>
          <w:position w:val="0"/>
          <w14:ligatures w14:val="standardContextual"/>
        </w:rPr>
        <w:lastRenderedPageBreak/>
        <w:t xml:space="preserve">of work can significantly be enhanced in light of shared experiences, diverse perspectives and constructive criticism that aid identify uncovered gaps and peer observations and </w:t>
      </w:r>
      <w:proofErr w:type="gramStart"/>
      <w:r w:rsidRPr="00CF3DB4">
        <w:rPr>
          <w:rFonts w:eastAsia="Calibri"/>
          <w:kern w:val="2"/>
          <w:position w:val="0"/>
          <w14:ligatures w14:val="standardContextual"/>
        </w:rPr>
        <w:t>discussions which</w:t>
      </w:r>
      <w:proofErr w:type="gramEnd"/>
      <w:r w:rsidRPr="00CF3DB4">
        <w:rPr>
          <w:rFonts w:eastAsia="Calibri"/>
          <w:kern w:val="2"/>
          <w:position w:val="0"/>
          <w14:ligatures w14:val="standardContextual"/>
        </w:rPr>
        <w:t xml:space="preserve"> create collaborative learning environment. </w:t>
      </w:r>
      <w:r w:rsidRPr="00CF3DB4">
        <w:rPr>
          <w:rFonts w:eastAsia="Calibri"/>
          <w:b/>
          <w:bCs/>
          <w:i/>
          <w:iCs/>
          <w:kern w:val="2"/>
          <w:position w:val="0"/>
          <w14:ligatures w14:val="standardContextual"/>
        </w:rPr>
        <w:t>Mentor feedback</w:t>
      </w:r>
      <w:r w:rsidRPr="00CF3DB4">
        <w:rPr>
          <w:rFonts w:eastAsia="Calibri"/>
          <w:kern w:val="2"/>
          <w:position w:val="0"/>
          <w14:ligatures w14:val="standardContextual"/>
        </w:rPr>
        <w:t xml:space="preserve">, on the other hand, </w:t>
      </w:r>
      <w:proofErr w:type="gramStart"/>
      <w:r w:rsidRPr="00CF3DB4">
        <w:rPr>
          <w:rFonts w:eastAsia="Calibri"/>
          <w:kern w:val="2"/>
          <w:position w:val="0"/>
          <w14:ligatures w14:val="standardContextual"/>
        </w:rPr>
        <w:t>is defined</w:t>
      </w:r>
      <w:proofErr w:type="gramEnd"/>
      <w:r w:rsidRPr="00CF3DB4">
        <w:rPr>
          <w:rFonts w:eastAsia="Calibri"/>
          <w:kern w:val="2"/>
          <w:position w:val="0"/>
          <w14:ligatures w14:val="standardContextual"/>
        </w:rPr>
        <w:t xml:space="preserve"> as the guidance and evaluation from experienced individuals in a specific field. In teaching, more experienced mentors guide, share expertise, support and offer feedback to less experienced, pre-service or student teachers</w:t>
      </w:r>
      <w:r w:rsidR="00783BFE">
        <w:rPr>
          <w:rFonts w:eastAsia="Calibri"/>
          <w:kern w:val="2"/>
          <w:position w:val="0"/>
          <w14:ligatures w14:val="standardContextual"/>
        </w:rPr>
        <w:t xml:space="preserve"> </w:t>
      </w:r>
      <w:r w:rsidRPr="00CF3DB4">
        <w:rPr>
          <w:rFonts w:eastAsia="Calibri"/>
          <w:kern w:val="2"/>
          <w:position w:val="0"/>
          <w14:ligatures w14:val="standardContextual"/>
        </w:rPr>
        <w:t>(Hobson et al., 2009). Thus, the mentee can refine their teaching and assessment strategies and effectively address challenges contributing to personal and professional development.</w:t>
      </w:r>
    </w:p>
    <w:p w14:paraId="6A847A58" w14:textId="77777777" w:rsidR="00E8567D" w:rsidRDefault="00CF3DB4" w:rsidP="00E8567D">
      <w:pPr>
        <w:spacing w:after="160" w:line="480" w:lineRule="auto"/>
        <w:ind w:firstLine="567"/>
        <w:jc w:val="both"/>
        <w:rPr>
          <w:rFonts w:eastAsia="Calibri"/>
          <w:kern w:val="2"/>
          <w:position w:val="0"/>
          <w14:ligatures w14:val="standardContextual"/>
        </w:rPr>
      </w:pPr>
      <w:r w:rsidRPr="00CF3DB4">
        <w:rPr>
          <w:rFonts w:eastAsia="Calibri"/>
          <w:kern w:val="2"/>
          <w:position w:val="0"/>
          <w14:ligatures w14:val="standardContextual"/>
        </w:rPr>
        <w:t xml:space="preserve"> Esterhazy et al </w:t>
      </w:r>
      <w:bookmarkStart w:id="117" w:name="_Hlk195156515"/>
      <w:r w:rsidRPr="00CF3DB4">
        <w:rPr>
          <w:rFonts w:eastAsia="Calibri"/>
          <w:kern w:val="2"/>
          <w:position w:val="0"/>
          <w14:ligatures w14:val="standardContextual"/>
        </w:rPr>
        <w:t>(2023)</w:t>
      </w:r>
      <w:bookmarkEnd w:id="117"/>
      <w:r w:rsidRPr="00CF3DB4">
        <w:rPr>
          <w:rFonts w:eastAsia="Calibri"/>
          <w:kern w:val="2"/>
          <w:position w:val="0"/>
          <w14:ligatures w14:val="standardContextual"/>
        </w:rPr>
        <w:t xml:space="preserve"> support the idea that teacher learning communities are a collaborative setting </w:t>
      </w:r>
      <w:sdt>
        <w:sdtPr>
          <w:rPr>
            <w:rFonts w:eastAsia="Calibri"/>
            <w:kern w:val="2"/>
            <w:position w:val="0"/>
            <w14:ligatures w14:val="standardContextual"/>
          </w:rPr>
          <w:id w:val="-280888021"/>
          <w:citation/>
        </w:sdtPr>
        <w:sdtEndPr/>
        <w:sdtContent>
          <w:r w:rsidRPr="00CF3DB4">
            <w:rPr>
              <w:rFonts w:eastAsia="Calibri"/>
              <w:kern w:val="2"/>
              <w:position w:val="0"/>
              <w14:ligatures w14:val="standardContextual"/>
            </w:rPr>
            <w:fldChar w:fldCharType="begin"/>
          </w:r>
          <w:r w:rsidRPr="00CF3DB4">
            <w:rPr>
              <w:rFonts w:eastAsia="Calibri"/>
              <w:kern w:val="2"/>
              <w:position w:val="0"/>
              <w14:ligatures w14:val="standardContextual"/>
            </w:rPr>
            <w:instrText xml:space="preserve"> CITATION Eti99 \l 1033 </w:instrText>
          </w:r>
          <w:r w:rsidRPr="00CF3DB4">
            <w:rPr>
              <w:rFonts w:eastAsia="Calibri"/>
              <w:kern w:val="2"/>
              <w:position w:val="0"/>
              <w14:ligatures w14:val="standardContextual"/>
            </w:rPr>
            <w:fldChar w:fldCharType="separate"/>
          </w:r>
          <w:r w:rsidRPr="00CF3DB4">
            <w:rPr>
              <w:rFonts w:eastAsia="Calibri"/>
              <w:noProof/>
              <w:kern w:val="2"/>
              <w:position w:val="0"/>
              <w14:ligatures w14:val="standardContextual"/>
            </w:rPr>
            <w:t>(Wenger, 1999)</w:t>
          </w:r>
          <w:r w:rsidRPr="00CF3DB4">
            <w:rPr>
              <w:rFonts w:eastAsia="Calibri"/>
              <w:kern w:val="2"/>
              <w:position w:val="0"/>
              <w14:ligatures w14:val="standardContextual"/>
            </w:rPr>
            <w:fldChar w:fldCharType="end"/>
          </w:r>
        </w:sdtContent>
      </w:sdt>
      <w:r w:rsidRPr="00CF3DB4">
        <w:rPr>
          <w:rFonts w:eastAsia="Calibri"/>
          <w:kern w:val="2"/>
          <w:position w:val="0"/>
          <w14:ligatures w14:val="standardContextual"/>
        </w:rPr>
        <w:t xml:space="preserve"> for implementing Teacher Feedback Literacy (TFL) practices. TFL is something a teacher “does” in specific situations rather than something they “have”.  Wexler (2020) also points to the fact that student teachers who receive educational mentoring are more likely to develop into goal-oriented, reflective professionals. </w:t>
      </w:r>
    </w:p>
    <w:p w14:paraId="10B28FC0" w14:textId="3A09E481" w:rsidR="00CF3DB4" w:rsidRPr="00CF3DB4" w:rsidRDefault="00CF3DB4" w:rsidP="00E8567D">
      <w:pPr>
        <w:spacing w:after="160" w:line="480" w:lineRule="auto"/>
        <w:ind w:firstLine="567"/>
        <w:jc w:val="both"/>
        <w:rPr>
          <w:rFonts w:eastAsia="Calibri"/>
          <w:kern w:val="2"/>
          <w:position w:val="0"/>
          <w14:ligatures w14:val="standardContextual"/>
        </w:rPr>
      </w:pPr>
      <w:r w:rsidRPr="00CF3DB4">
        <w:rPr>
          <w:rFonts w:eastAsia="Calibri"/>
          <w:kern w:val="2"/>
          <w:position w:val="0"/>
          <w14:ligatures w14:val="standardContextual"/>
        </w:rPr>
        <w:t xml:space="preserve"> According to </w:t>
      </w:r>
      <w:r w:rsidR="00C6656A" w:rsidRPr="00CF3DB4">
        <w:rPr>
          <w:rFonts w:eastAsia="Calibri"/>
          <w:noProof/>
          <w:kern w:val="2"/>
          <w:position w:val="0"/>
          <w14:ligatures w14:val="standardContextual"/>
        </w:rPr>
        <w:t>Tulgar</w:t>
      </w:r>
      <w:r w:rsidR="00C6656A">
        <w:rPr>
          <w:rFonts w:eastAsia="Calibri"/>
          <w:noProof/>
          <w:kern w:val="2"/>
          <w:position w:val="0"/>
          <w14:ligatures w14:val="standardContextual"/>
        </w:rPr>
        <w:t xml:space="preserve"> </w:t>
      </w:r>
      <w:r w:rsidR="00C6656A" w:rsidRPr="00CF3DB4">
        <w:rPr>
          <w:rFonts w:eastAsia="Calibri"/>
          <w:noProof/>
          <w:kern w:val="2"/>
          <w:position w:val="0"/>
          <w14:ligatures w14:val="standardContextual"/>
        </w:rPr>
        <w:t>(2019</w:t>
      </w:r>
      <w:r w:rsidR="000A3F72" w:rsidRPr="00CF3DB4">
        <w:rPr>
          <w:rFonts w:eastAsia="Calibri"/>
          <w:noProof/>
          <w:kern w:val="2"/>
          <w:position w:val="0"/>
          <w14:ligatures w14:val="standardContextual"/>
        </w:rPr>
        <w:t>)</w:t>
      </w:r>
      <w:r w:rsidR="000A3F72" w:rsidRPr="00CF3DB4">
        <w:rPr>
          <w:rFonts w:eastAsia="Calibri"/>
          <w:kern w:val="2"/>
          <w:position w:val="0"/>
          <w14:ligatures w14:val="standardContextual"/>
        </w:rPr>
        <w:t>,</w:t>
      </w:r>
      <w:r w:rsidRPr="00CF3DB4">
        <w:rPr>
          <w:rFonts w:eastAsia="Calibri"/>
          <w:kern w:val="2"/>
          <w:position w:val="0"/>
          <w14:ligatures w14:val="standardContextual"/>
        </w:rPr>
        <w:t xml:space="preserve"> a variety of sources, such as supervisors, coordinators and practice school students, can provide teachers with feedback. It is relationship-based, dynamic, and impacted by both institutional and emotional elements.  Even though relevant feedback </w:t>
      </w:r>
      <w:proofErr w:type="gramStart"/>
      <w:r w:rsidRPr="00CF3DB4">
        <w:rPr>
          <w:rFonts w:eastAsia="Calibri"/>
          <w:kern w:val="2"/>
          <w:position w:val="0"/>
          <w14:ligatures w14:val="standardContextual"/>
        </w:rPr>
        <w:t>is</w:t>
      </w:r>
      <w:proofErr w:type="gramEnd"/>
      <w:r w:rsidRPr="00CF3DB4">
        <w:rPr>
          <w:rFonts w:eastAsia="Calibri"/>
          <w:kern w:val="2"/>
          <w:position w:val="0"/>
          <w14:ligatures w14:val="standardContextual"/>
        </w:rPr>
        <w:t xml:space="preserve"> still necessary and desired for ongoing development, many new teachers report a decrease in it after their student teaching experience. Thus, feedback needs to be frequent, targeted, specific, immediate, accurate,</w:t>
      </w:r>
      <w:r w:rsidRPr="00CF3DB4">
        <w:rPr>
          <w:rFonts w:ascii="Calibri" w:eastAsia="Calibri" w:hAnsi="Calibri" w:cs="Arial"/>
          <w:kern w:val="2"/>
          <w:position w:val="0"/>
          <w:sz w:val="22"/>
          <w:szCs w:val="22"/>
          <w14:ligatures w14:val="standardContextual"/>
        </w:rPr>
        <w:t xml:space="preserve"> </w:t>
      </w:r>
      <w:r w:rsidRPr="00CF3DB4">
        <w:rPr>
          <w:rFonts w:eastAsia="Calibri"/>
          <w:kern w:val="2"/>
          <w:position w:val="0"/>
          <w14:ligatures w14:val="standardContextual"/>
        </w:rPr>
        <w:t>non-judgmental, iterative</w:t>
      </w:r>
      <w:proofErr w:type="gramStart"/>
      <w:r w:rsidRPr="00CF3DB4">
        <w:rPr>
          <w:rFonts w:eastAsia="Calibri"/>
          <w:kern w:val="2"/>
          <w:position w:val="0"/>
          <w14:ligatures w14:val="standardContextual"/>
        </w:rPr>
        <w:t>;</w:t>
      </w:r>
      <w:proofErr w:type="gramEnd"/>
      <w:r w:rsidRPr="00CF3DB4">
        <w:rPr>
          <w:rFonts w:eastAsia="Calibri"/>
          <w:kern w:val="2"/>
          <w:position w:val="0"/>
          <w14:ligatures w14:val="standardContextual"/>
        </w:rPr>
        <w:t xml:space="preserve"> “feed forward” and transformative. </w:t>
      </w:r>
      <w:sdt>
        <w:sdtPr>
          <w:rPr>
            <w:rFonts w:eastAsia="Calibri"/>
            <w:kern w:val="2"/>
            <w:position w:val="0"/>
            <w14:ligatures w14:val="standardContextual"/>
          </w:rPr>
          <w:id w:val="-2077882267"/>
          <w:citation/>
        </w:sdtPr>
        <w:sdtEndPr/>
        <w:sdtContent>
          <w:r w:rsidRPr="00CF3DB4">
            <w:rPr>
              <w:rFonts w:eastAsia="Calibri"/>
              <w:kern w:val="2"/>
              <w:position w:val="0"/>
              <w14:ligatures w14:val="standardContextual"/>
            </w:rPr>
            <w:fldChar w:fldCharType="begin"/>
          </w:r>
          <w:r w:rsidRPr="00CF3DB4">
            <w:rPr>
              <w:rFonts w:eastAsia="Calibri"/>
              <w:kern w:val="2"/>
              <w:position w:val="0"/>
              <w14:ligatures w14:val="standardContextual"/>
            </w:rPr>
            <w:instrText xml:space="preserve">CITATION The \l 1033 </w:instrText>
          </w:r>
          <w:r w:rsidRPr="00CF3DB4">
            <w:rPr>
              <w:rFonts w:eastAsia="Calibri"/>
              <w:kern w:val="2"/>
              <w:position w:val="0"/>
              <w14:ligatures w14:val="standardContextual"/>
            </w:rPr>
            <w:fldChar w:fldCharType="separate"/>
          </w:r>
          <w:r w:rsidRPr="00CF3DB4">
            <w:rPr>
              <w:rFonts w:eastAsia="Calibri"/>
              <w:noProof/>
              <w:kern w:val="2"/>
              <w:position w:val="0"/>
              <w14:ligatures w14:val="standardContextual"/>
            </w:rPr>
            <w:t>(Omer, A., &amp; Abdularhim, M, 2017)</w:t>
          </w:r>
          <w:r w:rsidRPr="00CF3DB4">
            <w:rPr>
              <w:rFonts w:eastAsia="Calibri"/>
              <w:kern w:val="2"/>
              <w:position w:val="0"/>
              <w14:ligatures w14:val="standardContextual"/>
            </w:rPr>
            <w:fldChar w:fldCharType="end"/>
          </w:r>
        </w:sdtContent>
      </w:sdt>
      <w:r w:rsidRPr="00CF3DB4">
        <w:rPr>
          <w:rFonts w:eastAsia="Calibri"/>
          <w:kern w:val="2"/>
          <w:position w:val="0"/>
          <w14:ligatures w14:val="standardContextual"/>
        </w:rPr>
        <w:t>.</w:t>
      </w:r>
    </w:p>
    <w:p w14:paraId="2D41681B" w14:textId="4AC4A78C" w:rsidR="00CF3DB4" w:rsidRPr="00CF3DB4" w:rsidRDefault="00EC79E7" w:rsidP="00AA5DBF">
      <w:pPr>
        <w:pStyle w:val="Titre1"/>
        <w:rPr>
          <w:rFonts w:eastAsia="Calibri"/>
        </w:rPr>
      </w:pPr>
      <w:bookmarkStart w:id="118" w:name="_Toc200486047"/>
      <w:r>
        <w:rPr>
          <w:rFonts w:eastAsia="Calibri"/>
        </w:rPr>
        <w:t xml:space="preserve">1.1.3.2 </w:t>
      </w:r>
      <w:r w:rsidR="00CF3DB4" w:rsidRPr="00CF3DB4">
        <w:rPr>
          <w:rFonts w:eastAsia="Calibri"/>
        </w:rPr>
        <w:t>Reflective Practice</w:t>
      </w:r>
      <w:bookmarkEnd w:id="118"/>
    </w:p>
    <w:p w14:paraId="374C07CD" w14:textId="77777777" w:rsidR="00FF0165" w:rsidRDefault="00CF3DB4" w:rsidP="00E06AB5">
      <w:pPr>
        <w:spacing w:after="160" w:line="480" w:lineRule="auto"/>
        <w:ind w:firstLine="567"/>
        <w:jc w:val="both"/>
        <w:rPr>
          <w:rFonts w:eastAsia="Calibri"/>
          <w:kern w:val="2"/>
          <w:position w:val="0"/>
          <w14:ligatures w14:val="standardContextual"/>
        </w:rPr>
      </w:pPr>
      <w:r w:rsidRPr="00CF3DB4">
        <w:rPr>
          <w:rFonts w:eastAsia="Calibri"/>
          <w:kern w:val="2"/>
          <w:position w:val="0"/>
          <w14:ligatures w14:val="standardContextual"/>
        </w:rPr>
        <w:t xml:space="preserve">Evaluating one’s own performance, skills and knowledge </w:t>
      </w:r>
      <w:proofErr w:type="gramStart"/>
      <w:r w:rsidRPr="00CF3DB4">
        <w:rPr>
          <w:rFonts w:eastAsia="Calibri"/>
          <w:kern w:val="2"/>
          <w:position w:val="0"/>
          <w14:ligatures w14:val="standardContextual"/>
        </w:rPr>
        <w:t>is referred</w:t>
      </w:r>
      <w:proofErr w:type="gramEnd"/>
      <w:r w:rsidRPr="00CF3DB4">
        <w:rPr>
          <w:rFonts w:eastAsia="Calibri"/>
          <w:kern w:val="2"/>
          <w:position w:val="0"/>
          <w14:ligatures w14:val="standardContextual"/>
        </w:rPr>
        <w:t xml:space="preserve"> to as self-assessment. </w:t>
      </w:r>
      <w:proofErr w:type="gramStart"/>
      <w:r w:rsidRPr="00CF3DB4">
        <w:rPr>
          <w:rFonts w:eastAsia="Calibri"/>
          <w:kern w:val="2"/>
          <w:position w:val="0"/>
          <w14:ligatures w14:val="standardContextual"/>
        </w:rPr>
        <w:t>It is a critical ongoing element of professional growth in which teachers reflect on lessons and analyze student outcomes.</w:t>
      </w:r>
      <w:proofErr w:type="gramEnd"/>
      <w:r w:rsidRPr="00CF3DB4">
        <w:rPr>
          <w:rFonts w:eastAsia="Calibri"/>
          <w:kern w:val="2"/>
          <w:position w:val="0"/>
          <w14:ligatures w14:val="standardContextual"/>
        </w:rPr>
        <w:t xml:space="preserve"> </w:t>
      </w:r>
      <w:proofErr w:type="spellStart"/>
      <w:r w:rsidRPr="00CF3DB4">
        <w:rPr>
          <w:rFonts w:eastAsia="Calibri"/>
          <w:kern w:val="2"/>
          <w:position w:val="0"/>
          <w14:ligatures w14:val="standardContextual"/>
        </w:rPr>
        <w:t>Schön</w:t>
      </w:r>
      <w:proofErr w:type="spellEnd"/>
      <w:r w:rsidRPr="00CF3DB4">
        <w:rPr>
          <w:rFonts w:eastAsia="Calibri"/>
          <w:kern w:val="2"/>
          <w:position w:val="0"/>
          <w14:ligatures w14:val="standardContextual"/>
        </w:rPr>
        <w:t xml:space="preserve"> (1983) proposes three forms of self-reflection: </w:t>
      </w:r>
      <w:r w:rsidRPr="00CF3DB4">
        <w:rPr>
          <w:rFonts w:eastAsia="Calibri"/>
          <w:kern w:val="2"/>
          <w:position w:val="0"/>
          <w14:ligatures w14:val="standardContextual"/>
        </w:rPr>
        <w:lastRenderedPageBreak/>
        <w:t xml:space="preserve">reflection-in-action, reflection-on-action and reflection-for-action. While reflection-in-action takes place during instruction reacting for the unexpected; as decision-making is a part of teaching, reflection-on-action happens following instruction. The latter </w:t>
      </w:r>
      <w:proofErr w:type="gramStart"/>
      <w:r w:rsidRPr="00CF3DB4">
        <w:rPr>
          <w:rFonts w:eastAsia="Calibri"/>
          <w:kern w:val="2"/>
          <w:position w:val="0"/>
          <w14:ligatures w14:val="standardContextual"/>
        </w:rPr>
        <w:t>is usually held</w:t>
      </w:r>
      <w:proofErr w:type="gramEnd"/>
      <w:r w:rsidRPr="00CF3DB4">
        <w:rPr>
          <w:rFonts w:eastAsia="Calibri"/>
          <w:kern w:val="2"/>
          <w:position w:val="0"/>
          <w14:ligatures w14:val="standardContextual"/>
        </w:rPr>
        <w:t xml:space="preserve"> after the lesson has been delivered opening the door for synthesizing what has been covered. It aids practitioners to strengthen their workplace skills</w:t>
      </w:r>
      <w:sdt>
        <w:sdtPr>
          <w:rPr>
            <w:rFonts w:eastAsia="Calibri"/>
            <w:kern w:val="2"/>
            <w:position w:val="0"/>
            <w14:ligatures w14:val="standardContextual"/>
          </w:rPr>
          <w:id w:val="1237435004"/>
          <w:citation/>
        </w:sdtPr>
        <w:sdtEndPr/>
        <w:sdtContent>
          <w:r w:rsidRPr="00CF3DB4">
            <w:rPr>
              <w:rFonts w:eastAsia="Calibri"/>
              <w:kern w:val="2"/>
              <w:position w:val="0"/>
              <w14:ligatures w14:val="standardContextual"/>
            </w:rPr>
            <w:fldChar w:fldCharType="begin"/>
          </w:r>
          <w:r w:rsidRPr="00CF3DB4">
            <w:rPr>
              <w:rFonts w:eastAsia="Calibri"/>
              <w:kern w:val="2"/>
              <w:position w:val="0"/>
              <w14:ligatures w14:val="standardContextual"/>
            </w:rPr>
            <w:instrText xml:space="preserve">CITATION Pea \l 1033 </w:instrText>
          </w:r>
          <w:r w:rsidRPr="00CF3DB4">
            <w:rPr>
              <w:rFonts w:eastAsia="Calibri"/>
              <w:kern w:val="2"/>
              <w:position w:val="0"/>
              <w14:ligatures w14:val="standardContextual"/>
            </w:rPr>
            <w:fldChar w:fldCharType="separate"/>
          </w:r>
          <w:r w:rsidRPr="00CF3DB4">
            <w:rPr>
              <w:rFonts w:eastAsia="Calibri"/>
              <w:noProof/>
              <w:kern w:val="2"/>
              <w:position w:val="0"/>
              <w14:ligatures w14:val="standardContextual"/>
            </w:rPr>
            <w:t xml:space="preserve"> (Pearce, 2003)</w:t>
          </w:r>
          <w:r w:rsidRPr="00CF3DB4">
            <w:rPr>
              <w:rFonts w:eastAsia="Calibri"/>
              <w:kern w:val="2"/>
              <w:position w:val="0"/>
              <w14:ligatures w14:val="standardContextual"/>
            </w:rPr>
            <w:fldChar w:fldCharType="end"/>
          </w:r>
        </w:sdtContent>
      </w:sdt>
      <w:r w:rsidRPr="00CF3DB4">
        <w:rPr>
          <w:rFonts w:eastAsia="Calibri"/>
          <w:kern w:val="2"/>
          <w:position w:val="0"/>
          <w14:ligatures w14:val="standardContextual"/>
        </w:rPr>
        <w:t xml:space="preserve">. </w:t>
      </w:r>
    </w:p>
    <w:p w14:paraId="7FF25415" w14:textId="3F6B247B" w:rsidR="00D20CC2" w:rsidRDefault="00CF3DB4" w:rsidP="00D20CC2">
      <w:pPr>
        <w:spacing w:after="160" w:line="480" w:lineRule="auto"/>
        <w:ind w:firstLine="567"/>
        <w:jc w:val="both"/>
        <w:rPr>
          <w:rFonts w:eastAsia="Calibri"/>
          <w:kern w:val="2"/>
          <w:position w:val="0"/>
          <w14:ligatures w14:val="standardContextual"/>
        </w:rPr>
      </w:pPr>
      <w:r w:rsidRPr="00CF3DB4">
        <w:rPr>
          <w:rFonts w:eastAsia="Calibri"/>
          <w:kern w:val="2"/>
          <w:position w:val="0"/>
          <w14:ligatures w14:val="standardContextual"/>
        </w:rPr>
        <w:t xml:space="preserve">Despite the real-time </w:t>
      </w:r>
      <w:proofErr w:type="gramStart"/>
      <w:r w:rsidRPr="00CF3DB4">
        <w:rPr>
          <w:rFonts w:eastAsia="Calibri"/>
          <w:kern w:val="2"/>
          <w:position w:val="0"/>
          <w14:ligatures w14:val="standardContextual"/>
        </w:rPr>
        <w:t>refection which</w:t>
      </w:r>
      <w:proofErr w:type="gramEnd"/>
      <w:r w:rsidRPr="00CF3DB4">
        <w:rPr>
          <w:rFonts w:eastAsia="Calibri"/>
          <w:kern w:val="2"/>
          <w:position w:val="0"/>
          <w14:ligatures w14:val="standardContextual"/>
        </w:rPr>
        <w:t xml:space="preserve"> prioritizes cognitive processes such as activating prior schemata, the retrospective one places greater importance on metacognition</w:t>
      </w:r>
      <w:r w:rsidRPr="00CF3DB4">
        <w:rPr>
          <w:rFonts w:eastAsia="Calibri"/>
          <w:noProof/>
          <w:kern w:val="2"/>
          <w:position w:val="0"/>
          <w14:ligatures w14:val="standardContextual"/>
        </w:rPr>
        <w:t xml:space="preserve"> (</w:t>
      </w:r>
      <w:r w:rsidRPr="00CF3DB4">
        <w:rPr>
          <w:rFonts w:eastAsia="Calibri"/>
          <w:kern w:val="2"/>
          <w:position w:val="0"/>
          <w14:ligatures w14:val="standardContextual"/>
        </w:rPr>
        <w:t>Marianne. C.M et al, 2014, 2001, 1991, p. 615). The third dimension is anticipatory, solution oriented and continuous</w:t>
      </w:r>
      <w:r w:rsidR="00A97AB8">
        <w:rPr>
          <w:rFonts w:eastAsia="Calibri"/>
          <w:kern w:val="2"/>
          <w:position w:val="0"/>
          <w14:ligatures w14:val="standardContextual"/>
        </w:rPr>
        <w:t xml:space="preserve"> </w:t>
      </w:r>
      <w:r w:rsidRPr="00CF3DB4">
        <w:rPr>
          <w:rFonts w:eastAsia="Calibri"/>
          <w:kern w:val="2"/>
          <w:position w:val="0"/>
          <w14:ligatures w14:val="standardContextual"/>
        </w:rPr>
        <w:t xml:space="preserve">(Dewy, 1933). It </w:t>
      </w:r>
      <w:proofErr w:type="gramStart"/>
      <w:r w:rsidRPr="00CF3DB4">
        <w:rPr>
          <w:rFonts w:eastAsia="Calibri"/>
          <w:kern w:val="2"/>
          <w:position w:val="0"/>
          <w14:ligatures w14:val="standardContextual"/>
        </w:rPr>
        <w:t>is evidently informed and reinforced by the former aspects leading instructors to plan applying real-world effects of reflective analysis</w:t>
      </w:r>
      <w:proofErr w:type="gramEnd"/>
      <w:r w:rsidRPr="00CF3DB4">
        <w:rPr>
          <w:rFonts w:eastAsia="Calibri"/>
          <w:kern w:val="2"/>
          <w:position w:val="0"/>
          <w14:ligatures w14:val="standardContextual"/>
        </w:rPr>
        <w:t xml:space="preserve">.  All kinds of reflection, according to the theorist </w:t>
      </w:r>
      <w:proofErr w:type="spellStart"/>
      <w:r w:rsidRPr="00CF3DB4">
        <w:rPr>
          <w:rFonts w:eastAsia="Calibri"/>
          <w:kern w:val="2"/>
          <w:position w:val="0"/>
          <w14:ligatures w14:val="standardContextual"/>
        </w:rPr>
        <w:t>Schön</w:t>
      </w:r>
      <w:proofErr w:type="spellEnd"/>
      <w:r w:rsidRPr="00CF3DB4">
        <w:rPr>
          <w:rFonts w:eastAsia="Calibri"/>
          <w:kern w:val="2"/>
          <w:position w:val="0"/>
          <w14:ligatures w14:val="standardContextual"/>
        </w:rPr>
        <w:t xml:space="preserve">, allow teachers </w:t>
      </w:r>
      <w:proofErr w:type="gramStart"/>
      <w:r w:rsidRPr="00CF3DB4">
        <w:rPr>
          <w:rFonts w:eastAsia="Calibri"/>
          <w:kern w:val="2"/>
          <w:position w:val="0"/>
          <w14:ligatures w14:val="standardContextual"/>
        </w:rPr>
        <w:t>to analytically consider</w:t>
      </w:r>
      <w:proofErr w:type="gramEnd"/>
      <w:r w:rsidRPr="00CF3DB4">
        <w:rPr>
          <w:rFonts w:eastAsia="Calibri"/>
          <w:kern w:val="2"/>
          <w:position w:val="0"/>
          <w14:ligatures w14:val="standardContextual"/>
        </w:rPr>
        <w:t xml:space="preserve"> instructional experiences to foster their professional growth. </w:t>
      </w:r>
    </w:p>
    <w:p w14:paraId="6E6C8651" w14:textId="380ED56A" w:rsidR="003275A0" w:rsidRDefault="00CF3DB4" w:rsidP="003275A0">
      <w:pPr>
        <w:spacing w:after="160" w:line="480" w:lineRule="auto"/>
        <w:ind w:firstLine="567"/>
        <w:jc w:val="both"/>
        <w:rPr>
          <w:rFonts w:eastAsia="Calibri"/>
          <w:kern w:val="2"/>
          <w:position w:val="0"/>
          <w14:ligatures w14:val="standardContextual"/>
        </w:rPr>
      </w:pPr>
      <w:r w:rsidRPr="00CF3DB4">
        <w:rPr>
          <w:rFonts w:eastAsia="Calibri"/>
          <w:kern w:val="2"/>
          <w:position w:val="0"/>
          <w14:ligatures w14:val="standardContextual"/>
        </w:rPr>
        <w:t xml:space="preserve">For instance, </w:t>
      </w:r>
      <w:r w:rsidRPr="00CF3DB4">
        <w:rPr>
          <w:rFonts w:eastAsia="Calibri"/>
          <w:noProof/>
          <w:position w:val="0"/>
          <w14:ligatures w14:val="standardContextual"/>
        </w:rPr>
        <w:t xml:space="preserve">Elfeky et al </w:t>
      </w:r>
      <w:r w:rsidR="00630F50" w:rsidRPr="00CF3DB4">
        <w:rPr>
          <w:rFonts w:eastAsia="Calibri"/>
          <w:noProof/>
          <w:position w:val="0"/>
          <w14:ligatures w14:val="standardContextual"/>
        </w:rPr>
        <w:t>(</w:t>
      </w:r>
      <w:r w:rsidRPr="00CF3DB4">
        <w:rPr>
          <w:rFonts w:eastAsia="Calibri"/>
          <w:noProof/>
          <w:position w:val="0"/>
          <w14:ligatures w14:val="standardContextual"/>
        </w:rPr>
        <w:t>2017)</w:t>
      </w:r>
      <w:r w:rsidRPr="00CF3DB4">
        <w:rPr>
          <w:rFonts w:eastAsia="Calibri"/>
          <w:position w:val="0"/>
          <w14:ligatures w14:val="standardContextual"/>
        </w:rPr>
        <w:t xml:space="preserve"> demonstrate that delayed feedback is more effective than immediate feedback for improving teachers’ lesson planning, implementing and assessment skills.  Relevant evidence is the mean scores differences between participants' performance in both experimental groups regarding student teachers' skill of assessing their students' achievement. Those who received delayed feedback performed higher than </w:t>
      </w:r>
      <w:bookmarkStart w:id="119" w:name="_Hlk195304017"/>
      <w:r w:rsidRPr="00CF3DB4">
        <w:rPr>
          <w:rFonts w:eastAsia="Calibri"/>
          <w:position w:val="0"/>
          <w14:ligatures w14:val="standardContextual"/>
        </w:rPr>
        <w:t xml:space="preserve">(14.20) </w:t>
      </w:r>
      <w:bookmarkEnd w:id="119"/>
      <w:r w:rsidRPr="00CF3DB4">
        <w:rPr>
          <w:rFonts w:eastAsia="Calibri"/>
          <w:position w:val="0"/>
          <w14:ligatures w14:val="standardContextual"/>
        </w:rPr>
        <w:t xml:space="preserve">participants who synthesized immediate feedback (12.16) for training. Allowing more time for reflection and self-regulation emphasizes the significance and effectiveness of delayed corrective feedback in fostering and improving instructional skills. </w:t>
      </w:r>
    </w:p>
    <w:p w14:paraId="0B6A6D96" w14:textId="5FD0F5A4" w:rsidR="00CF3DB4" w:rsidRPr="00CF3DB4" w:rsidRDefault="00CF3DB4" w:rsidP="003275A0">
      <w:pPr>
        <w:spacing w:after="160" w:line="480" w:lineRule="auto"/>
        <w:ind w:firstLine="567"/>
        <w:jc w:val="both"/>
        <w:rPr>
          <w:rFonts w:eastAsia="Calibri"/>
          <w:kern w:val="2"/>
          <w:position w:val="0"/>
          <w14:ligatures w14:val="standardContextual"/>
        </w:rPr>
      </w:pPr>
      <w:r w:rsidRPr="00CF3DB4">
        <w:rPr>
          <w:rFonts w:eastAsia="Calibri"/>
          <w:kern w:val="2"/>
          <w:position w:val="0"/>
          <w14:ligatures w14:val="standardContextual"/>
        </w:rPr>
        <w:t xml:space="preserve"> One theoretical model that students and teachers frequently utilize as a basis for reflective practices is the Gibbs' Reflective Cycle</w:t>
      </w:r>
      <w:sdt>
        <w:sdtPr>
          <w:rPr>
            <w:rFonts w:eastAsia="Calibri"/>
            <w:kern w:val="2"/>
            <w:position w:val="0"/>
            <w14:ligatures w14:val="standardContextual"/>
          </w:rPr>
          <w:id w:val="336039416"/>
          <w:citation/>
        </w:sdtPr>
        <w:sdtEndPr/>
        <w:sdtContent>
          <w:r w:rsidRPr="00CF3DB4">
            <w:rPr>
              <w:rFonts w:eastAsia="Calibri"/>
              <w:kern w:val="2"/>
              <w:position w:val="0"/>
              <w14:ligatures w14:val="standardContextual"/>
            </w:rPr>
            <w:fldChar w:fldCharType="begin"/>
          </w:r>
          <w:r w:rsidRPr="00CF3DB4">
            <w:rPr>
              <w:rFonts w:eastAsia="Calibri"/>
              <w:kern w:val="2"/>
              <w:position w:val="0"/>
              <w14:ligatures w14:val="standardContextual"/>
            </w:rPr>
            <w:instrText xml:space="preserve">CITATION DeR03 \t  \l 1033 </w:instrText>
          </w:r>
          <w:r w:rsidRPr="00CF3DB4">
            <w:rPr>
              <w:rFonts w:eastAsia="Calibri"/>
              <w:kern w:val="2"/>
              <w:position w:val="0"/>
              <w14:ligatures w14:val="standardContextual"/>
            </w:rPr>
            <w:fldChar w:fldCharType="separate"/>
          </w:r>
          <w:bookmarkStart w:id="120" w:name="_Hlk195673452"/>
          <w:r w:rsidRPr="00CF3DB4">
            <w:rPr>
              <w:rFonts w:eastAsia="Calibri"/>
              <w:noProof/>
              <w:kern w:val="2"/>
              <w:position w:val="0"/>
              <w14:ligatures w14:val="standardContextual"/>
            </w:rPr>
            <w:t xml:space="preserve"> (Pearce, 2003)</w:t>
          </w:r>
          <w:bookmarkEnd w:id="120"/>
          <w:r w:rsidRPr="00CF3DB4">
            <w:rPr>
              <w:rFonts w:eastAsia="Calibri"/>
              <w:kern w:val="2"/>
              <w:position w:val="0"/>
              <w14:ligatures w14:val="standardContextual"/>
            </w:rPr>
            <w:fldChar w:fldCharType="end"/>
          </w:r>
        </w:sdtContent>
      </w:sdt>
      <w:r w:rsidRPr="00CF3DB4">
        <w:rPr>
          <w:rFonts w:eastAsia="Calibri"/>
          <w:kern w:val="2"/>
          <w:position w:val="0"/>
          <w14:ligatures w14:val="standardContextual"/>
        </w:rPr>
        <w:t xml:space="preserve">. Gibbs </w:t>
      </w:r>
      <w:bookmarkStart w:id="121" w:name="_Hlk195366742"/>
      <w:r w:rsidRPr="00CF3DB4">
        <w:rPr>
          <w:rFonts w:eastAsia="Calibri"/>
          <w:kern w:val="2"/>
          <w:position w:val="0"/>
          <w14:ligatures w14:val="standardContextual"/>
        </w:rPr>
        <w:t>(1988)</w:t>
      </w:r>
      <w:bookmarkEnd w:id="121"/>
      <w:r w:rsidRPr="00CF3DB4">
        <w:rPr>
          <w:rFonts w:eastAsia="Calibri"/>
          <w:kern w:val="2"/>
          <w:position w:val="0"/>
          <w14:ligatures w14:val="standardContextual"/>
        </w:rPr>
        <w:t xml:space="preserve"> developed this paradigm to guide participants evaluate their own thoughts, feelings and actions while critically analyzing situations. This experiential learning theory-informed framework consists of six </w:t>
      </w:r>
      <w:r w:rsidRPr="00CF3DB4">
        <w:rPr>
          <w:rFonts w:eastAsia="Calibri"/>
          <w:kern w:val="2"/>
          <w:position w:val="0"/>
          <w14:ligatures w14:val="standardContextual"/>
        </w:rPr>
        <w:lastRenderedPageBreak/>
        <w:t>iterative stages that foster deep reflection on experiences, promotes learning and professional development and recommends future actions.</w:t>
      </w:r>
      <w:r w:rsidRPr="00CF3DB4">
        <w:rPr>
          <w:position w:val="0"/>
        </w:rPr>
        <w:t xml:space="preserve"> </w:t>
      </w:r>
      <w:r w:rsidRPr="00CF3DB4">
        <w:rPr>
          <w:rFonts w:eastAsia="Calibri"/>
          <w:kern w:val="2"/>
          <w:position w:val="0"/>
          <w14:ligatures w14:val="standardContextual"/>
        </w:rPr>
        <w:t xml:space="preserve">By completing a cyclical series of tasks, including describing, feeling, assessing, analyzing, concluding, and action planning, students can connect theory and practice using the reflective learning cycle that Gibbs (1988) outlines in his book Learning by Doing as illustrated in the diagram below. </w:t>
      </w:r>
      <w:proofErr w:type="gramStart"/>
      <w:r w:rsidRPr="00CF3DB4">
        <w:rPr>
          <w:rFonts w:eastAsia="Calibri"/>
          <w:kern w:val="2"/>
          <w:position w:val="0"/>
          <w14:ligatures w14:val="standardContextual"/>
        </w:rPr>
        <w:t>In a nutshell</w:t>
      </w:r>
      <w:proofErr w:type="gramEnd"/>
      <w:r w:rsidRPr="00CF3DB4">
        <w:rPr>
          <w:rFonts w:eastAsia="Calibri"/>
          <w:kern w:val="2"/>
          <w:position w:val="0"/>
          <w14:ligatures w14:val="standardContextual"/>
        </w:rPr>
        <w:t xml:space="preserve">, this proactive paradigm has had a significant impact on programs for teacher development. </w:t>
      </w:r>
    </w:p>
    <w:p w14:paraId="0CFABAC2" w14:textId="77777777" w:rsidR="00CF3DB4" w:rsidRPr="00CF3DB4" w:rsidRDefault="00CF3DB4" w:rsidP="00CF3DB4">
      <w:pPr>
        <w:keepNext/>
        <w:spacing w:after="160" w:line="360" w:lineRule="auto"/>
        <w:jc w:val="both"/>
        <w:rPr>
          <w:rFonts w:ascii="Calibri" w:eastAsia="Calibri" w:hAnsi="Calibri" w:cs="Arial"/>
          <w:kern w:val="2"/>
          <w:position w:val="0"/>
          <w:sz w:val="22"/>
          <w:szCs w:val="22"/>
          <w14:ligatures w14:val="standardContextual"/>
        </w:rPr>
      </w:pPr>
      <w:r w:rsidRPr="00CF3DB4">
        <w:rPr>
          <w:rFonts w:eastAsia="Calibri"/>
          <w:noProof/>
          <w:kern w:val="2"/>
          <w:position w:val="0"/>
          <w:lang w:val="fr-FR" w:eastAsia="fr-FR"/>
          <w14:ligatures w14:val="standardContextual"/>
        </w:rPr>
        <w:drawing>
          <wp:inline distT="0" distB="0" distL="0" distR="0" wp14:anchorId="52B5DC33" wp14:editId="25CD64D3">
            <wp:extent cx="5124450" cy="2971800"/>
            <wp:effectExtent l="0" t="0" r="0" b="19050"/>
            <wp:docPr id="886032575" name="Diagram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8" r:lo="rId29" r:qs="rId30" r:cs="rId31"/>
              </a:graphicData>
            </a:graphic>
          </wp:inline>
        </w:drawing>
      </w:r>
    </w:p>
    <w:p w14:paraId="4ED0DF1E" w14:textId="34E6CEFB" w:rsidR="001E0628" w:rsidRDefault="00CF3DB4" w:rsidP="00CF3DB4">
      <w:pPr>
        <w:spacing w:after="200"/>
        <w:jc w:val="both"/>
        <w:rPr>
          <w:rFonts w:eastAsia="Calibri"/>
          <w:color w:val="000000"/>
          <w:kern w:val="2"/>
          <w:position w:val="0"/>
          <w14:ligatures w14:val="standardContextual"/>
        </w:rPr>
      </w:pPr>
      <w:bookmarkStart w:id="122" w:name="_Toc199832201"/>
      <w:r w:rsidRPr="00CF3DB4">
        <w:rPr>
          <w:rFonts w:eastAsia="Calibri"/>
          <w:b/>
          <w:bCs/>
          <w:color w:val="000000"/>
          <w:kern w:val="2"/>
          <w:position w:val="0"/>
          <w14:ligatures w14:val="standardContextual"/>
        </w:rPr>
        <w:t xml:space="preserve">Figure </w:t>
      </w:r>
      <w:r w:rsidRPr="008059BB">
        <w:rPr>
          <w:rFonts w:eastAsia="Calibri"/>
          <w:b/>
          <w:bCs/>
          <w:color w:val="000000"/>
          <w:kern w:val="2"/>
          <w:position w:val="0"/>
          <w14:ligatures w14:val="standardContextual"/>
        </w:rPr>
        <w:fldChar w:fldCharType="begin"/>
      </w:r>
      <w:r w:rsidRPr="008059BB">
        <w:rPr>
          <w:rFonts w:eastAsia="Calibri"/>
          <w:b/>
          <w:bCs/>
          <w:color w:val="000000"/>
          <w:kern w:val="2"/>
          <w:position w:val="0"/>
          <w14:ligatures w14:val="standardContextual"/>
        </w:rPr>
        <w:instrText xml:space="preserve"> SEQ Figure \* ARABIC </w:instrText>
      </w:r>
      <w:r w:rsidRPr="008059BB">
        <w:rPr>
          <w:rFonts w:eastAsia="Calibri"/>
          <w:b/>
          <w:bCs/>
          <w:color w:val="000000"/>
          <w:kern w:val="2"/>
          <w:position w:val="0"/>
          <w14:ligatures w14:val="standardContextual"/>
        </w:rPr>
        <w:fldChar w:fldCharType="separate"/>
      </w:r>
      <w:r w:rsidR="00DC3231">
        <w:rPr>
          <w:rFonts w:eastAsia="Calibri"/>
          <w:b/>
          <w:bCs/>
          <w:noProof/>
          <w:color w:val="000000"/>
          <w:kern w:val="2"/>
          <w:position w:val="0"/>
          <w14:ligatures w14:val="standardContextual"/>
        </w:rPr>
        <w:t>1</w:t>
      </w:r>
      <w:r w:rsidRPr="008059BB">
        <w:rPr>
          <w:rFonts w:eastAsia="Calibri"/>
          <w:b/>
          <w:bCs/>
          <w:color w:val="000000"/>
          <w:kern w:val="2"/>
          <w:position w:val="0"/>
          <w14:ligatures w14:val="standardContextual"/>
        </w:rPr>
        <w:fldChar w:fldCharType="end"/>
      </w:r>
      <w:r w:rsidRPr="008059BB">
        <w:rPr>
          <w:rFonts w:eastAsia="Calibri"/>
          <w:color w:val="000000"/>
          <w:kern w:val="2"/>
          <w:position w:val="0"/>
          <w14:ligatures w14:val="standardContextual"/>
        </w:rPr>
        <w:t xml:space="preserve"> </w:t>
      </w:r>
    </w:p>
    <w:p w14:paraId="09DB5ED9" w14:textId="56387442" w:rsidR="00CF3DB4" w:rsidRPr="008059BB" w:rsidRDefault="00CF3DB4" w:rsidP="00CF3DB4">
      <w:pPr>
        <w:spacing w:after="200"/>
        <w:jc w:val="both"/>
        <w:rPr>
          <w:rFonts w:eastAsia="Calibri"/>
          <w:b/>
          <w:bCs/>
          <w:color w:val="000000"/>
          <w:kern w:val="2"/>
          <w:position w:val="0"/>
          <w14:ligatures w14:val="standardContextual"/>
        </w:rPr>
      </w:pPr>
      <w:r w:rsidRPr="008059BB">
        <w:rPr>
          <w:rFonts w:eastAsia="Calibri"/>
          <w:color w:val="000000"/>
          <w:kern w:val="2"/>
          <w:position w:val="0"/>
          <w14:ligatures w14:val="standardContextual"/>
        </w:rPr>
        <w:t xml:space="preserve">Gibbs's Reflective Cycle </w:t>
      </w:r>
      <w:r w:rsidRPr="008059BB">
        <w:rPr>
          <w:rFonts w:eastAsia="Calibri"/>
          <w:b/>
          <w:bCs/>
          <w:color w:val="000000"/>
          <w:kern w:val="2"/>
          <w:position w:val="0"/>
          <w14:ligatures w14:val="standardContextual"/>
        </w:rPr>
        <w:t>(Gibbs, 1988, as cited in Pearce, 2003)</w:t>
      </w:r>
      <w:bookmarkStart w:id="123" w:name="_Hlk199688117"/>
      <w:bookmarkEnd w:id="122"/>
    </w:p>
    <w:p w14:paraId="3FD2716A" w14:textId="77777777" w:rsidR="00CF3DB4" w:rsidRPr="00CF3DB4" w:rsidRDefault="00CF3DB4" w:rsidP="00CF3DB4">
      <w:pPr>
        <w:spacing w:after="160" w:line="278" w:lineRule="auto"/>
        <w:rPr>
          <w:rFonts w:ascii="Calibri" w:eastAsia="Calibri" w:hAnsi="Calibri" w:cs="Arial"/>
          <w:kern w:val="2"/>
          <w:position w:val="0"/>
          <w:sz w:val="22"/>
          <w:szCs w:val="22"/>
          <w14:ligatures w14:val="standardContextual"/>
        </w:rPr>
      </w:pPr>
    </w:p>
    <w:p w14:paraId="0755CD66" w14:textId="5B0E975D" w:rsidR="00CF3DB4" w:rsidRPr="00CF3DB4" w:rsidRDefault="008059BB" w:rsidP="00AA5DBF">
      <w:pPr>
        <w:pStyle w:val="Titre1"/>
        <w:rPr>
          <w:rFonts w:eastAsia="Calibri"/>
        </w:rPr>
      </w:pPr>
      <w:bookmarkStart w:id="124" w:name="_Toc200486048"/>
      <w:bookmarkEnd w:id="123"/>
      <w:r>
        <w:rPr>
          <w:rFonts w:eastAsia="Calibri"/>
        </w:rPr>
        <w:t xml:space="preserve">1.2 </w:t>
      </w:r>
      <w:r w:rsidR="00CF3DB4" w:rsidRPr="00CF3DB4">
        <w:rPr>
          <w:rFonts w:eastAsia="Calibri"/>
        </w:rPr>
        <w:t>Understanding Current Teacher’s Training Needs</w:t>
      </w:r>
      <w:bookmarkEnd w:id="124"/>
    </w:p>
    <w:p w14:paraId="23BBBF19" w14:textId="15FD835D" w:rsidR="009A23E9" w:rsidRDefault="00CF3DB4" w:rsidP="009A23E9">
      <w:pPr>
        <w:spacing w:after="160" w:line="480" w:lineRule="auto"/>
        <w:ind w:firstLine="567"/>
        <w:jc w:val="both"/>
        <w:rPr>
          <w:rFonts w:eastAsia="Calibri"/>
          <w:kern w:val="2"/>
          <w:position w:val="0"/>
          <w14:ligatures w14:val="standardContextual"/>
        </w:rPr>
      </w:pPr>
      <w:r w:rsidRPr="00CF3DB4">
        <w:rPr>
          <w:rFonts w:eastAsia="Calibri"/>
          <w:kern w:val="2"/>
          <w:position w:val="0"/>
          <w14:ligatures w14:val="standardContextual"/>
        </w:rPr>
        <w:t xml:space="preserve"> Recognizing and synthesizing a teacher’s training needs is a decisive phase. According to </w:t>
      </w:r>
      <w:r w:rsidRPr="00CF3DB4">
        <w:rPr>
          <w:rFonts w:eastAsia="Calibri"/>
          <w:noProof/>
          <w:kern w:val="2"/>
          <w:position w:val="0"/>
          <w14:ligatures w14:val="standardContextual"/>
        </w:rPr>
        <w:t>Kaufman et al (1979)</w:t>
      </w:r>
      <w:r w:rsidRPr="00CF3DB4">
        <w:rPr>
          <w:rFonts w:eastAsia="Calibri"/>
          <w:kern w:val="2"/>
          <w:position w:val="0"/>
          <w14:ligatures w14:val="standardContextual"/>
        </w:rPr>
        <w:t xml:space="preserve">, the deficit between a practitioner’s actual performance and expected achievements </w:t>
      </w:r>
      <w:proofErr w:type="gramStart"/>
      <w:r w:rsidRPr="00CF3DB4">
        <w:rPr>
          <w:rFonts w:eastAsia="Calibri"/>
          <w:kern w:val="2"/>
          <w:position w:val="0"/>
          <w14:ligatures w14:val="standardContextual"/>
        </w:rPr>
        <w:t>is referred</w:t>
      </w:r>
      <w:proofErr w:type="gramEnd"/>
      <w:r w:rsidRPr="00CF3DB4">
        <w:rPr>
          <w:rFonts w:eastAsia="Calibri"/>
          <w:kern w:val="2"/>
          <w:position w:val="0"/>
          <w14:ligatures w14:val="standardContextual"/>
        </w:rPr>
        <w:t xml:space="preserve"> to as a need. To identify and bridge this gap between "what is" and "what should be"</w:t>
      </w:r>
      <w:sdt>
        <w:sdtPr>
          <w:rPr>
            <w:rFonts w:eastAsia="Calibri"/>
            <w:kern w:val="2"/>
            <w:position w:val="0"/>
            <w14:ligatures w14:val="standardContextual"/>
          </w:rPr>
          <w:id w:val="2114089048"/>
          <w:citation/>
        </w:sdtPr>
        <w:sdtEndPr/>
        <w:sdtContent>
          <w:r w:rsidRPr="00CF3DB4">
            <w:rPr>
              <w:rFonts w:eastAsia="Calibri"/>
              <w:kern w:val="2"/>
              <w:position w:val="0"/>
              <w14:ligatures w14:val="standardContextual"/>
            </w:rPr>
            <w:fldChar w:fldCharType="begin"/>
          </w:r>
          <w:r w:rsidRPr="00CF3DB4">
            <w:rPr>
              <w:rFonts w:eastAsia="Calibri"/>
              <w:kern w:val="2"/>
              <w:position w:val="0"/>
              <w14:ligatures w14:val="standardContextual"/>
            </w:rPr>
            <w:instrText xml:space="preserve">CITATION DeR \t  \l 1033 </w:instrText>
          </w:r>
          <w:r w:rsidRPr="00CF3DB4">
            <w:rPr>
              <w:rFonts w:eastAsia="Calibri"/>
              <w:kern w:val="2"/>
              <w:position w:val="0"/>
              <w14:ligatures w14:val="standardContextual"/>
            </w:rPr>
            <w:fldChar w:fldCharType="separate"/>
          </w:r>
          <w:r w:rsidRPr="00CF3DB4">
            <w:rPr>
              <w:rFonts w:eastAsia="Calibri"/>
              <w:noProof/>
              <w:kern w:val="2"/>
              <w:position w:val="0"/>
              <w14:ligatures w14:val="standardContextual"/>
            </w:rPr>
            <w:t xml:space="preserve"> (Kaufman et al., 1979)</w:t>
          </w:r>
          <w:r w:rsidRPr="00CF3DB4">
            <w:rPr>
              <w:rFonts w:eastAsia="Calibri"/>
              <w:kern w:val="2"/>
              <w:position w:val="0"/>
              <w14:ligatures w14:val="standardContextual"/>
            </w:rPr>
            <w:fldChar w:fldCharType="end"/>
          </w:r>
        </w:sdtContent>
      </w:sdt>
      <w:r w:rsidRPr="00CF3DB4">
        <w:rPr>
          <w:rFonts w:eastAsia="Calibri"/>
          <w:kern w:val="2"/>
          <w:position w:val="0"/>
          <w14:ligatures w14:val="standardContextual"/>
        </w:rPr>
        <w:t xml:space="preserve"> in educational context, qualified, reflective and resourceful teachers require continuing professional development (CPD). CPD is a useful ongoing process for instructors to update and improve their skills and knowledge for their and </w:t>
      </w:r>
      <w:r w:rsidRPr="00CF3DB4">
        <w:rPr>
          <w:rFonts w:eastAsia="Calibri"/>
          <w:kern w:val="2"/>
          <w:position w:val="0"/>
          <w14:ligatures w14:val="standardContextual"/>
        </w:rPr>
        <w:lastRenderedPageBreak/>
        <w:t>their pupils’ benefit.  Thus, it endeavors to promote professional autonomy, self-confidence and collaborative transformative practice</w:t>
      </w:r>
      <w:bookmarkStart w:id="125" w:name="_Hlk195761644"/>
      <w:sdt>
        <w:sdtPr>
          <w:rPr>
            <w:rFonts w:eastAsia="Calibri"/>
            <w:kern w:val="2"/>
            <w:position w:val="0"/>
            <w14:ligatures w14:val="standardContextual"/>
          </w:rPr>
          <w:id w:val="1459609009"/>
          <w:citation/>
        </w:sdtPr>
        <w:sdtEndPr/>
        <w:sdtContent>
          <w:r w:rsidRPr="00CF3DB4">
            <w:rPr>
              <w:rFonts w:eastAsia="Calibri"/>
              <w:kern w:val="2"/>
              <w:position w:val="0"/>
              <w14:ligatures w14:val="standardContextual"/>
            </w:rPr>
            <w:fldChar w:fldCharType="begin"/>
          </w:r>
          <w:r w:rsidRPr="00CF3DB4">
            <w:rPr>
              <w:rFonts w:eastAsia="Calibri"/>
              <w:kern w:val="2"/>
              <w:position w:val="0"/>
              <w14:ligatures w14:val="standardContextual"/>
            </w:rPr>
            <w:instrText xml:space="preserve"> CITATION Ken05 \l 1033 </w:instrText>
          </w:r>
          <w:r w:rsidRPr="00CF3DB4">
            <w:rPr>
              <w:rFonts w:eastAsia="Calibri"/>
              <w:kern w:val="2"/>
              <w:position w:val="0"/>
              <w14:ligatures w14:val="standardContextual"/>
            </w:rPr>
            <w:fldChar w:fldCharType="separate"/>
          </w:r>
          <w:r w:rsidRPr="00CF3DB4">
            <w:rPr>
              <w:rFonts w:eastAsia="Calibri"/>
              <w:noProof/>
              <w:kern w:val="2"/>
              <w:position w:val="0"/>
              <w14:ligatures w14:val="standardContextual"/>
            </w:rPr>
            <w:t xml:space="preserve"> (Kennedy, 2005)</w:t>
          </w:r>
          <w:r w:rsidRPr="00CF3DB4">
            <w:rPr>
              <w:rFonts w:eastAsia="Calibri"/>
              <w:kern w:val="2"/>
              <w:position w:val="0"/>
              <w14:ligatures w14:val="standardContextual"/>
            </w:rPr>
            <w:fldChar w:fldCharType="end"/>
          </w:r>
        </w:sdtContent>
      </w:sdt>
      <w:bookmarkEnd w:id="125"/>
      <w:r w:rsidRPr="00CF3DB4">
        <w:rPr>
          <w:rFonts w:eastAsia="Calibri"/>
          <w:kern w:val="2"/>
          <w:position w:val="0"/>
          <w14:ligatures w14:val="standardContextual"/>
        </w:rPr>
        <w:t xml:space="preserve">. </w:t>
      </w:r>
    </w:p>
    <w:p w14:paraId="44A2B126" w14:textId="260D7D03" w:rsidR="009A23E9" w:rsidRDefault="00CF3DB4" w:rsidP="009A23E9">
      <w:pPr>
        <w:spacing w:after="160" w:line="480" w:lineRule="auto"/>
        <w:ind w:firstLine="567"/>
        <w:jc w:val="both"/>
        <w:rPr>
          <w:rFonts w:eastAsia="Calibri"/>
          <w:kern w:val="2"/>
          <w:position w:val="0"/>
          <w14:ligatures w14:val="standardContextual"/>
        </w:rPr>
      </w:pPr>
      <w:r w:rsidRPr="00CF3DB4">
        <w:rPr>
          <w:rFonts w:eastAsia="Calibri"/>
          <w:kern w:val="2"/>
          <w:position w:val="0"/>
          <w14:ligatures w14:val="standardContextual"/>
        </w:rPr>
        <w:t xml:space="preserve"> </w:t>
      </w:r>
      <w:proofErr w:type="gramStart"/>
      <w:r w:rsidRPr="00CF3DB4">
        <w:rPr>
          <w:rFonts w:eastAsia="Calibri"/>
          <w:kern w:val="2"/>
          <w:position w:val="0"/>
          <w14:ligatures w14:val="standardContextual"/>
        </w:rPr>
        <w:t>To further comprehend</w:t>
      </w:r>
      <w:proofErr w:type="gramEnd"/>
      <w:r w:rsidRPr="00CF3DB4">
        <w:rPr>
          <w:rFonts w:eastAsia="Calibri"/>
          <w:kern w:val="2"/>
          <w:position w:val="0"/>
          <w14:ligatures w14:val="standardContextual"/>
        </w:rPr>
        <w:t xml:space="preserve"> CPD’s significance in mobilizing self-regulated and visionary teachers, an in-depth analysis of the key core characteristics of its models is a necessity </w:t>
      </w:r>
      <w:bookmarkStart w:id="126" w:name="_Hlk195898374"/>
      <w:sdt>
        <w:sdtPr>
          <w:rPr>
            <w:rFonts w:eastAsia="Calibri"/>
            <w:kern w:val="2"/>
            <w:position w:val="0"/>
            <w14:ligatures w14:val="standardContextual"/>
          </w:rPr>
          <w:id w:val="1750077694"/>
          <w:citation/>
        </w:sdtPr>
        <w:sdtEndPr/>
        <w:sdtContent>
          <w:r w:rsidRPr="00CF3DB4">
            <w:rPr>
              <w:rFonts w:eastAsia="Calibri"/>
              <w:kern w:val="2"/>
              <w:position w:val="0"/>
              <w14:ligatures w14:val="standardContextual"/>
            </w:rPr>
            <w:fldChar w:fldCharType="begin"/>
          </w:r>
          <w:r w:rsidRPr="00CF3DB4">
            <w:rPr>
              <w:rFonts w:eastAsia="Calibri"/>
              <w:kern w:val="2"/>
              <w:position w:val="0"/>
              <w14:ligatures w14:val="standardContextual"/>
            </w:rPr>
            <w:instrText xml:space="preserve">CITATION AIL05 \l 1033 </w:instrText>
          </w:r>
          <w:r w:rsidRPr="00CF3DB4">
            <w:rPr>
              <w:rFonts w:eastAsia="Calibri"/>
              <w:kern w:val="2"/>
              <w:position w:val="0"/>
              <w14:ligatures w14:val="standardContextual"/>
            </w:rPr>
            <w:fldChar w:fldCharType="separate"/>
          </w:r>
          <w:r w:rsidRPr="00CF3DB4">
            <w:rPr>
              <w:rFonts w:eastAsia="Calibri"/>
              <w:noProof/>
              <w:kern w:val="2"/>
              <w:position w:val="0"/>
              <w14:ligatures w14:val="standardContextual"/>
            </w:rPr>
            <w:t>(Kennedy, 2005)</w:t>
          </w:r>
          <w:r w:rsidRPr="00CF3DB4">
            <w:rPr>
              <w:rFonts w:eastAsia="Calibri"/>
              <w:kern w:val="2"/>
              <w:position w:val="0"/>
              <w14:ligatures w14:val="standardContextual"/>
            </w:rPr>
            <w:fldChar w:fldCharType="end"/>
          </w:r>
        </w:sdtContent>
      </w:sdt>
      <w:bookmarkEnd w:id="126"/>
      <w:r w:rsidRPr="00CF3DB4">
        <w:rPr>
          <w:rFonts w:eastAsia="Calibri"/>
          <w:kern w:val="2"/>
          <w:position w:val="0"/>
          <w14:ligatures w14:val="standardContextual"/>
        </w:rPr>
        <w:t xml:space="preserve">. Teachers, as Kennedy (2005) contends, undergo a shift from </w:t>
      </w:r>
      <w:r w:rsidRPr="00CF3DB4">
        <w:rPr>
          <w:rFonts w:eastAsia="Calibri"/>
          <w:i/>
          <w:iCs/>
          <w:kern w:val="2"/>
          <w:position w:val="0"/>
          <w14:ligatures w14:val="standardContextual"/>
        </w:rPr>
        <w:t>transmission</w:t>
      </w:r>
      <w:r w:rsidRPr="00CF3DB4">
        <w:rPr>
          <w:rFonts w:eastAsia="Calibri"/>
          <w:kern w:val="2"/>
          <w:position w:val="0"/>
          <w14:ligatures w14:val="standardContextual"/>
        </w:rPr>
        <w:t xml:space="preserve">, through </w:t>
      </w:r>
      <w:r w:rsidRPr="00CF3DB4">
        <w:rPr>
          <w:rFonts w:eastAsia="Calibri"/>
          <w:i/>
          <w:iCs/>
          <w:kern w:val="2"/>
          <w:position w:val="0"/>
          <w14:ligatures w14:val="standardContextual"/>
        </w:rPr>
        <w:t>transitional</w:t>
      </w:r>
      <w:r w:rsidRPr="00CF3DB4">
        <w:rPr>
          <w:rFonts w:eastAsia="Calibri"/>
          <w:kern w:val="2"/>
          <w:position w:val="0"/>
          <w14:ligatures w14:val="standardContextual"/>
        </w:rPr>
        <w:t xml:space="preserve"> to </w:t>
      </w:r>
      <w:r w:rsidRPr="00CF3DB4">
        <w:rPr>
          <w:rFonts w:eastAsia="Calibri"/>
          <w:i/>
          <w:iCs/>
          <w:kern w:val="2"/>
          <w:position w:val="0"/>
          <w14:ligatures w14:val="standardContextual"/>
        </w:rPr>
        <w:t>transformative</w:t>
      </w:r>
      <w:r w:rsidRPr="00CF3DB4">
        <w:rPr>
          <w:rFonts w:eastAsia="Calibri"/>
          <w:kern w:val="2"/>
          <w:position w:val="0"/>
          <w14:ligatures w14:val="standardContextual"/>
        </w:rPr>
        <w:t xml:space="preserve"> CPD for a more professional autonomy progress.  At the transmission level, the training model empowers teachers with the necessary current skills in an effort to perform efficiently. </w:t>
      </w:r>
      <w:proofErr w:type="gramStart"/>
      <w:r w:rsidRPr="00CF3DB4">
        <w:rPr>
          <w:rFonts w:eastAsia="Calibri"/>
          <w:kern w:val="2"/>
          <w:position w:val="0"/>
          <w14:ligatures w14:val="standardContextual"/>
        </w:rPr>
        <w:t>It is a skill-based, structured, institutional and top-down process in which trainees receive guidance from experts through distinct formats including online workshops</w:t>
      </w:r>
      <w:proofErr w:type="gramEnd"/>
      <w:r w:rsidRPr="00CF3DB4">
        <w:rPr>
          <w:rFonts w:eastAsia="Calibri"/>
          <w:kern w:val="2"/>
          <w:position w:val="0"/>
          <w14:ligatures w14:val="standardContextual"/>
        </w:rPr>
        <w:t xml:space="preserve">. However, the coaching and mentoring model fosters tailored mentor-mentee counselling </w:t>
      </w:r>
      <w:r w:rsidRPr="00CF3DB4">
        <w:rPr>
          <w:rFonts w:eastAsia="Calibri"/>
          <w:noProof/>
          <w:kern w:val="2"/>
          <w:position w:val="0"/>
          <w14:ligatures w14:val="standardContextual"/>
        </w:rPr>
        <w:t xml:space="preserve">(WILLIAMS et al., 2022). Feedback from mentors aids instructors to take charge of identifying their current professional needs. It is also argued that online mentoring is an effective opportunity to guide and support less experienced teachers who face limited actual synchronous accessibility (Knapczyk et al., 2005). </w:t>
      </w:r>
    </w:p>
    <w:p w14:paraId="00AD151F" w14:textId="77777777" w:rsidR="009A23E9" w:rsidRDefault="00CF3DB4" w:rsidP="009A23E9">
      <w:pPr>
        <w:spacing w:after="160" w:line="480" w:lineRule="auto"/>
        <w:ind w:firstLine="567"/>
        <w:jc w:val="both"/>
        <w:rPr>
          <w:rFonts w:eastAsia="Calibri"/>
          <w:kern w:val="2"/>
          <w:position w:val="0"/>
          <w14:ligatures w14:val="standardContextual"/>
        </w:rPr>
      </w:pPr>
      <w:r w:rsidRPr="00CF3DB4">
        <w:rPr>
          <w:rFonts w:eastAsia="Calibri"/>
          <w:kern w:val="2"/>
          <w:position w:val="0"/>
          <w14:ligatures w14:val="standardContextual"/>
        </w:rPr>
        <w:t xml:space="preserve"> The community of practice model shares considerable similarities with coaching and mentoring, albeit participants’ number exceeds two.  Wenger (1988) asserts that members’ interactions within these communities encourage mutual engagement, stimulate reflection and active learning to broaden and refine teacher’s instructional arsenal. Accordingly, communities of practice serve as transformative spaces where practitioners’ repertoire can be collectively fortified </w:t>
      </w:r>
      <w:sdt>
        <w:sdtPr>
          <w:rPr>
            <w:rFonts w:eastAsia="Calibri"/>
            <w:kern w:val="2"/>
            <w:position w:val="0"/>
            <w14:ligatures w14:val="standardContextual"/>
          </w:rPr>
          <w:id w:val="-1156148472"/>
          <w:citation/>
        </w:sdtPr>
        <w:sdtEndPr/>
        <w:sdtContent>
          <w:r w:rsidRPr="00CF3DB4">
            <w:rPr>
              <w:rFonts w:eastAsia="Calibri"/>
              <w:kern w:val="2"/>
              <w:position w:val="0"/>
              <w14:ligatures w14:val="standardContextual"/>
            </w:rPr>
            <w:fldChar w:fldCharType="begin"/>
          </w:r>
          <w:r w:rsidRPr="00CF3DB4">
            <w:rPr>
              <w:rFonts w:eastAsia="Calibri"/>
              <w:kern w:val="2"/>
              <w:position w:val="0"/>
              <w14:ligatures w14:val="standardContextual"/>
            </w:rPr>
            <w:instrText xml:space="preserve">CITATION AIL05 \l 1033 </w:instrText>
          </w:r>
          <w:r w:rsidRPr="00CF3DB4">
            <w:rPr>
              <w:rFonts w:eastAsia="Calibri"/>
              <w:kern w:val="2"/>
              <w:position w:val="0"/>
              <w14:ligatures w14:val="standardContextual"/>
            </w:rPr>
            <w:fldChar w:fldCharType="separate"/>
          </w:r>
          <w:r w:rsidRPr="00CF3DB4">
            <w:rPr>
              <w:rFonts w:eastAsia="Calibri"/>
              <w:noProof/>
              <w:kern w:val="2"/>
              <w:position w:val="0"/>
              <w14:ligatures w14:val="standardContextual"/>
            </w:rPr>
            <w:t>(Kennedy, 2005)</w:t>
          </w:r>
          <w:r w:rsidRPr="00CF3DB4">
            <w:rPr>
              <w:rFonts w:eastAsia="Calibri"/>
              <w:kern w:val="2"/>
              <w:position w:val="0"/>
              <w14:ligatures w14:val="standardContextual"/>
            </w:rPr>
            <w:fldChar w:fldCharType="end"/>
          </w:r>
        </w:sdtContent>
      </w:sdt>
      <w:r w:rsidRPr="00CF3DB4">
        <w:rPr>
          <w:rFonts w:eastAsia="Calibri"/>
          <w:kern w:val="2"/>
          <w:position w:val="0"/>
          <w14:ligatures w14:val="standardContextual"/>
        </w:rPr>
        <w:t xml:space="preserve">. These collaborative practices </w:t>
      </w:r>
      <w:proofErr w:type="gramStart"/>
      <w:r w:rsidRPr="00CF3DB4">
        <w:rPr>
          <w:rFonts w:eastAsia="Calibri"/>
          <w:kern w:val="2"/>
          <w:position w:val="0"/>
          <w14:ligatures w14:val="standardContextual"/>
        </w:rPr>
        <w:t>are viewed</w:t>
      </w:r>
      <w:proofErr w:type="gramEnd"/>
      <w:r w:rsidRPr="00CF3DB4">
        <w:rPr>
          <w:rFonts w:eastAsia="Calibri"/>
          <w:kern w:val="2"/>
          <w:position w:val="0"/>
          <w14:ligatures w14:val="standardContextual"/>
        </w:rPr>
        <w:t xml:space="preserve"> as a key asset in undertaking practical, critical and emancipatory research activities to achieve professional autonomy</w:t>
      </w:r>
      <w:sdt>
        <w:sdtPr>
          <w:rPr>
            <w:rFonts w:eastAsia="Calibri"/>
            <w:kern w:val="2"/>
            <w:position w:val="0"/>
            <w14:ligatures w14:val="standardContextual"/>
          </w:rPr>
          <w:id w:val="-832603194"/>
          <w:citation/>
        </w:sdtPr>
        <w:sdtEndPr/>
        <w:sdtContent>
          <w:r w:rsidRPr="00CF3DB4">
            <w:rPr>
              <w:rFonts w:eastAsia="Calibri"/>
              <w:kern w:val="2"/>
              <w:position w:val="0"/>
              <w14:ligatures w14:val="standardContextual"/>
            </w:rPr>
            <w:fldChar w:fldCharType="begin"/>
          </w:r>
          <w:r w:rsidRPr="00CF3DB4">
            <w:rPr>
              <w:rFonts w:eastAsia="Calibri"/>
              <w:kern w:val="2"/>
              <w:position w:val="0"/>
              <w14:ligatures w14:val="standardContextual"/>
            </w:rPr>
            <w:instrText xml:space="preserve"> CITATION Tri87 \l 1033 </w:instrText>
          </w:r>
          <w:r w:rsidRPr="00CF3DB4">
            <w:rPr>
              <w:rFonts w:eastAsia="Calibri"/>
              <w:kern w:val="2"/>
              <w:position w:val="0"/>
              <w14:ligatures w14:val="standardContextual"/>
            </w:rPr>
            <w:fldChar w:fldCharType="separate"/>
          </w:r>
          <w:r w:rsidRPr="00CF3DB4">
            <w:rPr>
              <w:rFonts w:eastAsia="Calibri"/>
              <w:noProof/>
              <w:kern w:val="2"/>
              <w:position w:val="0"/>
              <w14:ligatures w14:val="standardContextual"/>
            </w:rPr>
            <w:t xml:space="preserve"> (Tripp, 1987)</w:t>
          </w:r>
          <w:r w:rsidRPr="00CF3DB4">
            <w:rPr>
              <w:rFonts w:eastAsia="Calibri"/>
              <w:kern w:val="2"/>
              <w:position w:val="0"/>
              <w14:ligatures w14:val="standardContextual"/>
            </w:rPr>
            <w:fldChar w:fldCharType="end"/>
          </w:r>
        </w:sdtContent>
      </w:sdt>
      <w:r w:rsidRPr="00CF3DB4">
        <w:rPr>
          <w:rFonts w:eastAsia="Calibri"/>
          <w:kern w:val="2"/>
          <w:position w:val="0"/>
          <w14:ligatures w14:val="standardContextual"/>
        </w:rPr>
        <w:t>. It is worth noting that the action research model draws on instructors as active researchers whose practices are oriented towards resolving professional dilemmas and making sound data-driven decisions. In essence, significant and various teacher needs are considered by transformative CPD.</w:t>
      </w:r>
    </w:p>
    <w:p w14:paraId="79C47F53" w14:textId="77777777" w:rsidR="009A23E9" w:rsidRDefault="00CF3DB4" w:rsidP="009A23E9">
      <w:pPr>
        <w:spacing w:after="160" w:line="480" w:lineRule="auto"/>
        <w:ind w:firstLine="567"/>
        <w:jc w:val="both"/>
        <w:rPr>
          <w:rFonts w:eastAsia="Calibri"/>
          <w:kern w:val="2"/>
          <w:position w:val="0"/>
          <w14:ligatures w14:val="standardContextual"/>
        </w:rPr>
      </w:pPr>
      <w:r w:rsidRPr="00CF3DB4">
        <w:rPr>
          <w:rFonts w:eastAsia="Calibri"/>
          <w:kern w:val="2"/>
          <w:position w:val="0"/>
          <w14:ligatures w14:val="standardContextual"/>
        </w:rPr>
        <w:lastRenderedPageBreak/>
        <w:t xml:space="preserve">Numerous barriers to effective English language teaching and assessment practices continue to impact instructional practices. A needs assessment process can be carried out by distinct stakeholders such as teachers, mentors, inspectors and even researchers and researcher-practitioners. In a pilot study of District 4 in-service Algerian middle school teachers in </w:t>
      </w:r>
      <w:proofErr w:type="spellStart"/>
      <w:r w:rsidRPr="00CF3DB4">
        <w:rPr>
          <w:rFonts w:eastAsia="Calibri"/>
          <w:kern w:val="2"/>
          <w:position w:val="0"/>
          <w14:ligatures w14:val="standardContextual"/>
        </w:rPr>
        <w:t>M’sila</w:t>
      </w:r>
      <w:proofErr w:type="spellEnd"/>
      <w:r w:rsidRPr="00CF3DB4">
        <w:rPr>
          <w:rFonts w:eastAsia="Calibri"/>
          <w:kern w:val="2"/>
          <w:position w:val="0"/>
          <w14:ligatures w14:val="standardContextual"/>
        </w:rPr>
        <w:t xml:space="preserve">, the English language inspector, Mr. </w:t>
      </w:r>
      <w:proofErr w:type="spellStart"/>
      <w:r w:rsidRPr="00CF3DB4">
        <w:rPr>
          <w:rFonts w:eastAsia="Calibri"/>
          <w:kern w:val="2"/>
          <w:position w:val="0"/>
          <w14:ligatures w14:val="standardContextual"/>
        </w:rPr>
        <w:t>Othmani</w:t>
      </w:r>
      <w:proofErr w:type="spellEnd"/>
      <w:r w:rsidRPr="00CF3DB4">
        <w:rPr>
          <w:rFonts w:eastAsia="Calibri"/>
          <w:kern w:val="2"/>
          <w:position w:val="0"/>
          <w14:ligatures w14:val="standardContextual"/>
        </w:rPr>
        <w:t xml:space="preserve">, obtained 118 responses regarding the challenges EFL may encounter in professional development. As it </w:t>
      </w:r>
      <w:proofErr w:type="gramStart"/>
      <w:r w:rsidRPr="00CF3DB4">
        <w:rPr>
          <w:rFonts w:eastAsia="Calibri"/>
          <w:kern w:val="2"/>
          <w:position w:val="0"/>
          <w14:ligatures w14:val="standardContextual"/>
        </w:rPr>
        <w:t>is illustrated</w:t>
      </w:r>
      <w:proofErr w:type="gramEnd"/>
      <w:r w:rsidRPr="00CF3DB4">
        <w:rPr>
          <w:rFonts w:eastAsia="Calibri"/>
          <w:kern w:val="2"/>
          <w:position w:val="0"/>
          <w14:ligatures w14:val="standardContextual"/>
        </w:rPr>
        <w:t xml:space="preserve"> in </w:t>
      </w:r>
      <w:r w:rsidRPr="00CF3DB4">
        <w:rPr>
          <w:rFonts w:eastAsia="Calibri"/>
          <w:b/>
          <w:bCs/>
          <w:kern w:val="2"/>
          <w:position w:val="0"/>
          <w14:ligatures w14:val="standardContextual"/>
        </w:rPr>
        <w:t>Table 01</w:t>
      </w:r>
      <w:r w:rsidRPr="00CF3DB4">
        <w:rPr>
          <w:rFonts w:eastAsia="Calibri"/>
          <w:kern w:val="2"/>
          <w:position w:val="0"/>
          <w14:ligatures w14:val="standardContextual"/>
        </w:rPr>
        <w:t xml:space="preserve"> below, feedback indicates that 68% of participants have a lack of practical application. This demonstrates that CPD trainings that they receive are more theory-oriented; they ought to be classroom-focused. However, 54% have restricted access to professional development. These limited training opportunities are due to geographic, financial or institutional barriers. Moreover, 42.4% found technology integration and trends more challenging. They contend with adapting to digital tools, hybrid and online environments and stay updated with evolving methodologies and technologies. Hence, data reveals that teachers find difficulties in engaging in online teacher learning communities </w:t>
      </w:r>
      <w:bookmarkStart w:id="127" w:name="_Hlk195946547"/>
      <w:r w:rsidRPr="00CF3DB4">
        <w:rPr>
          <w:rFonts w:eastAsia="Calibri"/>
          <w:kern w:val="2"/>
          <w:position w:val="0"/>
          <w14:ligatures w14:val="standardContextual"/>
        </w:rPr>
        <w:t xml:space="preserve">(OTLC) </w:t>
      </w:r>
      <w:bookmarkEnd w:id="127"/>
      <w:r w:rsidRPr="00CF3DB4">
        <w:rPr>
          <w:rFonts w:eastAsia="Calibri"/>
          <w:kern w:val="2"/>
          <w:position w:val="0"/>
          <w14:ligatures w14:val="standardContextual"/>
        </w:rPr>
        <w:t xml:space="preserve">for effective continuing professional development (OTLC). Furthermore, prioritizing exam preparation over holistic language skill development is also a major hindrance.  30.5 % of the instructors are required to cope with standardized testing pressures. Most importantly, assessment and feedback rate 23.7% of teacher’s current training needs. This depicts that designing effective evaluations and actionable feedback strategies is less challenging. </w:t>
      </w:r>
      <w:proofErr w:type="gramStart"/>
      <w:r w:rsidRPr="00CF3DB4">
        <w:rPr>
          <w:rFonts w:eastAsia="Calibri"/>
          <w:kern w:val="2"/>
          <w:position w:val="0"/>
          <w14:ligatures w14:val="standardContextual"/>
        </w:rPr>
        <w:t>In a nutshell</w:t>
      </w:r>
      <w:proofErr w:type="gramEnd"/>
      <w:r w:rsidRPr="00CF3DB4">
        <w:rPr>
          <w:rFonts w:eastAsia="Calibri"/>
          <w:kern w:val="2"/>
          <w:position w:val="0"/>
          <w14:ligatures w14:val="standardContextual"/>
        </w:rPr>
        <w:t>, the findings highlight the importance of continuing professional development in promoting teacher’s structured summative assessment literacy.</w:t>
      </w:r>
    </w:p>
    <w:p w14:paraId="64274DA4" w14:textId="229CF089" w:rsidR="00CF3DB4" w:rsidRPr="00CF3DB4" w:rsidRDefault="00CF3DB4" w:rsidP="009A23E9">
      <w:pPr>
        <w:spacing w:after="160" w:line="480" w:lineRule="auto"/>
        <w:ind w:firstLine="567"/>
        <w:jc w:val="both"/>
        <w:rPr>
          <w:rFonts w:eastAsia="Calibri"/>
          <w:kern w:val="2"/>
          <w:position w:val="0"/>
          <w14:ligatures w14:val="standardContextual"/>
        </w:rPr>
      </w:pPr>
      <w:r w:rsidRPr="00CF3DB4">
        <w:rPr>
          <w:rFonts w:eastAsia="Calibri"/>
          <w:kern w:val="2"/>
          <w:position w:val="0"/>
          <w14:ligatures w14:val="standardContextual"/>
        </w:rPr>
        <w:t xml:space="preserve">Effective teacher development requires not only content and pedagogical knowledge but also opportunities to bridge the gap between theory and its actual use in EFL classrooms. Assessment techniques implementation in the classroom is paramount to ensure valid and reliable conclusions, seek for, offer, reflect on and tailor feedback accordingly. Thus, practical </w:t>
      </w:r>
      <w:r w:rsidRPr="00CF3DB4">
        <w:rPr>
          <w:rFonts w:eastAsia="Calibri"/>
          <w:kern w:val="2"/>
          <w:position w:val="0"/>
          <w14:ligatures w14:val="standardContextual"/>
        </w:rPr>
        <w:lastRenderedPageBreak/>
        <w:t xml:space="preserve">competences call for recruiting and empowering teachers with critical thinking, self-regulation and creative transformation skills. This enables them to evaluate, recognize and find solutions to solve assessment-related professional problems. Simply put, holistic programs that yield experiential, reflective and interactive continuing professional development </w:t>
      </w:r>
      <w:proofErr w:type="gramStart"/>
      <w:r w:rsidRPr="00CF3DB4">
        <w:rPr>
          <w:rFonts w:eastAsia="Calibri"/>
          <w:kern w:val="2"/>
          <w:position w:val="0"/>
          <w14:ligatures w14:val="standardContextual"/>
        </w:rPr>
        <w:t>are recommended</w:t>
      </w:r>
      <w:proofErr w:type="gramEnd"/>
      <w:r w:rsidRPr="00CF3DB4">
        <w:rPr>
          <w:rFonts w:eastAsia="Calibri"/>
          <w:kern w:val="2"/>
          <w:position w:val="0"/>
          <w14:ligatures w14:val="standardContextual"/>
        </w:rPr>
        <w:t xml:space="preserve"> through Online Teacher Learning Communities.</w:t>
      </w:r>
    </w:p>
    <w:p w14:paraId="6EB5F9AE" w14:textId="52C92EA6" w:rsidR="001E0628" w:rsidRDefault="00CF3DB4" w:rsidP="00CF3DB4">
      <w:pPr>
        <w:keepNext/>
        <w:spacing w:after="200"/>
        <w:rPr>
          <w:rFonts w:eastAsia="Calibri"/>
          <w:i/>
          <w:iCs/>
          <w:color w:val="000000"/>
          <w:kern w:val="2"/>
          <w:position w:val="0"/>
          <w14:ligatures w14:val="standardContextual"/>
        </w:rPr>
      </w:pPr>
      <w:bookmarkStart w:id="128" w:name="_Toc199831999"/>
      <w:bookmarkStart w:id="129" w:name="_Toc199832368"/>
      <w:bookmarkStart w:id="130" w:name="_Toc200446649"/>
      <w:r w:rsidRPr="00CF3DB4">
        <w:rPr>
          <w:rFonts w:eastAsia="Calibri"/>
          <w:b/>
          <w:bCs/>
          <w:color w:val="000000"/>
          <w:kern w:val="2"/>
          <w:position w:val="0"/>
          <w14:ligatures w14:val="standardContextual"/>
        </w:rPr>
        <w:t xml:space="preserve">Table </w:t>
      </w:r>
      <w:r w:rsidR="00274F6F">
        <w:rPr>
          <w:rFonts w:eastAsia="Calibri"/>
          <w:b/>
          <w:bCs/>
          <w:color w:val="000000"/>
          <w:kern w:val="2"/>
          <w:position w:val="0"/>
          <w14:ligatures w14:val="standardContextual"/>
        </w:rPr>
        <w:fldChar w:fldCharType="begin"/>
      </w:r>
      <w:r w:rsidR="00274F6F">
        <w:rPr>
          <w:rFonts w:eastAsia="Calibri"/>
          <w:b/>
          <w:bCs/>
          <w:color w:val="000000"/>
          <w:kern w:val="2"/>
          <w:position w:val="0"/>
          <w14:ligatures w14:val="standardContextual"/>
        </w:rPr>
        <w:instrText xml:space="preserve"> SEQ Table \* ARABIC </w:instrText>
      </w:r>
      <w:r w:rsidR="00274F6F">
        <w:rPr>
          <w:rFonts w:eastAsia="Calibri"/>
          <w:b/>
          <w:bCs/>
          <w:color w:val="000000"/>
          <w:kern w:val="2"/>
          <w:position w:val="0"/>
          <w14:ligatures w14:val="standardContextual"/>
        </w:rPr>
        <w:fldChar w:fldCharType="separate"/>
      </w:r>
      <w:r w:rsidR="00DC3231">
        <w:rPr>
          <w:rFonts w:eastAsia="Calibri"/>
          <w:b/>
          <w:bCs/>
          <w:noProof/>
          <w:color w:val="000000"/>
          <w:kern w:val="2"/>
          <w:position w:val="0"/>
          <w14:ligatures w14:val="standardContextual"/>
        </w:rPr>
        <w:t>1</w:t>
      </w:r>
      <w:r w:rsidR="00274F6F">
        <w:rPr>
          <w:rFonts w:eastAsia="Calibri"/>
          <w:b/>
          <w:bCs/>
          <w:color w:val="000000"/>
          <w:kern w:val="2"/>
          <w:position w:val="0"/>
          <w14:ligatures w14:val="standardContextual"/>
        </w:rPr>
        <w:fldChar w:fldCharType="end"/>
      </w:r>
      <w:r w:rsidRPr="00CF3DB4">
        <w:rPr>
          <w:rFonts w:eastAsia="Calibri"/>
          <w:i/>
          <w:iCs/>
          <w:color w:val="000000"/>
          <w:kern w:val="2"/>
          <w:position w:val="0"/>
          <w14:ligatures w14:val="standardContextual"/>
        </w:rPr>
        <w:t xml:space="preserve"> </w:t>
      </w:r>
    </w:p>
    <w:p w14:paraId="52DA86B6" w14:textId="1BFA5C5C" w:rsidR="00CF3DB4" w:rsidRPr="009A23E9" w:rsidRDefault="00CF3DB4" w:rsidP="00CF3DB4">
      <w:pPr>
        <w:keepNext/>
        <w:spacing w:after="200"/>
        <w:rPr>
          <w:rFonts w:eastAsia="Calibri"/>
          <w:color w:val="000000"/>
          <w:kern w:val="2"/>
          <w:position w:val="0"/>
          <w14:ligatures w14:val="standardContextual"/>
        </w:rPr>
      </w:pPr>
      <w:r w:rsidRPr="009A23E9">
        <w:rPr>
          <w:rFonts w:eastAsia="Calibri"/>
          <w:color w:val="000000"/>
          <w:kern w:val="2"/>
          <w:position w:val="0"/>
          <w14:ligatures w14:val="standardContextual"/>
        </w:rPr>
        <w:t>The Biggest Challenges in Professional Development as an English Language Teacher</w:t>
      </w:r>
      <w:bookmarkEnd w:id="128"/>
      <w:bookmarkEnd w:id="129"/>
      <w:bookmarkEnd w:id="130"/>
    </w:p>
    <w:tbl>
      <w:tblPr>
        <w:tblStyle w:val="TableGrid3"/>
        <w:tblW w:w="0" w:type="auto"/>
        <w:tblLook w:val="04A0" w:firstRow="1" w:lastRow="0" w:firstColumn="1" w:lastColumn="0" w:noHBand="0" w:noVBand="1"/>
      </w:tblPr>
      <w:tblGrid>
        <w:gridCol w:w="4390"/>
        <w:gridCol w:w="2835"/>
      </w:tblGrid>
      <w:tr w:rsidR="00CF3DB4" w:rsidRPr="00CF3DB4" w14:paraId="1020DB16" w14:textId="77777777" w:rsidTr="00C141A1">
        <w:tc>
          <w:tcPr>
            <w:tcW w:w="4390" w:type="dxa"/>
          </w:tcPr>
          <w:p w14:paraId="246ED0CE" w14:textId="77777777" w:rsidR="00CF3DB4" w:rsidRPr="00CF3DB4" w:rsidRDefault="00CF3DB4" w:rsidP="00CF3DB4">
            <w:pPr>
              <w:spacing w:line="480" w:lineRule="auto"/>
              <w:jc w:val="center"/>
              <w:rPr>
                <w:rFonts w:ascii="Times New Roman" w:hAnsi="Times New Roman" w:cs="Times New Roman"/>
                <w:b/>
                <w:bCs/>
                <w:position w:val="0"/>
                <w:sz w:val="24"/>
                <w:szCs w:val="24"/>
              </w:rPr>
            </w:pPr>
            <w:r w:rsidRPr="00CF3DB4">
              <w:rPr>
                <w:rFonts w:ascii="Times New Roman" w:hAnsi="Times New Roman" w:cs="Times New Roman"/>
                <w:b/>
                <w:bCs/>
                <w:position w:val="0"/>
                <w:sz w:val="24"/>
                <w:szCs w:val="24"/>
              </w:rPr>
              <w:t>Training Needs</w:t>
            </w:r>
          </w:p>
        </w:tc>
        <w:tc>
          <w:tcPr>
            <w:tcW w:w="2835" w:type="dxa"/>
          </w:tcPr>
          <w:p w14:paraId="4A4D3CC3" w14:textId="77777777" w:rsidR="00CF3DB4" w:rsidRPr="00CF3DB4" w:rsidRDefault="00CF3DB4" w:rsidP="00CF3DB4">
            <w:pPr>
              <w:spacing w:line="480" w:lineRule="auto"/>
              <w:jc w:val="center"/>
              <w:rPr>
                <w:rFonts w:ascii="Times New Roman" w:hAnsi="Times New Roman" w:cs="Times New Roman"/>
                <w:b/>
                <w:bCs/>
                <w:position w:val="0"/>
                <w:sz w:val="24"/>
                <w:szCs w:val="24"/>
              </w:rPr>
            </w:pPr>
            <w:r w:rsidRPr="00CF3DB4">
              <w:rPr>
                <w:rFonts w:ascii="Times New Roman" w:hAnsi="Times New Roman" w:cs="Times New Roman"/>
                <w:b/>
                <w:bCs/>
                <w:position w:val="0"/>
                <w:sz w:val="24"/>
                <w:szCs w:val="24"/>
              </w:rPr>
              <w:t>Respondents’ answers</w:t>
            </w:r>
          </w:p>
        </w:tc>
      </w:tr>
      <w:tr w:rsidR="00CF3DB4" w:rsidRPr="00CF3DB4" w14:paraId="67E47B44" w14:textId="77777777" w:rsidTr="00C141A1">
        <w:tc>
          <w:tcPr>
            <w:tcW w:w="4390" w:type="dxa"/>
          </w:tcPr>
          <w:p w14:paraId="57819117" w14:textId="77777777" w:rsidR="00CF3DB4" w:rsidRPr="00CF3DB4" w:rsidRDefault="00CF3DB4">
            <w:pPr>
              <w:numPr>
                <w:ilvl w:val="0"/>
                <w:numId w:val="3"/>
              </w:numPr>
              <w:spacing w:line="480" w:lineRule="auto"/>
              <w:contextualSpacing/>
              <w:jc w:val="both"/>
              <w:rPr>
                <w:rFonts w:ascii="Times New Roman" w:hAnsi="Times New Roman" w:cs="Times New Roman"/>
                <w:position w:val="0"/>
                <w:sz w:val="24"/>
                <w:szCs w:val="24"/>
              </w:rPr>
            </w:pPr>
            <w:r w:rsidRPr="00CF3DB4">
              <w:rPr>
                <w:rFonts w:ascii="Times New Roman" w:hAnsi="Times New Roman" w:cs="Times New Roman"/>
                <w:position w:val="0"/>
                <w:sz w:val="24"/>
                <w:szCs w:val="24"/>
              </w:rPr>
              <w:t>Technology integration and trends</w:t>
            </w:r>
          </w:p>
        </w:tc>
        <w:tc>
          <w:tcPr>
            <w:tcW w:w="2835" w:type="dxa"/>
          </w:tcPr>
          <w:p w14:paraId="20A7FEBE" w14:textId="77777777" w:rsidR="00CF3DB4" w:rsidRPr="00CF3DB4" w:rsidRDefault="00CF3DB4" w:rsidP="00CF3DB4">
            <w:pPr>
              <w:spacing w:line="480" w:lineRule="auto"/>
              <w:jc w:val="center"/>
              <w:rPr>
                <w:rFonts w:ascii="Times New Roman" w:hAnsi="Times New Roman" w:cs="Times New Roman"/>
                <w:position w:val="0"/>
                <w:sz w:val="24"/>
                <w:szCs w:val="24"/>
              </w:rPr>
            </w:pPr>
            <w:r w:rsidRPr="00CF3DB4">
              <w:rPr>
                <w:rFonts w:ascii="Times New Roman" w:hAnsi="Times New Roman" w:cs="Times New Roman"/>
                <w:position w:val="0"/>
                <w:sz w:val="24"/>
                <w:szCs w:val="24"/>
              </w:rPr>
              <w:t>42.4 %</w:t>
            </w:r>
          </w:p>
        </w:tc>
      </w:tr>
      <w:tr w:rsidR="00CF3DB4" w:rsidRPr="00CF3DB4" w14:paraId="38781FD3" w14:textId="77777777" w:rsidTr="00C141A1">
        <w:tc>
          <w:tcPr>
            <w:tcW w:w="4390" w:type="dxa"/>
          </w:tcPr>
          <w:p w14:paraId="4359BB0A" w14:textId="77777777" w:rsidR="00CF3DB4" w:rsidRPr="00CF3DB4" w:rsidRDefault="00CF3DB4">
            <w:pPr>
              <w:numPr>
                <w:ilvl w:val="0"/>
                <w:numId w:val="3"/>
              </w:numPr>
              <w:spacing w:line="480" w:lineRule="auto"/>
              <w:contextualSpacing/>
              <w:rPr>
                <w:rFonts w:ascii="Times New Roman" w:hAnsi="Times New Roman" w:cs="Times New Roman"/>
                <w:position w:val="0"/>
                <w:sz w:val="24"/>
                <w:szCs w:val="24"/>
              </w:rPr>
            </w:pPr>
            <w:r w:rsidRPr="00CF3DB4">
              <w:rPr>
                <w:rFonts w:ascii="Times New Roman" w:hAnsi="Times New Roman" w:cs="Times New Roman"/>
                <w:position w:val="0"/>
                <w:sz w:val="24"/>
                <w:szCs w:val="24"/>
              </w:rPr>
              <w:t>Assessment and feedback</w:t>
            </w:r>
          </w:p>
        </w:tc>
        <w:tc>
          <w:tcPr>
            <w:tcW w:w="2835" w:type="dxa"/>
          </w:tcPr>
          <w:p w14:paraId="64695894" w14:textId="77777777" w:rsidR="00CF3DB4" w:rsidRPr="00CF3DB4" w:rsidRDefault="00CF3DB4" w:rsidP="00CF3DB4">
            <w:pPr>
              <w:spacing w:line="480" w:lineRule="auto"/>
              <w:jc w:val="center"/>
              <w:rPr>
                <w:rFonts w:ascii="Times New Roman" w:hAnsi="Times New Roman" w:cs="Times New Roman"/>
                <w:position w:val="0"/>
                <w:sz w:val="24"/>
                <w:szCs w:val="24"/>
              </w:rPr>
            </w:pPr>
            <w:r w:rsidRPr="00CF3DB4">
              <w:rPr>
                <w:rFonts w:ascii="Times New Roman" w:hAnsi="Times New Roman" w:cs="Times New Roman"/>
                <w:position w:val="0"/>
                <w:sz w:val="24"/>
                <w:szCs w:val="24"/>
              </w:rPr>
              <w:t>23.7 %</w:t>
            </w:r>
          </w:p>
        </w:tc>
      </w:tr>
      <w:tr w:rsidR="00CF3DB4" w:rsidRPr="00CF3DB4" w14:paraId="2B2608E5" w14:textId="77777777" w:rsidTr="00C141A1">
        <w:tc>
          <w:tcPr>
            <w:tcW w:w="4390" w:type="dxa"/>
          </w:tcPr>
          <w:p w14:paraId="7369B75E" w14:textId="77777777" w:rsidR="00CF3DB4" w:rsidRPr="00CF3DB4" w:rsidRDefault="00CF3DB4">
            <w:pPr>
              <w:numPr>
                <w:ilvl w:val="0"/>
                <w:numId w:val="3"/>
              </w:numPr>
              <w:spacing w:line="480" w:lineRule="auto"/>
              <w:contextualSpacing/>
              <w:jc w:val="both"/>
              <w:rPr>
                <w:rFonts w:ascii="Times New Roman" w:hAnsi="Times New Roman" w:cs="Times New Roman"/>
                <w:position w:val="0"/>
                <w:sz w:val="24"/>
                <w:szCs w:val="24"/>
              </w:rPr>
            </w:pPr>
            <w:r w:rsidRPr="00CF3DB4">
              <w:rPr>
                <w:rFonts w:ascii="Times New Roman" w:hAnsi="Times New Roman" w:cs="Times New Roman"/>
                <w:position w:val="0"/>
                <w:sz w:val="24"/>
                <w:szCs w:val="24"/>
              </w:rPr>
              <w:t>Access to professional development</w:t>
            </w:r>
          </w:p>
        </w:tc>
        <w:tc>
          <w:tcPr>
            <w:tcW w:w="2835" w:type="dxa"/>
          </w:tcPr>
          <w:p w14:paraId="39AC898F" w14:textId="77777777" w:rsidR="00CF3DB4" w:rsidRPr="00CF3DB4" w:rsidRDefault="00CF3DB4" w:rsidP="00CF3DB4">
            <w:pPr>
              <w:spacing w:line="480" w:lineRule="auto"/>
              <w:jc w:val="center"/>
              <w:rPr>
                <w:rFonts w:ascii="Times New Roman" w:hAnsi="Times New Roman" w:cs="Times New Roman"/>
                <w:position w:val="0"/>
                <w:sz w:val="24"/>
                <w:szCs w:val="24"/>
              </w:rPr>
            </w:pPr>
            <w:r w:rsidRPr="00CF3DB4">
              <w:rPr>
                <w:rFonts w:ascii="Times New Roman" w:hAnsi="Times New Roman" w:cs="Times New Roman"/>
                <w:position w:val="0"/>
                <w:sz w:val="24"/>
                <w:szCs w:val="24"/>
              </w:rPr>
              <w:t>45.8 %</w:t>
            </w:r>
          </w:p>
        </w:tc>
      </w:tr>
      <w:tr w:rsidR="00CF3DB4" w:rsidRPr="00CF3DB4" w14:paraId="3EE70114" w14:textId="77777777" w:rsidTr="00C141A1">
        <w:tc>
          <w:tcPr>
            <w:tcW w:w="4390" w:type="dxa"/>
          </w:tcPr>
          <w:p w14:paraId="6D2FF9C7" w14:textId="77777777" w:rsidR="00CF3DB4" w:rsidRPr="00CF3DB4" w:rsidRDefault="00CF3DB4">
            <w:pPr>
              <w:numPr>
                <w:ilvl w:val="0"/>
                <w:numId w:val="3"/>
              </w:numPr>
              <w:spacing w:line="480" w:lineRule="auto"/>
              <w:contextualSpacing/>
              <w:jc w:val="both"/>
              <w:rPr>
                <w:rFonts w:ascii="Times New Roman" w:hAnsi="Times New Roman" w:cs="Times New Roman"/>
                <w:position w:val="0"/>
                <w:sz w:val="24"/>
                <w:szCs w:val="24"/>
              </w:rPr>
            </w:pPr>
            <w:r w:rsidRPr="00CF3DB4">
              <w:rPr>
                <w:rFonts w:ascii="Times New Roman" w:hAnsi="Times New Roman" w:cs="Times New Roman"/>
                <w:position w:val="0"/>
                <w:sz w:val="24"/>
                <w:szCs w:val="24"/>
              </w:rPr>
              <w:t>Time constraint and workload</w:t>
            </w:r>
          </w:p>
        </w:tc>
        <w:tc>
          <w:tcPr>
            <w:tcW w:w="2835" w:type="dxa"/>
          </w:tcPr>
          <w:p w14:paraId="648E3729" w14:textId="77777777" w:rsidR="00CF3DB4" w:rsidRPr="00CF3DB4" w:rsidRDefault="00CF3DB4" w:rsidP="00CF3DB4">
            <w:pPr>
              <w:spacing w:line="480" w:lineRule="auto"/>
              <w:jc w:val="center"/>
              <w:rPr>
                <w:rFonts w:ascii="Times New Roman" w:hAnsi="Times New Roman" w:cs="Times New Roman"/>
                <w:position w:val="0"/>
                <w:sz w:val="24"/>
                <w:szCs w:val="24"/>
              </w:rPr>
            </w:pPr>
            <w:r w:rsidRPr="00CF3DB4">
              <w:rPr>
                <w:rFonts w:ascii="Times New Roman" w:hAnsi="Times New Roman" w:cs="Times New Roman"/>
                <w:position w:val="0"/>
                <w:sz w:val="24"/>
                <w:szCs w:val="24"/>
              </w:rPr>
              <w:t>61 %</w:t>
            </w:r>
          </w:p>
        </w:tc>
      </w:tr>
      <w:tr w:rsidR="00CF3DB4" w:rsidRPr="00CF3DB4" w14:paraId="6CF5B024" w14:textId="77777777" w:rsidTr="00C141A1">
        <w:tc>
          <w:tcPr>
            <w:tcW w:w="4390" w:type="dxa"/>
          </w:tcPr>
          <w:p w14:paraId="3F21264C" w14:textId="77777777" w:rsidR="00CF3DB4" w:rsidRPr="00CF3DB4" w:rsidRDefault="00CF3DB4">
            <w:pPr>
              <w:numPr>
                <w:ilvl w:val="0"/>
                <w:numId w:val="3"/>
              </w:numPr>
              <w:spacing w:line="480" w:lineRule="auto"/>
              <w:contextualSpacing/>
              <w:jc w:val="both"/>
              <w:rPr>
                <w:rFonts w:ascii="Times New Roman" w:hAnsi="Times New Roman" w:cs="Times New Roman"/>
                <w:position w:val="0"/>
                <w:sz w:val="24"/>
                <w:szCs w:val="24"/>
              </w:rPr>
            </w:pPr>
            <w:r w:rsidRPr="00CF3DB4">
              <w:rPr>
                <w:rFonts w:ascii="Times New Roman" w:hAnsi="Times New Roman" w:cs="Times New Roman"/>
                <w:position w:val="0"/>
                <w:sz w:val="24"/>
                <w:szCs w:val="24"/>
              </w:rPr>
              <w:t>Standardized testing pressures</w:t>
            </w:r>
          </w:p>
        </w:tc>
        <w:tc>
          <w:tcPr>
            <w:tcW w:w="2835" w:type="dxa"/>
          </w:tcPr>
          <w:p w14:paraId="75C6F6C4" w14:textId="77777777" w:rsidR="00CF3DB4" w:rsidRPr="00CF3DB4" w:rsidRDefault="00CF3DB4" w:rsidP="00CF3DB4">
            <w:pPr>
              <w:spacing w:line="480" w:lineRule="auto"/>
              <w:jc w:val="center"/>
              <w:rPr>
                <w:rFonts w:ascii="Times New Roman" w:hAnsi="Times New Roman" w:cs="Times New Roman"/>
                <w:position w:val="0"/>
                <w:sz w:val="24"/>
                <w:szCs w:val="24"/>
              </w:rPr>
            </w:pPr>
            <w:r w:rsidRPr="00CF3DB4">
              <w:rPr>
                <w:rFonts w:ascii="Times New Roman" w:hAnsi="Times New Roman" w:cs="Times New Roman"/>
                <w:position w:val="0"/>
                <w:sz w:val="24"/>
                <w:szCs w:val="24"/>
              </w:rPr>
              <w:t>30.5 %</w:t>
            </w:r>
          </w:p>
        </w:tc>
      </w:tr>
      <w:tr w:rsidR="00CF3DB4" w:rsidRPr="00CF3DB4" w14:paraId="04776E66" w14:textId="77777777" w:rsidTr="00C141A1">
        <w:tc>
          <w:tcPr>
            <w:tcW w:w="4390" w:type="dxa"/>
          </w:tcPr>
          <w:p w14:paraId="2873477F" w14:textId="77777777" w:rsidR="00CF3DB4" w:rsidRPr="00CF3DB4" w:rsidRDefault="00CF3DB4">
            <w:pPr>
              <w:numPr>
                <w:ilvl w:val="0"/>
                <w:numId w:val="3"/>
              </w:numPr>
              <w:spacing w:line="480" w:lineRule="auto"/>
              <w:contextualSpacing/>
              <w:jc w:val="both"/>
              <w:rPr>
                <w:rFonts w:ascii="Times New Roman" w:hAnsi="Times New Roman" w:cs="Times New Roman"/>
                <w:position w:val="0"/>
                <w:sz w:val="24"/>
                <w:szCs w:val="24"/>
              </w:rPr>
            </w:pPr>
            <w:r w:rsidRPr="00CF3DB4">
              <w:rPr>
                <w:rFonts w:ascii="Times New Roman" w:hAnsi="Times New Roman" w:cs="Times New Roman"/>
                <w:position w:val="0"/>
                <w:sz w:val="24"/>
                <w:szCs w:val="24"/>
              </w:rPr>
              <w:t>Relevance of PD opportunities</w:t>
            </w:r>
          </w:p>
        </w:tc>
        <w:tc>
          <w:tcPr>
            <w:tcW w:w="2835" w:type="dxa"/>
          </w:tcPr>
          <w:p w14:paraId="698A94B2" w14:textId="77777777" w:rsidR="00CF3DB4" w:rsidRPr="00CF3DB4" w:rsidRDefault="00CF3DB4" w:rsidP="00CF3DB4">
            <w:pPr>
              <w:spacing w:line="480" w:lineRule="auto"/>
              <w:jc w:val="center"/>
              <w:rPr>
                <w:rFonts w:ascii="Times New Roman" w:hAnsi="Times New Roman" w:cs="Times New Roman"/>
                <w:position w:val="0"/>
                <w:sz w:val="24"/>
                <w:szCs w:val="24"/>
              </w:rPr>
            </w:pPr>
            <w:r w:rsidRPr="00CF3DB4">
              <w:rPr>
                <w:rFonts w:ascii="Times New Roman" w:hAnsi="Times New Roman" w:cs="Times New Roman"/>
                <w:position w:val="0"/>
                <w:sz w:val="24"/>
                <w:szCs w:val="24"/>
              </w:rPr>
              <w:t>26.3 %</w:t>
            </w:r>
          </w:p>
        </w:tc>
      </w:tr>
      <w:tr w:rsidR="00CF3DB4" w:rsidRPr="00CF3DB4" w14:paraId="3ED3893F" w14:textId="77777777" w:rsidTr="00C141A1">
        <w:tc>
          <w:tcPr>
            <w:tcW w:w="4390" w:type="dxa"/>
          </w:tcPr>
          <w:p w14:paraId="74D2EA96" w14:textId="77777777" w:rsidR="00CF3DB4" w:rsidRPr="00CF3DB4" w:rsidRDefault="00CF3DB4">
            <w:pPr>
              <w:numPr>
                <w:ilvl w:val="0"/>
                <w:numId w:val="3"/>
              </w:numPr>
              <w:spacing w:line="480" w:lineRule="auto"/>
              <w:contextualSpacing/>
              <w:jc w:val="both"/>
              <w:rPr>
                <w:rFonts w:ascii="Times New Roman" w:hAnsi="Times New Roman" w:cs="Times New Roman"/>
                <w:position w:val="0"/>
                <w:sz w:val="24"/>
                <w:szCs w:val="24"/>
              </w:rPr>
            </w:pPr>
            <w:r w:rsidRPr="00CF3DB4">
              <w:rPr>
                <w:rFonts w:ascii="Times New Roman" w:hAnsi="Times New Roman" w:cs="Times New Roman"/>
                <w:position w:val="0"/>
                <w:sz w:val="24"/>
                <w:szCs w:val="24"/>
              </w:rPr>
              <w:t>Lack of practical application</w:t>
            </w:r>
          </w:p>
        </w:tc>
        <w:tc>
          <w:tcPr>
            <w:tcW w:w="2835" w:type="dxa"/>
          </w:tcPr>
          <w:p w14:paraId="5A7E6AC9" w14:textId="77777777" w:rsidR="00CF3DB4" w:rsidRPr="00CF3DB4" w:rsidRDefault="00CF3DB4">
            <w:pPr>
              <w:numPr>
                <w:ilvl w:val="1"/>
                <w:numId w:val="5"/>
              </w:numPr>
              <w:spacing w:line="480" w:lineRule="auto"/>
              <w:contextualSpacing/>
              <w:jc w:val="center"/>
              <w:rPr>
                <w:rFonts w:ascii="Times New Roman" w:hAnsi="Times New Roman" w:cs="Times New Roman"/>
                <w:position w:val="0"/>
                <w:sz w:val="24"/>
                <w:szCs w:val="24"/>
              </w:rPr>
            </w:pPr>
            <w:r w:rsidRPr="00CF3DB4">
              <w:rPr>
                <w:rFonts w:ascii="Times New Roman" w:hAnsi="Times New Roman" w:cs="Times New Roman"/>
                <w:position w:val="0"/>
                <w:sz w:val="24"/>
                <w:szCs w:val="24"/>
              </w:rPr>
              <w:t>%</w:t>
            </w:r>
          </w:p>
        </w:tc>
      </w:tr>
    </w:tbl>
    <w:p w14:paraId="544502C3" w14:textId="77777777" w:rsidR="00CF3DB4" w:rsidRPr="00CF3DB4" w:rsidRDefault="00CF3DB4" w:rsidP="00CF3DB4">
      <w:pPr>
        <w:spacing w:after="160" w:line="360" w:lineRule="auto"/>
        <w:rPr>
          <w:rFonts w:eastAsia="Calibri"/>
          <w:kern w:val="2"/>
          <w:position w:val="0"/>
          <w14:ligatures w14:val="standardContextual"/>
        </w:rPr>
      </w:pPr>
    </w:p>
    <w:p w14:paraId="7687DA9D" w14:textId="1A0DE152" w:rsidR="00CF3DB4" w:rsidRPr="00CF3DB4" w:rsidRDefault="001E0628" w:rsidP="00AA5DBF">
      <w:pPr>
        <w:pStyle w:val="Titre1"/>
        <w:rPr>
          <w:rFonts w:eastAsia="Calibri"/>
        </w:rPr>
      </w:pPr>
      <w:bookmarkStart w:id="131" w:name="_Toc200486049"/>
      <w:r>
        <w:rPr>
          <w:rFonts w:eastAsia="Calibri"/>
        </w:rPr>
        <w:t xml:space="preserve">II. </w:t>
      </w:r>
      <w:r w:rsidR="00CF3DB4" w:rsidRPr="00CF3DB4">
        <w:rPr>
          <w:rFonts w:eastAsia="Calibri"/>
        </w:rPr>
        <w:t>Online Teacher Communities</w:t>
      </w:r>
      <w:bookmarkEnd w:id="131"/>
    </w:p>
    <w:p w14:paraId="54DAA8D4" w14:textId="45AC63F6" w:rsidR="00CF3DB4" w:rsidRPr="00CF3DB4" w:rsidRDefault="001E0628" w:rsidP="00AA5DBF">
      <w:pPr>
        <w:pStyle w:val="Titre1"/>
        <w:rPr>
          <w:rFonts w:eastAsia="Calibri"/>
        </w:rPr>
      </w:pPr>
      <w:bookmarkStart w:id="132" w:name="_Toc200486050"/>
      <w:r>
        <w:rPr>
          <w:rFonts w:eastAsia="Calibri"/>
        </w:rPr>
        <w:t xml:space="preserve">2.1. </w:t>
      </w:r>
      <w:r w:rsidR="00CF3DB4" w:rsidRPr="00CF3DB4">
        <w:rPr>
          <w:rFonts w:eastAsia="Calibri"/>
        </w:rPr>
        <w:t>Definition of Online Teacher Communities (OTCs)</w:t>
      </w:r>
      <w:bookmarkEnd w:id="132"/>
    </w:p>
    <w:p w14:paraId="18CF101E" w14:textId="002BC7BD" w:rsidR="00B31A31" w:rsidRDefault="00CF3DB4" w:rsidP="00B31A31">
      <w:pPr>
        <w:spacing w:after="160" w:line="480" w:lineRule="auto"/>
        <w:ind w:firstLine="567"/>
        <w:contextualSpacing/>
        <w:jc w:val="both"/>
        <w:rPr>
          <w:rFonts w:eastAsia="Calibri"/>
          <w:kern w:val="2"/>
          <w:position w:val="0"/>
          <w14:ligatures w14:val="standardContextual"/>
        </w:rPr>
      </w:pPr>
      <w:r w:rsidRPr="00CF3DB4">
        <w:rPr>
          <w:rFonts w:eastAsia="Calibri"/>
          <w:kern w:val="2"/>
          <w:position w:val="0"/>
          <w14:ligatures w14:val="standardContextual"/>
        </w:rPr>
        <w:t xml:space="preserve">    The concept of community pertains to belonging to and exchanging significant notions and practices with others. Online teacher learning communities (OTLC) are examples of virtual contexts that enable individuals to collaborate, share knowledge and discuss pedagogical and methodological issues. Wenger (1988) argue</w:t>
      </w:r>
      <w:r w:rsidR="002E58DE">
        <w:rPr>
          <w:rFonts w:eastAsia="Calibri"/>
          <w:kern w:val="2"/>
          <w:position w:val="0"/>
          <w14:ligatures w14:val="standardContextual"/>
        </w:rPr>
        <w:t>s</w:t>
      </w:r>
      <w:r w:rsidRPr="00CF3DB4">
        <w:rPr>
          <w:rFonts w:eastAsia="Calibri"/>
          <w:kern w:val="2"/>
          <w:position w:val="0"/>
          <w14:ligatures w14:val="standardContextual"/>
        </w:rPr>
        <w:t xml:space="preserve"> that the “L” in the acronym OLC </w:t>
      </w:r>
      <w:proofErr w:type="gramStart"/>
      <w:r w:rsidRPr="00CF3DB4">
        <w:rPr>
          <w:rFonts w:eastAsia="Calibri"/>
          <w:kern w:val="2"/>
          <w:position w:val="0"/>
          <w14:ligatures w14:val="standardContextual"/>
        </w:rPr>
        <w:t>is theorized</w:t>
      </w:r>
      <w:proofErr w:type="gramEnd"/>
      <w:r w:rsidRPr="00CF3DB4">
        <w:rPr>
          <w:rFonts w:eastAsia="Calibri"/>
          <w:kern w:val="2"/>
          <w:position w:val="0"/>
          <w14:ligatures w14:val="standardContextual"/>
        </w:rPr>
        <w:t xml:space="preserve"> as mutually constitutive with community </w:t>
      </w:r>
      <w:bookmarkStart w:id="133" w:name="_Hlk196206186"/>
      <w:sdt>
        <w:sdtPr>
          <w:rPr>
            <w:rFonts w:eastAsia="Calibri"/>
            <w:kern w:val="2"/>
            <w:position w:val="0"/>
            <w14:ligatures w14:val="standardContextual"/>
          </w:rPr>
          <w:id w:val="478731624"/>
          <w:citation/>
        </w:sdtPr>
        <w:sdtEndPr/>
        <w:sdtContent>
          <w:r w:rsidRPr="00CF3DB4">
            <w:rPr>
              <w:rFonts w:eastAsia="Calibri"/>
              <w:kern w:val="2"/>
              <w:position w:val="0"/>
              <w14:ligatures w14:val="standardContextual"/>
            </w:rPr>
            <w:fldChar w:fldCharType="begin"/>
          </w:r>
          <w:r w:rsidR="00D5454C">
            <w:rPr>
              <w:rFonts w:eastAsia="Calibri"/>
              <w:kern w:val="2"/>
              <w:position w:val="0"/>
              <w14:ligatures w14:val="standardContextual"/>
            </w:rPr>
            <w:instrText xml:space="preserve">CITATION Lin09 \l 1033 </w:instrText>
          </w:r>
          <w:r w:rsidRPr="00CF3DB4">
            <w:rPr>
              <w:rFonts w:eastAsia="Calibri"/>
              <w:kern w:val="2"/>
              <w:position w:val="0"/>
              <w14:ligatures w14:val="standardContextual"/>
            </w:rPr>
            <w:fldChar w:fldCharType="separate"/>
          </w:r>
          <w:r w:rsidR="00D5454C" w:rsidRPr="00D5454C">
            <w:rPr>
              <w:rFonts w:eastAsia="Calibri"/>
              <w:noProof/>
              <w:kern w:val="2"/>
              <w:position w:val="0"/>
              <w14:ligatures w14:val="standardContextual"/>
            </w:rPr>
            <w:t>(Lindberg et al., 2009)</w:t>
          </w:r>
          <w:r w:rsidRPr="00CF3DB4">
            <w:rPr>
              <w:rFonts w:eastAsia="Calibri"/>
              <w:kern w:val="2"/>
              <w:position w:val="0"/>
              <w14:ligatures w14:val="standardContextual"/>
            </w:rPr>
            <w:fldChar w:fldCharType="end"/>
          </w:r>
        </w:sdtContent>
      </w:sdt>
      <w:bookmarkEnd w:id="133"/>
      <w:r w:rsidRPr="00CF3DB4">
        <w:rPr>
          <w:rFonts w:eastAsia="Calibri"/>
          <w:kern w:val="2"/>
          <w:position w:val="0"/>
          <w14:ligatures w14:val="standardContextual"/>
        </w:rPr>
        <w:t>.</w:t>
      </w:r>
      <w:r w:rsidRPr="00CF3DB4">
        <w:rPr>
          <w:rFonts w:eastAsia="Calibri"/>
          <w:noProof/>
          <w:kern w:val="2"/>
          <w:position w:val="0"/>
          <w14:ligatures w14:val="standardContextual"/>
        </w:rPr>
        <w:t xml:space="preserve"> What is more, Jean Lave (2019) pioneered the idea of “learning through practice”. Learning, according to him, takes place while individuals undertake cooperative tasks. Lindberg et al., (2009) assert that teachers’ CPD has </w:t>
      </w:r>
      <w:r w:rsidRPr="00CF3DB4">
        <w:rPr>
          <w:rFonts w:eastAsia="Calibri"/>
          <w:noProof/>
          <w:kern w:val="2"/>
          <w:position w:val="0"/>
          <w14:ligatures w14:val="standardContextual"/>
        </w:rPr>
        <w:lastRenderedPageBreak/>
        <w:t>shifted from a “transmission model” from experts to trainers to community-based collaborative “knowledge construcion”.</w:t>
      </w:r>
      <w:r w:rsidRPr="00CF3DB4">
        <w:rPr>
          <w:rFonts w:eastAsia="Calibri"/>
          <w:kern w:val="2"/>
          <w:position w:val="0"/>
          <w14:ligatures w14:val="standardContextual"/>
        </w:rPr>
        <w:t xml:space="preserve"> Hence, a teacher’s learning is interwoven with his continuous evolving aptitude of reflection on his own practices be it novice or experienced.  </w:t>
      </w:r>
    </w:p>
    <w:p w14:paraId="7F9870B6" w14:textId="2E088B27" w:rsidR="00CF3DB4" w:rsidRPr="00CF3DB4" w:rsidRDefault="00CF3DB4" w:rsidP="00B31A31">
      <w:pPr>
        <w:spacing w:after="160" w:line="480" w:lineRule="auto"/>
        <w:ind w:firstLine="567"/>
        <w:contextualSpacing/>
        <w:jc w:val="both"/>
        <w:rPr>
          <w:rFonts w:eastAsia="Calibri"/>
          <w:kern w:val="2"/>
          <w:position w:val="0"/>
          <w14:ligatures w14:val="standardContextual"/>
        </w:rPr>
      </w:pPr>
      <w:r w:rsidRPr="00CF3DB4">
        <w:rPr>
          <w:rFonts w:eastAsia="Calibri"/>
          <w:kern w:val="2"/>
          <w:position w:val="0"/>
          <w14:ligatures w14:val="standardContextual"/>
        </w:rPr>
        <w:t>Engaging in research-informed learning communities is advantageous</w:t>
      </w:r>
      <w:sdt>
        <w:sdtPr>
          <w:rPr>
            <w:rFonts w:eastAsia="Calibri"/>
            <w:kern w:val="2"/>
            <w:position w:val="0"/>
            <w14:ligatures w14:val="standardContextual"/>
          </w:rPr>
          <w:id w:val="910736971"/>
          <w:citation/>
        </w:sdtPr>
        <w:sdtEndPr/>
        <w:sdtContent>
          <w:r w:rsidRPr="00CF3DB4">
            <w:rPr>
              <w:rFonts w:eastAsia="Calibri"/>
              <w:kern w:val="2"/>
              <w:position w:val="0"/>
              <w14:ligatures w14:val="standardContextual"/>
            </w:rPr>
            <w:fldChar w:fldCharType="begin"/>
          </w:r>
          <w:r w:rsidRPr="00CF3DB4">
            <w:rPr>
              <w:rFonts w:eastAsia="Calibri"/>
              <w:kern w:val="2"/>
              <w:position w:val="0"/>
              <w14:ligatures w14:val="standardContextual"/>
            </w:rPr>
            <w:instrText xml:space="preserve"> CITATION Phi13 \l 1033 </w:instrText>
          </w:r>
          <w:r w:rsidRPr="00CF3DB4">
            <w:rPr>
              <w:rFonts w:eastAsia="Calibri"/>
              <w:kern w:val="2"/>
              <w:position w:val="0"/>
              <w14:ligatures w14:val="standardContextual"/>
            </w:rPr>
            <w:fldChar w:fldCharType="separate"/>
          </w:r>
          <w:r w:rsidRPr="00CF3DB4">
            <w:rPr>
              <w:rFonts w:eastAsia="Calibri"/>
              <w:noProof/>
              <w:kern w:val="2"/>
              <w:position w:val="0"/>
              <w14:ligatures w14:val="standardContextual"/>
            </w:rPr>
            <w:t xml:space="preserve"> (Cordingley, 2013)</w:t>
          </w:r>
          <w:r w:rsidRPr="00CF3DB4">
            <w:rPr>
              <w:rFonts w:eastAsia="Calibri"/>
              <w:kern w:val="2"/>
              <w:position w:val="0"/>
              <w14:ligatures w14:val="standardContextual"/>
            </w:rPr>
            <w:fldChar w:fldCharType="end"/>
          </w:r>
        </w:sdtContent>
      </w:sdt>
      <w:r w:rsidRPr="00CF3DB4">
        <w:rPr>
          <w:rFonts w:eastAsia="Calibri"/>
          <w:kern w:val="2"/>
          <w:position w:val="0"/>
          <w14:ligatures w14:val="standardContextual"/>
        </w:rPr>
        <w:t xml:space="preserve">. Peer mentoring and support enhance teacher’s subject-matter </w:t>
      </w:r>
      <w:proofErr w:type="gramStart"/>
      <w:r w:rsidRPr="00CF3DB4">
        <w:rPr>
          <w:rFonts w:eastAsia="Calibri"/>
          <w:kern w:val="2"/>
          <w:position w:val="0"/>
          <w14:ligatures w14:val="standardContextual"/>
        </w:rPr>
        <w:t>literacy which</w:t>
      </w:r>
      <w:proofErr w:type="gramEnd"/>
      <w:r w:rsidRPr="00CF3DB4">
        <w:rPr>
          <w:rFonts w:eastAsia="Calibri"/>
          <w:kern w:val="2"/>
          <w:position w:val="0"/>
          <w14:ligatures w14:val="standardContextual"/>
        </w:rPr>
        <w:t xml:space="preserve"> encompasses knowledge, skills and reflective enquiry. This develops inquisitive, confident, open-minded, innovative and proactive educators. Further, feedback from learners’ assessment examined outcomes, peers’ observations, discussions and needs analysis equips instructors with robust competences to adjust techniques and strategies for a more individualized inclusive learning (</w:t>
      </w:r>
      <w:proofErr w:type="spellStart"/>
      <w:proofErr w:type="gramStart"/>
      <w:r w:rsidRPr="00CF3DB4">
        <w:rPr>
          <w:rFonts w:eastAsia="Calibri"/>
          <w:kern w:val="2"/>
          <w:position w:val="0"/>
          <w14:ligatures w14:val="standardContextual"/>
        </w:rPr>
        <w:t>Orlich</w:t>
      </w:r>
      <w:proofErr w:type="spellEnd"/>
      <w:r w:rsidRPr="00CF3DB4">
        <w:rPr>
          <w:rFonts w:eastAsia="Calibri"/>
          <w:kern w:val="2"/>
          <w:position w:val="0"/>
          <w14:ligatures w14:val="standardContextual"/>
        </w:rPr>
        <w:t>.,</w:t>
      </w:r>
      <w:proofErr w:type="gramEnd"/>
      <w:r w:rsidRPr="00CF3DB4">
        <w:rPr>
          <w:rFonts w:eastAsia="Calibri"/>
          <w:kern w:val="2"/>
          <w:position w:val="0"/>
          <w14:ligatures w14:val="standardContextual"/>
        </w:rPr>
        <w:t xml:space="preserve"> et al, 2010). As such, practitioners’ co-construction of knowledge, collaboration and reflection on scholarly practices promote learning environments conducive to teacher improvement and learner achievement.</w:t>
      </w:r>
    </w:p>
    <w:p w14:paraId="1628E563" w14:textId="6D54EDA2" w:rsidR="00CF3DB4" w:rsidRPr="00CF3DB4" w:rsidRDefault="00B31A31" w:rsidP="00AA5DBF">
      <w:pPr>
        <w:pStyle w:val="Titre1"/>
        <w:rPr>
          <w:rFonts w:eastAsia="Calibri"/>
        </w:rPr>
      </w:pPr>
      <w:bookmarkStart w:id="134" w:name="_Toc200486051"/>
      <w:r>
        <w:rPr>
          <w:rFonts w:eastAsia="Calibri"/>
        </w:rPr>
        <w:t xml:space="preserve">2.2. </w:t>
      </w:r>
      <w:r w:rsidR="00CF3DB4" w:rsidRPr="00CF3DB4">
        <w:rPr>
          <w:rFonts w:eastAsia="Calibri"/>
        </w:rPr>
        <w:t>OTCs and Professional Development</w:t>
      </w:r>
      <w:bookmarkEnd w:id="134"/>
    </w:p>
    <w:p w14:paraId="312BFE39" w14:textId="3A7BC718" w:rsidR="00A17DA2" w:rsidRDefault="00CF3DB4" w:rsidP="00A17DA2">
      <w:pPr>
        <w:spacing w:after="160" w:line="480" w:lineRule="auto"/>
        <w:ind w:firstLine="567"/>
        <w:jc w:val="both"/>
        <w:rPr>
          <w:rFonts w:eastAsia="Calibri"/>
          <w:kern w:val="2"/>
          <w:position w:val="0"/>
          <w14:ligatures w14:val="standardContextual"/>
        </w:rPr>
      </w:pPr>
      <w:r w:rsidRPr="00CF3DB4">
        <w:rPr>
          <w:rFonts w:eastAsia="Calibri"/>
          <w:kern w:val="2"/>
          <w:position w:val="0"/>
          <w14:ligatures w14:val="standardContextual"/>
        </w:rPr>
        <w:t xml:space="preserve">All individuals who influence student learning have to engage in ongoing professional development </w:t>
      </w:r>
      <w:r w:rsidRPr="00CF3DB4">
        <w:rPr>
          <w:rFonts w:eastAsia="Calibri"/>
          <w:kern w:val="2"/>
          <w:position w:val="0"/>
          <w14:ligatures w14:val="standardContextual"/>
        </w:rPr>
        <w:fldChar w:fldCharType="begin"/>
      </w:r>
      <w:r w:rsidRPr="00CF3DB4">
        <w:rPr>
          <w:rFonts w:eastAsia="Calibri"/>
          <w:kern w:val="2"/>
          <w:position w:val="0"/>
          <w14:ligatures w14:val="standardContextual"/>
        </w:rPr>
        <w:instrText xml:space="preserve">CITATION Tho00 \t  \l 1033 </w:instrText>
      </w:r>
      <w:r w:rsidRPr="00CF3DB4">
        <w:rPr>
          <w:rFonts w:eastAsia="Calibri"/>
          <w:kern w:val="2"/>
          <w:position w:val="0"/>
          <w14:ligatures w14:val="standardContextual"/>
        </w:rPr>
        <w:fldChar w:fldCharType="separate"/>
      </w:r>
      <w:r w:rsidRPr="00CF3DB4">
        <w:rPr>
          <w:rFonts w:eastAsia="Calibri"/>
          <w:noProof/>
          <w:kern w:val="2"/>
          <w:position w:val="0"/>
          <w14:ligatures w14:val="standardContextual"/>
        </w:rPr>
        <w:t>(Guskey, 2000)</w:t>
      </w:r>
      <w:r w:rsidRPr="00CF3DB4">
        <w:rPr>
          <w:rFonts w:eastAsia="Calibri"/>
          <w:kern w:val="2"/>
          <w:position w:val="0"/>
          <w14:ligatures w14:val="standardContextual"/>
        </w:rPr>
        <w:fldChar w:fldCharType="end"/>
      </w:r>
      <w:r w:rsidRPr="00CF3DB4">
        <w:rPr>
          <w:rFonts w:eastAsia="Calibri"/>
          <w:kern w:val="2"/>
          <w:position w:val="0"/>
          <w14:ligatures w14:val="standardContextual"/>
        </w:rPr>
        <w:t xml:space="preserve">. Teachers ought to </w:t>
      </w:r>
      <w:proofErr w:type="gramStart"/>
      <w:r w:rsidRPr="00CF3DB4">
        <w:rPr>
          <w:rFonts w:eastAsia="Calibri"/>
          <w:kern w:val="2"/>
          <w:position w:val="0"/>
          <w14:ligatures w14:val="standardContextual"/>
        </w:rPr>
        <w:t>be informed</w:t>
      </w:r>
      <w:proofErr w:type="gramEnd"/>
      <w:r w:rsidRPr="00CF3DB4">
        <w:rPr>
          <w:rFonts w:eastAsia="Calibri"/>
          <w:kern w:val="2"/>
          <w:position w:val="0"/>
          <w14:ligatures w14:val="standardContextual"/>
        </w:rPr>
        <w:t xml:space="preserve"> about instructional trends including assessing learners and instructors themselves.  </w:t>
      </w:r>
      <w:proofErr w:type="spellStart"/>
      <w:r w:rsidRPr="00CF3DB4">
        <w:rPr>
          <w:rFonts w:eastAsia="Calibri"/>
          <w:kern w:val="2"/>
          <w:position w:val="0"/>
          <w14:ligatures w14:val="standardContextual"/>
        </w:rPr>
        <w:t>Guskey</w:t>
      </w:r>
      <w:proofErr w:type="spellEnd"/>
      <w:r w:rsidRPr="00CF3DB4">
        <w:rPr>
          <w:rFonts w:eastAsia="Calibri"/>
          <w:kern w:val="2"/>
          <w:position w:val="0"/>
          <w14:ligatures w14:val="standardContextual"/>
        </w:rPr>
        <w:t xml:space="preserve"> </w:t>
      </w:r>
      <w:sdt>
        <w:sdtPr>
          <w:rPr>
            <w:rFonts w:eastAsia="Calibri"/>
            <w:kern w:val="2"/>
            <w:position w:val="0"/>
            <w14:ligatures w14:val="standardContextual"/>
          </w:rPr>
          <w:id w:val="1837873134"/>
          <w:citation/>
        </w:sdtPr>
        <w:sdtEndPr/>
        <w:sdtContent>
          <w:r w:rsidRPr="00CF3DB4">
            <w:rPr>
              <w:rFonts w:eastAsia="Calibri"/>
              <w:kern w:val="2"/>
              <w:position w:val="0"/>
              <w14:ligatures w14:val="standardContextual"/>
            </w:rPr>
            <w:fldChar w:fldCharType="begin"/>
          </w:r>
          <w:r w:rsidRPr="00CF3DB4">
            <w:rPr>
              <w:rFonts w:eastAsia="Calibri"/>
              <w:kern w:val="2"/>
              <w:position w:val="0"/>
              <w14:ligatures w14:val="standardContextual"/>
            </w:rPr>
            <w:instrText xml:space="preserve">CITATION Tho00 \n  \t  \l 1033 </w:instrText>
          </w:r>
          <w:r w:rsidRPr="00CF3DB4">
            <w:rPr>
              <w:rFonts w:eastAsia="Calibri"/>
              <w:kern w:val="2"/>
              <w:position w:val="0"/>
              <w14:ligatures w14:val="standardContextual"/>
            </w:rPr>
            <w:fldChar w:fldCharType="separate"/>
          </w:r>
          <w:r w:rsidRPr="00CF3DB4">
            <w:rPr>
              <w:rFonts w:eastAsia="Calibri"/>
              <w:noProof/>
              <w:kern w:val="2"/>
              <w:position w:val="0"/>
              <w14:ligatures w14:val="standardContextual"/>
            </w:rPr>
            <w:t>(2000)</w:t>
          </w:r>
          <w:r w:rsidRPr="00CF3DB4">
            <w:rPr>
              <w:rFonts w:eastAsia="Calibri"/>
              <w:kern w:val="2"/>
              <w:position w:val="0"/>
              <w14:ligatures w14:val="standardContextual"/>
            </w:rPr>
            <w:fldChar w:fldCharType="end"/>
          </w:r>
        </w:sdtContent>
      </w:sdt>
      <w:r w:rsidRPr="00CF3DB4">
        <w:rPr>
          <w:rFonts w:eastAsia="Calibri"/>
          <w:kern w:val="2"/>
          <w:position w:val="0"/>
          <w14:ligatures w14:val="standardContextual"/>
        </w:rPr>
        <w:t xml:space="preserve"> advocates a structured, reflective and outcome-based approach to evaluating professional development. He highlights the importance of assessing, what he labels staff development courses, </w:t>
      </w:r>
      <w:proofErr w:type="gramStart"/>
      <w:r w:rsidRPr="00CF3DB4">
        <w:rPr>
          <w:rFonts w:eastAsia="Calibri"/>
          <w:kern w:val="2"/>
          <w:position w:val="0"/>
          <w14:ligatures w14:val="standardContextual"/>
        </w:rPr>
        <w:t>actual</w:t>
      </w:r>
      <w:proofErr w:type="gramEnd"/>
      <w:r w:rsidRPr="00CF3DB4">
        <w:rPr>
          <w:rFonts w:eastAsia="Calibri"/>
          <w:kern w:val="2"/>
          <w:position w:val="0"/>
          <w14:ligatures w14:val="standardContextual"/>
        </w:rPr>
        <w:t xml:space="preserve"> impact on teaching practices, student outcomes and overall organizational settings.  He also emphasizes the pivotal role peer collaboration, mentoring and follow-up training play to sustain and support instructional improvements. To assess the effectiveness of these programs, he suggests five critical levels of professional </w:t>
      </w:r>
      <w:proofErr w:type="gramStart"/>
      <w:r w:rsidRPr="00CF3DB4">
        <w:rPr>
          <w:rFonts w:eastAsia="Calibri"/>
          <w:kern w:val="2"/>
          <w:position w:val="0"/>
          <w14:ligatures w14:val="standardContextual"/>
        </w:rPr>
        <w:t>development which</w:t>
      </w:r>
      <w:proofErr w:type="gramEnd"/>
      <w:r w:rsidRPr="00CF3DB4">
        <w:rPr>
          <w:rFonts w:eastAsia="Calibri"/>
          <w:kern w:val="2"/>
          <w:position w:val="0"/>
          <w14:ligatures w14:val="standardContextual"/>
        </w:rPr>
        <w:t xml:space="preserve"> have been briefly addressed earlier in this paper. </w:t>
      </w:r>
    </w:p>
    <w:p w14:paraId="3756A874" w14:textId="77777777" w:rsidR="00A17DA2" w:rsidRDefault="00CF3DB4" w:rsidP="00A17DA2">
      <w:pPr>
        <w:spacing w:after="160" w:line="480" w:lineRule="auto"/>
        <w:ind w:firstLine="567"/>
        <w:jc w:val="both"/>
        <w:rPr>
          <w:rFonts w:eastAsia="Calibri"/>
          <w:kern w:val="2"/>
          <w:position w:val="0"/>
          <w14:ligatures w14:val="standardContextual"/>
        </w:rPr>
      </w:pPr>
      <w:r w:rsidRPr="00CF3DB4">
        <w:rPr>
          <w:rFonts w:eastAsia="Calibri"/>
          <w:kern w:val="2"/>
          <w:position w:val="0"/>
          <w14:ligatures w14:val="standardContextual"/>
        </w:rPr>
        <w:t xml:space="preserve">Progression through the first four levels critically determines learners’ performance at the fifth level. The first level reveals the </w:t>
      </w:r>
      <w:r w:rsidRPr="00CF3DB4">
        <w:rPr>
          <w:rFonts w:eastAsia="Calibri"/>
          <w:i/>
          <w:iCs/>
          <w:kern w:val="2"/>
          <w:position w:val="0"/>
          <w14:ligatures w14:val="standardContextual"/>
        </w:rPr>
        <w:t>participants’ reaction</w:t>
      </w:r>
      <w:r w:rsidRPr="00CF3DB4">
        <w:rPr>
          <w:rFonts w:eastAsia="Calibri"/>
          <w:kern w:val="2"/>
          <w:position w:val="0"/>
          <w14:ligatures w14:val="standardContextual"/>
        </w:rPr>
        <w:t xml:space="preserve"> to the experience. In online </w:t>
      </w:r>
      <w:r w:rsidRPr="00CF3DB4">
        <w:rPr>
          <w:rFonts w:eastAsia="Calibri"/>
          <w:kern w:val="2"/>
          <w:position w:val="0"/>
          <w14:ligatures w14:val="standardContextual"/>
        </w:rPr>
        <w:lastRenderedPageBreak/>
        <w:t xml:space="preserve">teacher communities, qualitative insights about participants’ perceptions </w:t>
      </w:r>
      <w:proofErr w:type="gramStart"/>
      <w:r w:rsidRPr="00CF3DB4">
        <w:rPr>
          <w:rFonts w:eastAsia="Calibri"/>
          <w:kern w:val="2"/>
          <w:position w:val="0"/>
          <w14:ligatures w14:val="standardContextual"/>
        </w:rPr>
        <w:t>could be gathered</w:t>
      </w:r>
      <w:proofErr w:type="gramEnd"/>
      <w:r w:rsidRPr="00CF3DB4">
        <w:rPr>
          <w:rFonts w:eastAsia="Calibri"/>
          <w:kern w:val="2"/>
          <w:position w:val="0"/>
          <w14:ligatures w14:val="standardContextual"/>
        </w:rPr>
        <w:t xml:space="preserve"> through online immediate feedback forms to reflect on and evaluate the relevance and the quality of the learning opportunity. The second learning level, teacher’s knowledge, serves as an important basis for competency implementation in the classroom which is emphasized in the fourth level of the critical model developed by </w:t>
      </w:r>
      <w:proofErr w:type="spellStart"/>
      <w:r w:rsidRPr="00CF3DB4">
        <w:rPr>
          <w:rFonts w:eastAsia="Calibri"/>
          <w:kern w:val="2"/>
          <w:position w:val="0"/>
          <w14:ligatures w14:val="standardContextual"/>
        </w:rPr>
        <w:t>Guskey</w:t>
      </w:r>
      <w:proofErr w:type="spellEnd"/>
      <w:r w:rsidRPr="00CF3DB4">
        <w:rPr>
          <w:rFonts w:eastAsia="Calibri"/>
          <w:kern w:val="2"/>
          <w:position w:val="0"/>
          <w14:ligatures w14:val="standardContextual"/>
        </w:rPr>
        <w:t xml:space="preserve">; participants’ use of new knowledge and skills. </w:t>
      </w:r>
    </w:p>
    <w:p w14:paraId="00DFE1D7" w14:textId="15A7EC0B" w:rsidR="00CF3DB4" w:rsidRPr="00CF3DB4" w:rsidRDefault="00CF3DB4" w:rsidP="00A17DA2">
      <w:pPr>
        <w:spacing w:after="160" w:line="480" w:lineRule="auto"/>
        <w:ind w:firstLine="567"/>
        <w:jc w:val="both"/>
        <w:rPr>
          <w:rFonts w:eastAsia="Calibri"/>
          <w:kern w:val="2"/>
          <w:position w:val="0"/>
          <w14:ligatures w14:val="standardContextual"/>
        </w:rPr>
      </w:pPr>
      <w:r w:rsidRPr="00CF3DB4">
        <w:rPr>
          <w:rFonts w:eastAsia="Calibri"/>
          <w:kern w:val="2"/>
          <w:position w:val="0"/>
          <w14:ligatures w14:val="standardContextual"/>
        </w:rPr>
        <w:t>According to Cochran-Smith and Lytle (1999), as cited in</w:t>
      </w:r>
      <w:sdt>
        <w:sdtPr>
          <w:rPr>
            <w:rFonts w:eastAsia="Calibri"/>
            <w:kern w:val="2"/>
            <w:position w:val="0"/>
            <w14:ligatures w14:val="standardContextual"/>
          </w:rPr>
          <w:id w:val="-1175714496"/>
          <w:citation/>
        </w:sdtPr>
        <w:sdtEndPr/>
        <w:sdtContent>
          <w:r w:rsidRPr="00CF3DB4">
            <w:rPr>
              <w:rFonts w:eastAsia="Calibri"/>
              <w:kern w:val="2"/>
              <w:position w:val="0"/>
              <w14:ligatures w14:val="standardContextual"/>
            </w:rPr>
            <w:fldChar w:fldCharType="begin"/>
          </w:r>
          <w:r w:rsidRPr="00CF3DB4">
            <w:rPr>
              <w:rFonts w:eastAsia="Calibri"/>
              <w:kern w:val="2"/>
              <w:position w:val="0"/>
              <w14:ligatures w14:val="standardContextual"/>
            </w:rPr>
            <w:instrText xml:space="preserve">CITATION Placeholder3 \l 1033 </w:instrText>
          </w:r>
          <w:r w:rsidRPr="00CF3DB4">
            <w:rPr>
              <w:rFonts w:eastAsia="Calibri"/>
              <w:kern w:val="2"/>
              <w:position w:val="0"/>
              <w14:ligatures w14:val="standardContextual"/>
            </w:rPr>
            <w:fldChar w:fldCharType="separate"/>
          </w:r>
          <w:r w:rsidRPr="00CF3DB4">
            <w:rPr>
              <w:rFonts w:eastAsia="Calibri"/>
              <w:noProof/>
              <w:kern w:val="2"/>
              <w:position w:val="0"/>
              <w14:ligatures w14:val="standardContextual"/>
            </w:rPr>
            <w:t xml:space="preserve"> (Darling-Hammond &amp; Bransford, 2007)</w:t>
          </w:r>
          <w:r w:rsidRPr="00CF3DB4">
            <w:rPr>
              <w:rFonts w:eastAsia="Calibri"/>
              <w:kern w:val="2"/>
              <w:position w:val="0"/>
              <w14:ligatures w14:val="standardContextual"/>
            </w:rPr>
            <w:fldChar w:fldCharType="end"/>
          </w:r>
        </w:sdtContent>
      </w:sdt>
      <w:r w:rsidRPr="00CF3DB4">
        <w:rPr>
          <w:rFonts w:eastAsia="Calibri"/>
          <w:kern w:val="2"/>
          <w:position w:val="0"/>
          <w14:ligatures w14:val="standardContextual"/>
        </w:rPr>
        <w:t xml:space="preserve"> </w:t>
      </w:r>
      <w:r w:rsidR="00AE12A2">
        <w:rPr>
          <w:rFonts w:eastAsia="Calibri"/>
          <w:kern w:val="2"/>
          <w:position w:val="0"/>
          <w14:ligatures w14:val="standardContextual"/>
        </w:rPr>
        <w:t xml:space="preserve">, </w:t>
      </w:r>
      <w:r w:rsidRPr="00CF3DB4">
        <w:rPr>
          <w:rFonts w:eastAsia="Calibri"/>
          <w:kern w:val="2"/>
          <w:position w:val="0"/>
          <w14:ligatures w14:val="standardContextual"/>
        </w:rPr>
        <w:t xml:space="preserve">teachers require </w:t>
      </w:r>
      <w:proofErr w:type="gramStart"/>
      <w:r w:rsidRPr="00CF3DB4">
        <w:rPr>
          <w:rFonts w:eastAsia="Calibri"/>
          <w:kern w:val="2"/>
          <w:position w:val="0"/>
          <w14:ligatures w14:val="standardContextual"/>
        </w:rPr>
        <w:t>to develop</w:t>
      </w:r>
      <w:proofErr w:type="gramEnd"/>
      <w:r w:rsidRPr="00CF3DB4">
        <w:rPr>
          <w:rFonts w:eastAsia="Calibri"/>
          <w:kern w:val="2"/>
          <w:position w:val="0"/>
          <w14:ligatures w14:val="standardContextual"/>
        </w:rPr>
        <w:t xml:space="preserve"> three approaches to knowledge: </w:t>
      </w:r>
      <w:r w:rsidRPr="00CF3DB4">
        <w:rPr>
          <w:rFonts w:eastAsia="Calibri"/>
          <w:i/>
          <w:iCs/>
          <w:kern w:val="2"/>
          <w:position w:val="0"/>
          <w14:ligatures w14:val="standardContextual"/>
        </w:rPr>
        <w:t>knowledge for practice, knowledge in practice and knowledge of practice</w:t>
      </w:r>
      <w:r w:rsidRPr="00CF3DB4">
        <w:rPr>
          <w:rFonts w:eastAsia="Calibri"/>
          <w:kern w:val="2"/>
          <w:position w:val="0"/>
          <w14:ligatures w14:val="standardContextual"/>
        </w:rPr>
        <w:t xml:space="preserve">. </w:t>
      </w:r>
      <w:r w:rsidRPr="00CF3DB4">
        <w:rPr>
          <w:position w:val="0"/>
        </w:rPr>
        <w:t xml:space="preserve">This reflects the essential contribution of knowledge of practice in enhancing critical inquiry-based practice. </w:t>
      </w:r>
      <w:r w:rsidRPr="00CF3DB4">
        <w:rPr>
          <w:rFonts w:eastAsia="Calibri"/>
          <w:kern w:val="2"/>
          <w:position w:val="0"/>
          <w14:ligatures w14:val="standardContextual"/>
        </w:rPr>
        <w:t>In order to transfer knowledge from practice to research and back again, communities of practice are fundamental</w:t>
      </w:r>
      <w:r w:rsidRPr="00CF3DB4">
        <w:rPr>
          <w:rFonts w:eastAsia="Calibri"/>
          <w:noProof/>
          <w:kern w:val="2"/>
          <w:position w:val="0"/>
          <w14:ligatures w14:val="standardContextual"/>
        </w:rPr>
        <w:t xml:space="preserve"> </w:t>
      </w:r>
      <w:bookmarkStart w:id="135" w:name="_Hlk196365471"/>
      <w:r w:rsidRPr="00CF3DB4">
        <w:rPr>
          <w:rFonts w:eastAsia="Calibri"/>
          <w:noProof/>
          <w:kern w:val="2"/>
          <w:position w:val="0"/>
          <w14:ligatures w14:val="standardContextual"/>
        </w:rPr>
        <w:t>(</w:t>
      </w:r>
      <w:bookmarkEnd w:id="135"/>
      <w:r w:rsidRPr="00CF3DB4">
        <w:rPr>
          <w:rFonts w:eastAsia="Calibri"/>
          <w:noProof/>
          <w:kern w:val="2"/>
          <w:position w:val="0"/>
          <w14:ligatures w14:val="standardContextual"/>
        </w:rPr>
        <w:t>Darling-Hammond et al, 2007</w:t>
      </w:r>
      <w:bookmarkStart w:id="136" w:name="_Hlk196306556"/>
      <w:r w:rsidRPr="00CF3DB4">
        <w:rPr>
          <w:rFonts w:eastAsia="Calibri"/>
          <w:noProof/>
          <w:kern w:val="2"/>
          <w:position w:val="0"/>
          <w14:ligatures w14:val="standardContextual"/>
        </w:rPr>
        <w:t>)</w:t>
      </w:r>
      <w:bookmarkEnd w:id="136"/>
      <w:r w:rsidRPr="00CF3DB4">
        <w:rPr>
          <w:rFonts w:eastAsia="Calibri"/>
          <w:noProof/>
          <w:kern w:val="2"/>
          <w:position w:val="0"/>
          <w14:ligatures w14:val="standardContextual"/>
        </w:rPr>
        <w:t>. As a further dimention that leads to improved student learning outcomes (level 5), as Guskey (2000) asserts, is organization support and change. In brief, approaching proffessional growth constitutes individual, collaborative and institutional endeavors.</w:t>
      </w:r>
    </w:p>
    <w:p w14:paraId="27E7B745" w14:textId="77777777" w:rsidR="00CF3DB4" w:rsidRPr="00CF3DB4" w:rsidRDefault="00CF3DB4" w:rsidP="00CF3DB4">
      <w:pPr>
        <w:keepNext/>
        <w:spacing w:after="160" w:line="360" w:lineRule="auto"/>
        <w:rPr>
          <w:rFonts w:ascii="Calibri" w:eastAsia="Calibri" w:hAnsi="Calibri" w:cs="Arial"/>
          <w:kern w:val="2"/>
          <w:position w:val="0"/>
          <w:sz w:val="22"/>
          <w:szCs w:val="22"/>
          <w14:ligatures w14:val="standardContextual"/>
        </w:rPr>
      </w:pPr>
      <w:r w:rsidRPr="00CF3DB4">
        <w:rPr>
          <w:rFonts w:eastAsia="Calibri"/>
          <w:noProof/>
          <w:kern w:val="2"/>
          <w:position w:val="0"/>
          <w:lang w:val="fr-FR" w:eastAsia="fr-FR"/>
          <w14:ligatures w14:val="standardContextual"/>
        </w:rPr>
        <w:lastRenderedPageBreak/>
        <w:drawing>
          <wp:inline distT="0" distB="0" distL="0" distR="0" wp14:anchorId="53A1B364" wp14:editId="7D6BDAC4">
            <wp:extent cx="5486400" cy="3200400"/>
            <wp:effectExtent l="0" t="0" r="0" b="0"/>
            <wp:docPr id="1573415603"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3" r:lo="rId34" r:qs="rId35" r:cs="rId36"/>
              </a:graphicData>
            </a:graphic>
          </wp:inline>
        </w:drawing>
      </w:r>
    </w:p>
    <w:p w14:paraId="198E1DDF" w14:textId="2A830B7E" w:rsidR="00A17DA2" w:rsidRDefault="00CF3DB4" w:rsidP="00CF3DB4">
      <w:pPr>
        <w:spacing w:after="200" w:line="480" w:lineRule="auto"/>
        <w:rPr>
          <w:rFonts w:eastAsia="Calibri"/>
          <w:kern w:val="2"/>
          <w:position w:val="0"/>
          <w14:ligatures w14:val="standardContextual"/>
        </w:rPr>
      </w:pPr>
      <w:bookmarkStart w:id="137" w:name="_Toc199832202"/>
      <w:r w:rsidRPr="00A17DA2">
        <w:rPr>
          <w:rFonts w:eastAsia="Calibri"/>
          <w:b/>
          <w:bCs/>
          <w:kern w:val="2"/>
          <w:position w:val="0"/>
          <w14:ligatures w14:val="standardContextual"/>
        </w:rPr>
        <w:t xml:space="preserve">Figure </w:t>
      </w:r>
      <w:r w:rsidRPr="00A17DA2">
        <w:rPr>
          <w:rFonts w:eastAsia="Calibri"/>
          <w:b/>
          <w:bCs/>
          <w:kern w:val="2"/>
          <w:position w:val="0"/>
          <w14:ligatures w14:val="standardContextual"/>
        </w:rPr>
        <w:fldChar w:fldCharType="begin"/>
      </w:r>
      <w:r w:rsidRPr="00A17DA2">
        <w:rPr>
          <w:rFonts w:eastAsia="Calibri"/>
          <w:b/>
          <w:bCs/>
          <w:kern w:val="2"/>
          <w:position w:val="0"/>
          <w14:ligatures w14:val="standardContextual"/>
        </w:rPr>
        <w:instrText xml:space="preserve"> SEQ Figure \* ARABIC </w:instrText>
      </w:r>
      <w:r w:rsidRPr="00A17DA2">
        <w:rPr>
          <w:rFonts w:eastAsia="Calibri"/>
          <w:b/>
          <w:bCs/>
          <w:kern w:val="2"/>
          <w:position w:val="0"/>
          <w14:ligatures w14:val="standardContextual"/>
        </w:rPr>
        <w:fldChar w:fldCharType="separate"/>
      </w:r>
      <w:r w:rsidR="00DC3231">
        <w:rPr>
          <w:rFonts w:eastAsia="Calibri"/>
          <w:b/>
          <w:bCs/>
          <w:noProof/>
          <w:kern w:val="2"/>
          <w:position w:val="0"/>
          <w14:ligatures w14:val="standardContextual"/>
        </w:rPr>
        <w:t>2</w:t>
      </w:r>
      <w:r w:rsidRPr="00A17DA2">
        <w:rPr>
          <w:rFonts w:eastAsia="Calibri"/>
          <w:b/>
          <w:bCs/>
          <w:kern w:val="2"/>
          <w:position w:val="0"/>
          <w14:ligatures w14:val="standardContextual"/>
        </w:rPr>
        <w:fldChar w:fldCharType="end"/>
      </w:r>
      <w:r w:rsidRPr="00A17DA2">
        <w:rPr>
          <w:rFonts w:eastAsia="Calibri"/>
          <w:kern w:val="2"/>
          <w:position w:val="0"/>
          <w14:ligatures w14:val="standardContextual"/>
        </w:rPr>
        <w:t xml:space="preserve"> </w:t>
      </w:r>
    </w:p>
    <w:p w14:paraId="36CCB8BA" w14:textId="77777777" w:rsidR="00567A52" w:rsidRDefault="00CF3DB4" w:rsidP="00567A52">
      <w:pPr>
        <w:spacing w:after="200" w:line="480" w:lineRule="auto"/>
        <w:rPr>
          <w:rFonts w:eastAsia="Calibri"/>
          <w:kern w:val="2"/>
          <w:position w:val="0"/>
          <w14:ligatures w14:val="standardContextual"/>
        </w:rPr>
      </w:pPr>
      <w:proofErr w:type="spellStart"/>
      <w:r w:rsidRPr="00A17DA2">
        <w:rPr>
          <w:rFonts w:eastAsia="Calibri"/>
          <w:kern w:val="2"/>
          <w:position w:val="0"/>
          <w14:ligatures w14:val="standardContextual"/>
        </w:rPr>
        <w:t>Guskey’s</w:t>
      </w:r>
      <w:proofErr w:type="spellEnd"/>
      <w:r w:rsidRPr="00A17DA2">
        <w:rPr>
          <w:rFonts w:eastAsia="Calibri"/>
          <w:kern w:val="2"/>
          <w:position w:val="0"/>
          <w14:ligatures w14:val="standardContextual"/>
        </w:rPr>
        <w:t xml:space="preserve"> Framework of Critical Professional Development</w:t>
      </w:r>
      <w:bookmarkEnd w:id="137"/>
    </w:p>
    <w:p w14:paraId="504208EF" w14:textId="4442192D" w:rsidR="00CF3DB4" w:rsidRPr="00CF3DB4" w:rsidRDefault="00CF3DB4" w:rsidP="00231B94">
      <w:pPr>
        <w:spacing w:after="200" w:line="480" w:lineRule="auto"/>
        <w:ind w:firstLine="567"/>
        <w:jc w:val="both"/>
        <w:rPr>
          <w:rFonts w:eastAsia="Calibri"/>
          <w:kern w:val="2"/>
          <w:position w:val="0"/>
          <w14:ligatures w14:val="standardContextual"/>
        </w:rPr>
      </w:pPr>
      <w:r w:rsidRPr="00CF3DB4">
        <w:rPr>
          <w:rFonts w:eastAsia="Calibri"/>
          <w:noProof/>
          <w:kern w:val="2"/>
          <w:position w:val="0"/>
          <w14:ligatures w14:val="standardContextual"/>
        </w:rPr>
        <w:t>Both Kirkpatrick (1959) and Guskey (2000) hold similar views on the role of  professional development in strengthning student achievement as a consequence of refining and optimizing teachers’ classroom practices</w:t>
      </w:r>
      <w:sdt>
        <w:sdtPr>
          <w:rPr>
            <w:rFonts w:eastAsia="Calibri"/>
            <w:noProof/>
            <w:kern w:val="2"/>
            <w:position w:val="0"/>
            <w14:ligatures w14:val="standardContextual"/>
          </w:rPr>
          <w:id w:val="-1950073410"/>
          <w:citation/>
        </w:sdtPr>
        <w:sdtEndPr/>
        <w:sdtContent>
          <w:r w:rsidRPr="00CF3DB4">
            <w:rPr>
              <w:rFonts w:eastAsia="Calibri"/>
              <w:noProof/>
              <w:kern w:val="2"/>
              <w:position w:val="0"/>
              <w14:ligatures w14:val="standardContextual"/>
            </w:rPr>
            <w:fldChar w:fldCharType="begin"/>
          </w:r>
          <w:r w:rsidRPr="00CF3DB4">
            <w:rPr>
              <w:rFonts w:eastAsia="Calibri"/>
              <w:noProof/>
              <w:kern w:val="2"/>
              <w:position w:val="0"/>
              <w14:ligatures w14:val="standardContextual"/>
            </w:rPr>
            <w:instrText xml:space="preserve"> CITATION Dav10 \l 1033 </w:instrText>
          </w:r>
          <w:r w:rsidRPr="00CF3DB4">
            <w:rPr>
              <w:rFonts w:eastAsia="Calibri"/>
              <w:noProof/>
              <w:kern w:val="2"/>
              <w:position w:val="0"/>
              <w14:ligatures w14:val="standardContextual"/>
            </w:rPr>
            <w:fldChar w:fldCharType="separate"/>
          </w:r>
          <w:r w:rsidRPr="00CF3DB4">
            <w:rPr>
              <w:rFonts w:eastAsia="Calibri"/>
              <w:noProof/>
              <w:kern w:val="2"/>
              <w:position w:val="0"/>
              <w14:ligatures w14:val="standardContextual"/>
            </w:rPr>
            <w:t xml:space="preserve"> (Newman, 2010)</w:t>
          </w:r>
          <w:r w:rsidRPr="00CF3DB4">
            <w:rPr>
              <w:rFonts w:eastAsia="Calibri"/>
              <w:noProof/>
              <w:kern w:val="2"/>
              <w:position w:val="0"/>
              <w14:ligatures w14:val="standardContextual"/>
            </w:rPr>
            <w:fldChar w:fldCharType="end"/>
          </w:r>
        </w:sdtContent>
      </w:sdt>
      <w:r w:rsidRPr="00CF3DB4">
        <w:rPr>
          <w:rFonts w:eastAsia="Calibri"/>
          <w:noProof/>
          <w:kern w:val="2"/>
          <w:position w:val="0"/>
          <w14:ligatures w14:val="standardContextual"/>
        </w:rPr>
        <w:t xml:space="preserve">. To test the relationship between the five components in Guskey’s model, Newman </w:t>
      </w:r>
      <w:bookmarkStart w:id="138" w:name="_Hlk196367636"/>
      <w:r w:rsidRPr="00CF3DB4">
        <w:rPr>
          <w:rFonts w:eastAsia="Calibri"/>
          <w:noProof/>
          <w:kern w:val="2"/>
          <w:position w:val="0"/>
          <w14:ligatures w14:val="standardContextual"/>
        </w:rPr>
        <w:t xml:space="preserve">(2010) </w:t>
      </w:r>
      <w:bookmarkEnd w:id="138"/>
      <w:r w:rsidRPr="00CF3DB4">
        <w:rPr>
          <w:rFonts w:eastAsia="Calibri"/>
          <w:noProof/>
          <w:kern w:val="2"/>
          <w:position w:val="0"/>
          <w14:ligatures w14:val="standardContextual"/>
        </w:rPr>
        <w:t>concluded that there is a nomological and positive correlation between Teacher Satisfaction (Level 1), Teacher Knowledge (Level 2)and Teacher Practice(Level 3). This demonstrates the significance of teachers’ theoretical background, practical application and collaborative assessment-driven critical refection on assessing learner competence and performance.</w:t>
      </w:r>
    </w:p>
    <w:p w14:paraId="105D9284" w14:textId="2C5B95A9" w:rsidR="00CF3DB4" w:rsidRPr="00CF3DB4" w:rsidRDefault="00567A52" w:rsidP="00AA5DBF">
      <w:pPr>
        <w:pStyle w:val="Titre1"/>
        <w:rPr>
          <w:rFonts w:eastAsia="Calibri"/>
          <w:noProof/>
          <w:kern w:val="2"/>
          <w14:ligatures w14:val="standardContextual"/>
        </w:rPr>
      </w:pPr>
      <w:bookmarkStart w:id="139" w:name="_Toc200486052"/>
      <w:r>
        <w:rPr>
          <w:rFonts w:eastAsia="Calibri"/>
        </w:rPr>
        <w:t xml:space="preserve">2.3. </w:t>
      </w:r>
      <w:r w:rsidR="00CF3DB4" w:rsidRPr="00CF3DB4">
        <w:rPr>
          <w:rFonts w:eastAsia="Calibri"/>
        </w:rPr>
        <w:t>Synchronous and Asynchronous Learning Environments</w:t>
      </w:r>
      <w:bookmarkEnd w:id="139"/>
    </w:p>
    <w:p w14:paraId="3A355287" w14:textId="77777777" w:rsidR="005141C0" w:rsidRDefault="00CF3DB4" w:rsidP="005141C0">
      <w:pPr>
        <w:spacing w:after="160" w:line="480" w:lineRule="auto"/>
        <w:ind w:firstLine="567"/>
        <w:jc w:val="both"/>
        <w:rPr>
          <w:rFonts w:eastAsia="Calibri"/>
          <w:noProof/>
          <w:kern w:val="2"/>
          <w:position w:val="0"/>
          <w14:ligatures w14:val="standardContextual"/>
        </w:rPr>
      </w:pPr>
      <w:r w:rsidRPr="00CF3DB4">
        <w:rPr>
          <w:rFonts w:eastAsia="Calibri"/>
          <w:noProof/>
          <w:kern w:val="2"/>
          <w:position w:val="0"/>
          <w14:ligatures w14:val="standardContextual"/>
        </w:rPr>
        <w:t xml:space="preserve">Teacher learning environments have been subject to profound changes due to pedagogical and technological trajectory. Individual learning has been replaced by group learning through Internet-based oppostunities </w:t>
      </w:r>
      <w:sdt>
        <w:sdtPr>
          <w:rPr>
            <w:rFonts w:eastAsia="Calibri"/>
            <w:noProof/>
            <w:kern w:val="2"/>
            <w:position w:val="0"/>
            <w14:ligatures w14:val="standardContextual"/>
          </w:rPr>
          <w:id w:val="1180616174"/>
          <w:citation/>
        </w:sdtPr>
        <w:sdtEndPr/>
        <w:sdtContent>
          <w:r w:rsidRPr="00CF3DB4">
            <w:rPr>
              <w:rFonts w:eastAsia="Calibri"/>
              <w:noProof/>
              <w:kern w:val="2"/>
              <w:position w:val="0"/>
              <w14:ligatures w14:val="standardContextual"/>
            </w:rPr>
            <w:fldChar w:fldCharType="begin"/>
          </w:r>
          <w:r w:rsidRPr="00CF3DB4">
            <w:rPr>
              <w:rFonts w:eastAsia="Calibri"/>
              <w:noProof/>
              <w:kern w:val="2"/>
              <w:position w:val="0"/>
              <w14:ligatures w14:val="standardContextual"/>
            </w:rPr>
            <w:instrText xml:space="preserve">CITATION Hay98 \l 1033 </w:instrText>
          </w:r>
          <w:r w:rsidRPr="00CF3DB4">
            <w:rPr>
              <w:rFonts w:eastAsia="Calibri"/>
              <w:noProof/>
              <w:kern w:val="2"/>
              <w:position w:val="0"/>
              <w14:ligatures w14:val="standardContextual"/>
            </w:rPr>
            <w:fldChar w:fldCharType="separate"/>
          </w:r>
          <w:r w:rsidRPr="00CF3DB4">
            <w:rPr>
              <w:rFonts w:eastAsia="Calibri"/>
              <w:noProof/>
              <w:kern w:val="2"/>
              <w:position w:val="0"/>
              <w14:ligatures w14:val="standardContextual"/>
            </w:rPr>
            <w:t>(Hayashi., et al , 1998)</w:t>
          </w:r>
          <w:r w:rsidRPr="00CF3DB4">
            <w:rPr>
              <w:rFonts w:eastAsia="Calibri"/>
              <w:noProof/>
              <w:kern w:val="2"/>
              <w:position w:val="0"/>
              <w14:ligatures w14:val="standardContextual"/>
            </w:rPr>
            <w:fldChar w:fldCharType="end"/>
          </w:r>
        </w:sdtContent>
      </w:sdt>
      <w:r w:rsidRPr="00CF3DB4">
        <w:rPr>
          <w:rFonts w:eastAsia="Calibri"/>
          <w:noProof/>
          <w:kern w:val="2"/>
          <w:position w:val="0"/>
          <w14:ligatures w14:val="standardContextual"/>
        </w:rPr>
        <w:t xml:space="preserve">. In group learning environments such as OTLCs, teachers cooperate and collaborate to exchange insights and </w:t>
      </w:r>
      <w:r w:rsidRPr="00CF3DB4">
        <w:rPr>
          <w:rFonts w:eastAsia="Calibri"/>
          <w:noProof/>
          <w:kern w:val="2"/>
          <w:position w:val="0"/>
          <w14:ligatures w14:val="standardContextual"/>
        </w:rPr>
        <w:lastRenderedPageBreak/>
        <w:t xml:space="preserve">share and seek feedback that preceed critical reflective practices.  Further, interaction and discussion among teachers through online platforms culminated in the emergence of more flexible learning models. </w:t>
      </w:r>
    </w:p>
    <w:p w14:paraId="44B9FFBB" w14:textId="77777777" w:rsidR="005141C0" w:rsidRDefault="00CF3DB4" w:rsidP="005141C0">
      <w:pPr>
        <w:spacing w:after="160" w:line="480" w:lineRule="auto"/>
        <w:ind w:firstLine="567"/>
        <w:jc w:val="both"/>
        <w:rPr>
          <w:rFonts w:eastAsia="Calibri"/>
          <w:noProof/>
          <w:kern w:val="2"/>
          <w:position w:val="0"/>
          <w14:ligatures w14:val="standardContextual"/>
        </w:rPr>
      </w:pPr>
      <w:r w:rsidRPr="00CF3DB4">
        <w:rPr>
          <w:rFonts w:eastAsia="Calibri"/>
          <w:noProof/>
          <w:kern w:val="2"/>
          <w:position w:val="0"/>
          <w14:ligatures w14:val="standardContextual"/>
        </w:rPr>
        <w:t xml:space="preserve">Synchronous discussions require the real-time interaction of both participants and facilitators such as Zoom classes, Google Meet sessions, live webinars and live online workshops. This enables immediate feedback. On the other hand, recorded lectures, online dicussion forums and e-mail exchanges illustrate virtual asynchronous eduactional settings where participants contribute at their own convenience. Marchisio., et al (2018) conducted an investigation to gather insights about the virtual community of Italian secondary school teachers of Mathematics. Findings demonstrated that online asynchronous collaboration is effective for enhancing teacher’s lifelong professional development knowledge and competencies through transformative collaborative practices. McConnell (1999) contends that critical thinking is fostered through asynchronous engagement since it aids individuals to thoughtfully consider learning experiences </w:t>
      </w:r>
      <w:sdt>
        <w:sdtPr>
          <w:rPr>
            <w:rFonts w:eastAsia="Calibri"/>
            <w:noProof/>
            <w:kern w:val="2"/>
            <w:position w:val="0"/>
            <w14:ligatures w14:val="standardContextual"/>
          </w:rPr>
          <w:id w:val="-788670569"/>
          <w:citation/>
        </w:sdtPr>
        <w:sdtEndPr/>
        <w:sdtContent>
          <w:r w:rsidRPr="00CF3DB4">
            <w:rPr>
              <w:rFonts w:eastAsia="Calibri"/>
              <w:noProof/>
              <w:kern w:val="2"/>
              <w:position w:val="0"/>
              <w14:ligatures w14:val="standardContextual"/>
            </w:rPr>
            <w:fldChar w:fldCharType="begin"/>
          </w:r>
          <w:r w:rsidRPr="00CF3DB4">
            <w:rPr>
              <w:rFonts w:eastAsia="Calibri"/>
              <w:noProof/>
              <w:kern w:val="2"/>
              <w:position w:val="0"/>
              <w14:ligatures w14:val="standardContextual"/>
            </w:rPr>
            <w:instrText xml:space="preserve"> CITATION McC02 \l 1033 </w:instrText>
          </w:r>
          <w:r w:rsidRPr="00CF3DB4">
            <w:rPr>
              <w:rFonts w:eastAsia="Calibri"/>
              <w:noProof/>
              <w:kern w:val="2"/>
              <w:position w:val="0"/>
              <w14:ligatures w14:val="standardContextual"/>
            </w:rPr>
            <w:fldChar w:fldCharType="separate"/>
          </w:r>
          <w:r w:rsidRPr="00CF3DB4">
            <w:rPr>
              <w:rFonts w:eastAsia="Calibri"/>
              <w:noProof/>
              <w:kern w:val="2"/>
              <w:position w:val="0"/>
              <w14:ligatures w14:val="standardContextual"/>
            </w:rPr>
            <w:t>(McConnell, 2002)</w:t>
          </w:r>
          <w:r w:rsidRPr="00CF3DB4">
            <w:rPr>
              <w:rFonts w:eastAsia="Calibri"/>
              <w:noProof/>
              <w:kern w:val="2"/>
              <w:position w:val="0"/>
              <w14:ligatures w14:val="standardContextual"/>
            </w:rPr>
            <w:fldChar w:fldCharType="end"/>
          </w:r>
        </w:sdtContent>
      </w:sdt>
      <w:r w:rsidRPr="00CF3DB4">
        <w:rPr>
          <w:rFonts w:eastAsia="Calibri"/>
          <w:noProof/>
          <w:kern w:val="2"/>
          <w:position w:val="0"/>
          <w14:ligatures w14:val="standardContextual"/>
        </w:rPr>
        <w:t xml:space="preserve">. According to the socioconstructivist view (Vygotsky, 1962), synchronous virtual discussion spaces are conducive to knowlegde co-construction, teacher collaboration and critical reflection. </w:t>
      </w:r>
      <w:sdt>
        <w:sdtPr>
          <w:rPr>
            <w:rFonts w:eastAsia="Calibri"/>
            <w:noProof/>
            <w:kern w:val="2"/>
            <w:position w:val="0"/>
            <w14:ligatures w14:val="standardContextual"/>
          </w:rPr>
          <w:id w:val="1646939120"/>
          <w:citation/>
        </w:sdtPr>
        <w:sdtEndPr/>
        <w:sdtContent>
          <w:r w:rsidRPr="00CF3DB4">
            <w:rPr>
              <w:rFonts w:eastAsia="Calibri"/>
              <w:noProof/>
              <w:kern w:val="2"/>
              <w:position w:val="0"/>
              <w14:ligatures w14:val="standardContextual"/>
            </w:rPr>
            <w:fldChar w:fldCharType="begin"/>
          </w:r>
          <w:r w:rsidRPr="00CF3DB4">
            <w:rPr>
              <w:rFonts w:eastAsia="Calibri"/>
              <w:noProof/>
              <w:kern w:val="2"/>
              <w:position w:val="0"/>
              <w14:ligatures w14:val="standardContextual"/>
            </w:rPr>
            <w:instrText xml:space="preserve">CITATION Che09 \l 1033 </w:instrText>
          </w:r>
          <w:r w:rsidRPr="00CF3DB4">
            <w:rPr>
              <w:rFonts w:eastAsia="Calibri"/>
              <w:noProof/>
              <w:kern w:val="2"/>
              <w:position w:val="0"/>
              <w14:ligatures w14:val="standardContextual"/>
            </w:rPr>
            <w:fldChar w:fldCharType="separate"/>
          </w:r>
          <w:r w:rsidRPr="00CF3DB4">
            <w:rPr>
              <w:rFonts w:eastAsia="Calibri"/>
              <w:noProof/>
              <w:kern w:val="2"/>
              <w:position w:val="0"/>
              <w14:ligatures w14:val="standardContextual"/>
            </w:rPr>
            <w:t>(Chen., et al, 2009)</w:t>
          </w:r>
          <w:r w:rsidRPr="00CF3DB4">
            <w:rPr>
              <w:rFonts w:eastAsia="Calibri"/>
              <w:noProof/>
              <w:kern w:val="2"/>
              <w:position w:val="0"/>
              <w14:ligatures w14:val="standardContextual"/>
            </w:rPr>
            <w:fldChar w:fldCharType="end"/>
          </w:r>
        </w:sdtContent>
      </w:sdt>
      <w:r w:rsidRPr="00CF3DB4">
        <w:rPr>
          <w:rFonts w:eastAsia="Calibri"/>
          <w:noProof/>
          <w:kern w:val="2"/>
          <w:position w:val="0"/>
          <w14:ligatures w14:val="standardContextual"/>
        </w:rPr>
        <w:t xml:space="preserve">. </w:t>
      </w:r>
    </w:p>
    <w:p w14:paraId="161B4898" w14:textId="65FD6289" w:rsidR="00CF3DB4" w:rsidRPr="00CF3DB4" w:rsidRDefault="00CF3DB4" w:rsidP="005141C0">
      <w:pPr>
        <w:spacing w:after="160" w:line="480" w:lineRule="auto"/>
        <w:ind w:firstLine="567"/>
        <w:jc w:val="both"/>
        <w:rPr>
          <w:rFonts w:eastAsia="Calibri"/>
          <w:noProof/>
          <w:kern w:val="2"/>
          <w:position w:val="0"/>
          <w14:ligatures w14:val="standardContextual"/>
        </w:rPr>
      </w:pPr>
      <w:r w:rsidRPr="00CF3DB4">
        <w:rPr>
          <w:rFonts w:eastAsia="Calibri"/>
          <w:noProof/>
          <w:kern w:val="2"/>
          <w:position w:val="0"/>
          <w14:ligatures w14:val="standardContextual"/>
        </w:rPr>
        <w:t xml:space="preserve">What is more, AaL is a process that can be achieved within synchronous and asychronous e-learning environments </w:t>
      </w:r>
      <w:bookmarkStart w:id="140" w:name="_Hlk196720969"/>
      <w:sdt>
        <w:sdtPr>
          <w:rPr>
            <w:rFonts w:eastAsia="Calibri"/>
            <w:noProof/>
            <w:kern w:val="2"/>
            <w:position w:val="0"/>
            <w14:ligatures w14:val="standardContextual"/>
          </w:rPr>
          <w:id w:val="1522824588"/>
          <w:citation/>
        </w:sdtPr>
        <w:sdtEndPr/>
        <w:sdtContent>
          <w:r w:rsidRPr="00CF3DB4">
            <w:rPr>
              <w:rFonts w:eastAsia="Calibri"/>
              <w:noProof/>
              <w:kern w:val="2"/>
              <w:position w:val="0"/>
              <w14:ligatures w14:val="standardContextual"/>
            </w:rPr>
            <w:fldChar w:fldCharType="begin"/>
          </w:r>
          <w:r w:rsidRPr="00CF3DB4">
            <w:rPr>
              <w:rFonts w:eastAsia="Calibri"/>
              <w:noProof/>
              <w:kern w:val="2"/>
              <w:position w:val="0"/>
              <w14:ligatures w14:val="standardContextual"/>
            </w:rPr>
            <w:instrText xml:space="preserve"> CITATION McC02 \l 1033 </w:instrText>
          </w:r>
          <w:r w:rsidRPr="00CF3DB4">
            <w:rPr>
              <w:rFonts w:eastAsia="Calibri"/>
              <w:noProof/>
              <w:kern w:val="2"/>
              <w:position w:val="0"/>
              <w14:ligatures w14:val="standardContextual"/>
            </w:rPr>
            <w:fldChar w:fldCharType="separate"/>
          </w:r>
          <w:r w:rsidRPr="00CF3DB4">
            <w:rPr>
              <w:rFonts w:eastAsia="Calibri"/>
              <w:noProof/>
              <w:kern w:val="2"/>
              <w:position w:val="0"/>
              <w14:ligatures w14:val="standardContextual"/>
            </w:rPr>
            <w:t>(McConnell, 2002)</w:t>
          </w:r>
          <w:r w:rsidRPr="00CF3DB4">
            <w:rPr>
              <w:rFonts w:eastAsia="Calibri"/>
              <w:noProof/>
              <w:kern w:val="2"/>
              <w:position w:val="0"/>
              <w14:ligatures w14:val="standardContextual"/>
            </w:rPr>
            <w:fldChar w:fldCharType="end"/>
          </w:r>
        </w:sdtContent>
      </w:sdt>
      <w:bookmarkEnd w:id="140"/>
      <w:r w:rsidRPr="00CF3DB4">
        <w:rPr>
          <w:rFonts w:eastAsia="Calibri"/>
          <w:noProof/>
          <w:kern w:val="2"/>
          <w:position w:val="0"/>
          <w14:ligatures w14:val="standardContextual"/>
        </w:rPr>
        <w:t xml:space="preserve">. Hence, synchronous chat enables participants to “convene” and make decisions on predetermined issues that have been addressed earlier in asychronous forums </w:t>
      </w:r>
      <w:sdt>
        <w:sdtPr>
          <w:rPr>
            <w:rFonts w:eastAsia="Calibri"/>
            <w:noProof/>
            <w:kern w:val="2"/>
            <w:position w:val="0"/>
            <w14:ligatures w14:val="standardContextual"/>
          </w:rPr>
          <w:id w:val="-1015307292"/>
          <w:citation/>
        </w:sdtPr>
        <w:sdtEndPr/>
        <w:sdtContent>
          <w:r w:rsidRPr="00CF3DB4">
            <w:rPr>
              <w:rFonts w:eastAsia="Calibri"/>
              <w:noProof/>
              <w:kern w:val="2"/>
              <w:position w:val="0"/>
              <w14:ligatures w14:val="standardContextual"/>
            </w:rPr>
            <w:fldChar w:fldCharType="begin"/>
          </w:r>
          <w:r w:rsidRPr="00CF3DB4">
            <w:rPr>
              <w:rFonts w:eastAsia="Calibri"/>
              <w:noProof/>
              <w:kern w:val="2"/>
              <w:position w:val="0"/>
              <w14:ligatures w14:val="standardContextual"/>
            </w:rPr>
            <w:instrText xml:space="preserve">CITATION McC06 \t  \l 1033 </w:instrText>
          </w:r>
          <w:r w:rsidRPr="00CF3DB4">
            <w:rPr>
              <w:rFonts w:eastAsia="Calibri"/>
              <w:noProof/>
              <w:kern w:val="2"/>
              <w:position w:val="0"/>
              <w14:ligatures w14:val="standardContextual"/>
            </w:rPr>
            <w:fldChar w:fldCharType="separate"/>
          </w:r>
          <w:r w:rsidRPr="00CF3DB4">
            <w:rPr>
              <w:rFonts w:eastAsia="Calibri"/>
              <w:noProof/>
              <w:kern w:val="2"/>
              <w:position w:val="0"/>
              <w14:ligatures w14:val="standardContextual"/>
            </w:rPr>
            <w:t>(McConnell, 2006)</w:t>
          </w:r>
          <w:r w:rsidRPr="00CF3DB4">
            <w:rPr>
              <w:rFonts w:eastAsia="Calibri"/>
              <w:noProof/>
              <w:kern w:val="2"/>
              <w:position w:val="0"/>
              <w14:ligatures w14:val="standardContextual"/>
            </w:rPr>
            <w:fldChar w:fldCharType="end"/>
          </w:r>
        </w:sdtContent>
      </w:sdt>
      <w:r w:rsidRPr="00CF3DB4">
        <w:rPr>
          <w:rFonts w:eastAsia="Calibri"/>
          <w:noProof/>
          <w:kern w:val="2"/>
          <w:position w:val="0"/>
          <w14:ligatures w14:val="standardContextual"/>
        </w:rPr>
        <w:t>. It is evident that those interactive learning environments offer teachers an opportunity to be more innovative critical thinkers. Both space models are opportunities for teachers to promote teaching, social and cognitive presence that positively affect instructional practices, including assessment literacy.</w:t>
      </w:r>
    </w:p>
    <w:p w14:paraId="2FBCA29F" w14:textId="2C59C187" w:rsidR="00CF3DB4" w:rsidRPr="00CF3DB4" w:rsidRDefault="007446E5" w:rsidP="00AA5DBF">
      <w:pPr>
        <w:pStyle w:val="Titre1"/>
        <w:rPr>
          <w:rFonts w:eastAsia="Calibri"/>
        </w:rPr>
      </w:pPr>
      <w:bookmarkStart w:id="141" w:name="_Toc200486053"/>
      <w:r>
        <w:rPr>
          <w:rFonts w:eastAsia="Calibri"/>
        </w:rPr>
        <w:lastRenderedPageBreak/>
        <w:t xml:space="preserve">2.4. </w:t>
      </w:r>
      <w:r w:rsidR="00CF3DB4" w:rsidRPr="00CF3DB4">
        <w:rPr>
          <w:rFonts w:eastAsia="Calibri"/>
        </w:rPr>
        <w:t>Holistic Approach</w:t>
      </w:r>
      <w:bookmarkEnd w:id="141"/>
    </w:p>
    <w:p w14:paraId="72B77876" w14:textId="38994C25" w:rsidR="00CF3DB4" w:rsidRPr="00CF3DB4" w:rsidRDefault="00CF3DB4" w:rsidP="00B94477">
      <w:pPr>
        <w:spacing w:line="480" w:lineRule="auto"/>
        <w:ind w:left="-2" w:firstLine="569"/>
        <w:jc w:val="both"/>
        <w:rPr>
          <w:rFonts w:eastAsia="Calibri"/>
        </w:rPr>
      </w:pPr>
      <w:bookmarkStart w:id="142" w:name="_Toc200486054"/>
      <w:r w:rsidRPr="00CF3DB4">
        <w:rPr>
          <w:rFonts w:eastAsia="Calibri"/>
        </w:rPr>
        <w:t xml:space="preserve">Teacher learning transcends the mere adaptation to novel practices or acquisition of discrete </w:t>
      </w:r>
      <w:proofErr w:type="gramStart"/>
      <w:r w:rsidRPr="00CF3DB4">
        <w:rPr>
          <w:rFonts w:eastAsia="Calibri"/>
        </w:rPr>
        <w:t>skills,</w:t>
      </w:r>
      <w:proofErr w:type="gramEnd"/>
      <w:r w:rsidRPr="00CF3DB4">
        <w:rPr>
          <w:rFonts w:eastAsia="Calibri"/>
        </w:rPr>
        <w:t xml:space="preserve"> it is a holistic process that encompasses personal growth, identity formation, self-regulation, critical reflection and the development of professional values. </w:t>
      </w:r>
      <w:proofErr w:type="spellStart"/>
      <w:r w:rsidRPr="00CF3DB4">
        <w:rPr>
          <w:rFonts w:eastAsia="Calibri"/>
        </w:rPr>
        <w:t>Tompkin</w:t>
      </w:r>
      <w:proofErr w:type="spellEnd"/>
      <w:r w:rsidRPr="00CF3DB4">
        <w:rPr>
          <w:rFonts w:eastAsia="Calibri"/>
        </w:rPr>
        <w:t xml:space="preserve"> (1998) argues that an educational approach that is holistic acknowledges that learning entails the aptitude to navigate social relationships, express emotions, accept constructive criticism and develop emotional and ethical awareness</w:t>
      </w:r>
      <w:sdt>
        <w:sdtPr>
          <w:rPr>
            <w:rFonts w:eastAsia="Calibri"/>
          </w:rPr>
          <w:id w:val="1044719868"/>
          <w:citation/>
        </w:sdtPr>
        <w:sdtEndPr/>
        <w:sdtContent>
          <w:r w:rsidRPr="00CF3DB4">
            <w:rPr>
              <w:rFonts w:eastAsia="Calibri"/>
            </w:rPr>
            <w:fldChar w:fldCharType="begin"/>
          </w:r>
          <w:r w:rsidRPr="00CF3DB4">
            <w:rPr>
              <w:rFonts w:eastAsia="Calibri"/>
            </w:rPr>
            <w:instrText xml:space="preserve"> CITATION Chr03 \l 1033 </w:instrText>
          </w:r>
          <w:r w:rsidRPr="00CF3DB4">
            <w:rPr>
              <w:rFonts w:eastAsia="Calibri"/>
            </w:rPr>
            <w:fldChar w:fldCharType="separate"/>
          </w:r>
          <w:r w:rsidRPr="00CF3DB4">
            <w:rPr>
              <w:rFonts w:eastAsia="Calibri"/>
              <w:noProof/>
            </w:rPr>
            <w:t xml:space="preserve"> (Borowski, 2003)</w:t>
          </w:r>
          <w:r w:rsidRPr="00CF3DB4">
            <w:rPr>
              <w:rFonts w:eastAsia="Calibri"/>
            </w:rPr>
            <w:fldChar w:fldCharType="end"/>
          </w:r>
        </w:sdtContent>
      </w:sdt>
      <w:r w:rsidRPr="00CF3DB4">
        <w:rPr>
          <w:rFonts w:eastAsia="Calibri"/>
        </w:rPr>
        <w:t>. According to Darling-Hammond., et al (2017), effective professional development incorporates teacher’s active learning, fosters collaborative engagement, integrates coaching, expert support, feedback and opportunities for reflection. Hence, team approach aligns with holistic education principles by encouraging cooperative decision-making and a unified vision to address diverse student needs.</w:t>
      </w:r>
      <w:bookmarkEnd w:id="142"/>
    </w:p>
    <w:p w14:paraId="03954ABF" w14:textId="6AF9C1BA" w:rsidR="00CF3DB4" w:rsidRPr="00CF3DB4" w:rsidRDefault="00B94477" w:rsidP="00AA5DBF">
      <w:pPr>
        <w:pStyle w:val="Titre1"/>
        <w:rPr>
          <w:rFonts w:eastAsia="Calibri"/>
        </w:rPr>
      </w:pPr>
      <w:bookmarkStart w:id="143" w:name="_Toc200486055"/>
      <w:r>
        <w:rPr>
          <w:rFonts w:eastAsia="Calibri"/>
        </w:rPr>
        <w:t xml:space="preserve">2.4.1. </w:t>
      </w:r>
      <w:r w:rsidR="00CF3DB4" w:rsidRPr="00CF3DB4">
        <w:rPr>
          <w:rFonts w:eastAsia="Calibri"/>
        </w:rPr>
        <w:t>Collaborative Culture</w:t>
      </w:r>
      <w:bookmarkEnd w:id="143"/>
    </w:p>
    <w:p w14:paraId="116128E1" w14:textId="3BC8CA1F" w:rsidR="00CF3DB4" w:rsidRPr="00CF3DB4" w:rsidRDefault="00CF3DB4" w:rsidP="00B94477">
      <w:pPr>
        <w:spacing w:after="160" w:line="480" w:lineRule="auto"/>
        <w:ind w:firstLine="567"/>
        <w:jc w:val="both"/>
        <w:rPr>
          <w:rFonts w:eastAsia="Calibri"/>
          <w:kern w:val="2"/>
          <w:position w:val="0"/>
          <w14:ligatures w14:val="standardContextual"/>
        </w:rPr>
      </w:pPr>
      <w:r w:rsidRPr="00CF3DB4">
        <w:rPr>
          <w:rFonts w:eastAsia="Calibri"/>
          <w:kern w:val="2"/>
          <w:position w:val="0"/>
          <w14:ligatures w14:val="standardContextual"/>
        </w:rPr>
        <w:t xml:space="preserve"> A key principle underpinning the holistic approach is cultivating a collaborative culture that supports educators’ shared responsibility and mutual growth.  </w:t>
      </w:r>
      <w:proofErr w:type="spellStart"/>
      <w:r w:rsidRPr="00CF3DB4">
        <w:rPr>
          <w:rFonts w:eastAsia="Calibri"/>
          <w:kern w:val="2"/>
          <w:position w:val="0"/>
          <w14:ligatures w14:val="standardContextual"/>
        </w:rPr>
        <w:t>Borowski</w:t>
      </w:r>
      <w:proofErr w:type="spellEnd"/>
      <w:r w:rsidRPr="00CF3DB4">
        <w:rPr>
          <w:rFonts w:eastAsia="Calibri"/>
          <w:kern w:val="2"/>
          <w:position w:val="0"/>
          <w14:ligatures w14:val="standardContextual"/>
        </w:rPr>
        <w:t xml:space="preserve"> (2003) </w:t>
      </w:r>
      <w:proofErr w:type="gramStart"/>
      <w:r w:rsidRPr="00CF3DB4">
        <w:rPr>
          <w:rFonts w:eastAsia="Calibri"/>
          <w:kern w:val="2"/>
          <w:position w:val="0"/>
          <w14:ligatures w14:val="standardContextual"/>
        </w:rPr>
        <w:t>argues that</w:t>
      </w:r>
      <w:proofErr w:type="gramEnd"/>
      <w:r w:rsidRPr="00CF3DB4">
        <w:rPr>
          <w:rFonts w:eastAsia="Calibri"/>
          <w:kern w:val="2"/>
          <w:position w:val="0"/>
          <w14:ligatures w14:val="standardContextual"/>
        </w:rPr>
        <w:t xml:space="preserve"> “the holistic process requires commitment by the entire community if it is to succeed”</w:t>
      </w:r>
      <w:r w:rsidR="00A04C5F" w:rsidRPr="00A04C5F">
        <w:rPr>
          <w:rFonts w:eastAsia="Calibri"/>
          <w:kern w:val="2"/>
          <w:position w:val="0"/>
          <w14:ligatures w14:val="standardContextual"/>
        </w:rPr>
        <w:t xml:space="preserve"> </w:t>
      </w:r>
      <w:r w:rsidR="00A04C5F" w:rsidRPr="00CF3DB4">
        <w:rPr>
          <w:rFonts w:eastAsia="Calibri"/>
          <w:kern w:val="2"/>
          <w:position w:val="0"/>
          <w14:ligatures w14:val="standardContextual"/>
        </w:rPr>
        <w:t>(</w:t>
      </w:r>
      <w:r w:rsidR="00A04C5F">
        <w:rPr>
          <w:rFonts w:eastAsia="Calibri"/>
          <w:kern w:val="2"/>
          <w:position w:val="0"/>
          <w14:ligatures w14:val="standardContextual"/>
        </w:rPr>
        <w:t>p.</w:t>
      </w:r>
      <w:r w:rsidR="00033632">
        <w:rPr>
          <w:rFonts w:eastAsia="Calibri"/>
          <w:kern w:val="2"/>
          <w:position w:val="0"/>
          <w14:ligatures w14:val="standardContextual"/>
        </w:rPr>
        <w:t xml:space="preserve"> </w:t>
      </w:r>
      <w:r w:rsidR="00A04C5F">
        <w:rPr>
          <w:rFonts w:eastAsia="Calibri"/>
          <w:kern w:val="2"/>
          <w:position w:val="0"/>
          <w14:ligatures w14:val="standardContextual"/>
        </w:rPr>
        <w:t>57</w:t>
      </w:r>
      <w:r w:rsidR="00A04C5F" w:rsidRPr="00CF3DB4">
        <w:rPr>
          <w:rFonts w:eastAsia="Calibri"/>
          <w:kern w:val="2"/>
          <w:position w:val="0"/>
          <w14:ligatures w14:val="standardContextual"/>
        </w:rPr>
        <w:t>)</w:t>
      </w:r>
      <w:r w:rsidRPr="00CF3DB4">
        <w:rPr>
          <w:rFonts w:eastAsia="Calibri"/>
          <w:kern w:val="2"/>
          <w:position w:val="0"/>
          <w14:ligatures w14:val="standardContextual"/>
        </w:rPr>
        <w:t>.</w:t>
      </w:r>
      <w:r w:rsidR="00A04C5F">
        <w:rPr>
          <w:rFonts w:eastAsia="Calibri"/>
          <w:kern w:val="2"/>
          <w:position w:val="0"/>
          <w14:ligatures w14:val="standardContextual"/>
        </w:rPr>
        <w:t xml:space="preserve"> </w:t>
      </w:r>
      <w:r w:rsidRPr="00CF3DB4">
        <w:rPr>
          <w:rFonts w:eastAsia="Calibri"/>
          <w:kern w:val="2"/>
          <w:position w:val="0"/>
          <w14:ligatures w14:val="standardContextual"/>
        </w:rPr>
        <w:t xml:space="preserve">Thus, teacher PD requires active engagement of all stakeholders within the community. This equips its members with the ability to tackle practical classroom situations employing structured critical thinking techniques necessary for thoughtful decision-making. </w:t>
      </w:r>
    </w:p>
    <w:p w14:paraId="5769E8A6" w14:textId="6A84C3C4" w:rsidR="00CF3DB4" w:rsidRPr="00CF3DB4" w:rsidRDefault="00B94477" w:rsidP="00AA5DBF">
      <w:pPr>
        <w:pStyle w:val="Titre1"/>
        <w:rPr>
          <w:rFonts w:eastAsia="Calibri"/>
        </w:rPr>
      </w:pPr>
      <w:bookmarkStart w:id="144" w:name="_Toc200486056"/>
      <w:r>
        <w:rPr>
          <w:rFonts w:eastAsia="Calibri"/>
        </w:rPr>
        <w:t xml:space="preserve">2.4.2. </w:t>
      </w:r>
      <w:r w:rsidR="00CF3DB4" w:rsidRPr="00CF3DB4">
        <w:rPr>
          <w:rFonts w:eastAsia="Calibri"/>
        </w:rPr>
        <w:t>Inclusivity and Equity</w:t>
      </w:r>
      <w:bookmarkEnd w:id="144"/>
    </w:p>
    <w:p w14:paraId="150F08E4" w14:textId="590A10FC" w:rsidR="00CF3DB4" w:rsidRPr="00CF3DB4" w:rsidRDefault="00CF3DB4" w:rsidP="00167767">
      <w:pPr>
        <w:spacing w:after="160" w:line="480" w:lineRule="auto"/>
        <w:ind w:firstLine="567"/>
        <w:jc w:val="both"/>
        <w:rPr>
          <w:rFonts w:eastAsia="Calibri"/>
          <w:kern w:val="2"/>
          <w:position w:val="0"/>
          <w14:ligatures w14:val="standardContextual"/>
        </w:rPr>
      </w:pPr>
      <w:r w:rsidRPr="00CF3DB4">
        <w:rPr>
          <w:rFonts w:eastAsia="Calibri"/>
          <w:kern w:val="2"/>
          <w:position w:val="0"/>
          <w14:ligatures w14:val="standardContextual"/>
        </w:rPr>
        <w:t>Inclusivity and equity are two essential elements of the holistic approach. They inform teachers’ professional growth, shaping their interactions within learning communities and their classroom practices. Online teacher communities are inclusive and free from hierarchical relationships</w:t>
      </w:r>
      <w:sdt>
        <w:sdtPr>
          <w:rPr>
            <w:rFonts w:eastAsia="Calibri"/>
            <w:kern w:val="2"/>
            <w:position w:val="0"/>
            <w14:ligatures w14:val="standardContextual"/>
          </w:rPr>
          <w:id w:val="-578595499"/>
          <w:citation/>
        </w:sdtPr>
        <w:sdtEndPr/>
        <w:sdtContent>
          <w:r w:rsidRPr="00CF3DB4">
            <w:rPr>
              <w:rFonts w:eastAsia="Calibri"/>
              <w:kern w:val="2"/>
              <w:position w:val="0"/>
              <w14:ligatures w14:val="standardContextual"/>
            </w:rPr>
            <w:fldChar w:fldCharType="begin"/>
          </w:r>
          <w:r w:rsidRPr="00CF3DB4">
            <w:rPr>
              <w:rFonts w:eastAsia="Calibri"/>
              <w:kern w:val="2"/>
              <w:position w:val="0"/>
              <w14:ligatures w14:val="standardContextual"/>
            </w:rPr>
            <w:instrText xml:space="preserve">CITATION Chr031 \t  \l 1033 </w:instrText>
          </w:r>
          <w:r w:rsidRPr="00CF3DB4">
            <w:rPr>
              <w:rFonts w:eastAsia="Calibri"/>
              <w:kern w:val="2"/>
              <w:position w:val="0"/>
              <w14:ligatures w14:val="standardContextual"/>
            </w:rPr>
            <w:fldChar w:fldCharType="separate"/>
          </w:r>
          <w:r w:rsidRPr="00CF3DB4">
            <w:rPr>
              <w:rFonts w:eastAsia="Calibri"/>
              <w:noProof/>
              <w:kern w:val="2"/>
              <w:position w:val="0"/>
              <w14:ligatures w14:val="standardContextual"/>
            </w:rPr>
            <w:t xml:space="preserve"> (Borowski, 2003)</w:t>
          </w:r>
          <w:r w:rsidRPr="00CF3DB4">
            <w:rPr>
              <w:rFonts w:eastAsia="Calibri"/>
              <w:kern w:val="2"/>
              <w:position w:val="0"/>
              <w14:ligatures w14:val="standardContextual"/>
            </w:rPr>
            <w:fldChar w:fldCharType="end"/>
          </w:r>
        </w:sdtContent>
      </w:sdt>
      <w:r w:rsidRPr="00CF3DB4">
        <w:rPr>
          <w:rFonts w:eastAsia="Calibri"/>
          <w:kern w:val="2"/>
          <w:position w:val="0"/>
          <w14:ligatures w14:val="standardContextual"/>
        </w:rPr>
        <w:t>, unlike conventional professional learning communities. All community practitioners are encouraged to practice teamwork. This promotes culturally responsive dialogue within digital professional networks.</w:t>
      </w:r>
    </w:p>
    <w:p w14:paraId="7CD4CB78" w14:textId="2BE4F079" w:rsidR="00CF3DB4" w:rsidRPr="00CF3DB4" w:rsidRDefault="00126CD4" w:rsidP="00AA5DBF">
      <w:pPr>
        <w:pStyle w:val="Titre1"/>
        <w:rPr>
          <w:rFonts w:eastAsia="Calibri"/>
        </w:rPr>
      </w:pPr>
      <w:bookmarkStart w:id="145" w:name="_Toc200486057"/>
      <w:r>
        <w:rPr>
          <w:rFonts w:eastAsia="Calibri"/>
        </w:rPr>
        <w:lastRenderedPageBreak/>
        <w:t xml:space="preserve">2.4.3. </w:t>
      </w:r>
      <w:r w:rsidR="00CF3DB4" w:rsidRPr="00CF3DB4">
        <w:rPr>
          <w:rFonts w:eastAsia="Calibri"/>
        </w:rPr>
        <w:t>Peer Mentoring</w:t>
      </w:r>
      <w:bookmarkEnd w:id="145"/>
    </w:p>
    <w:p w14:paraId="0A8EC716" w14:textId="51D07F4F" w:rsidR="00CF3DB4" w:rsidRPr="00CF3DB4" w:rsidRDefault="00CF3DB4" w:rsidP="00126CD4">
      <w:pPr>
        <w:spacing w:after="160" w:line="480" w:lineRule="auto"/>
        <w:ind w:firstLine="567"/>
        <w:jc w:val="both"/>
        <w:rPr>
          <w:rFonts w:eastAsia="Calibri"/>
          <w:kern w:val="2"/>
          <w:position w:val="0"/>
          <w14:ligatures w14:val="standardContextual"/>
        </w:rPr>
      </w:pPr>
      <w:r w:rsidRPr="00CF3DB4">
        <w:rPr>
          <w:rFonts w:eastAsia="Calibri"/>
          <w:kern w:val="2"/>
          <w:position w:val="0"/>
          <w14:ligatures w14:val="standardContextual"/>
        </w:rPr>
        <w:t>As a dialogic process, peer mentoring deepens reflective practice and mutual learning which are central to holistic and inclusive professional culture. OTCs provide an accessible space for co-teaching, sharing effective strategies and collaboratively targeting sustainable school improvement goals</w:t>
      </w:r>
      <w:sdt>
        <w:sdtPr>
          <w:rPr>
            <w:rFonts w:eastAsia="Calibri"/>
            <w:kern w:val="2"/>
            <w:position w:val="0"/>
            <w14:ligatures w14:val="standardContextual"/>
          </w:rPr>
          <w:id w:val="1080333736"/>
          <w:citation/>
        </w:sdtPr>
        <w:sdtEndPr/>
        <w:sdtContent>
          <w:r w:rsidRPr="00CF3DB4">
            <w:rPr>
              <w:rFonts w:eastAsia="Calibri"/>
              <w:kern w:val="2"/>
              <w:position w:val="0"/>
              <w14:ligatures w14:val="standardContextual"/>
            </w:rPr>
            <w:fldChar w:fldCharType="begin"/>
          </w:r>
          <w:r w:rsidRPr="00CF3DB4">
            <w:rPr>
              <w:rFonts w:eastAsia="Calibri"/>
              <w:kern w:val="2"/>
              <w:position w:val="0"/>
              <w14:ligatures w14:val="standardContextual"/>
            </w:rPr>
            <w:instrText xml:space="preserve">CITATION Sch99 \p 9 \l 1033 </w:instrText>
          </w:r>
          <w:r w:rsidRPr="00CF3DB4">
            <w:rPr>
              <w:rFonts w:eastAsia="Calibri"/>
              <w:kern w:val="2"/>
              <w:position w:val="0"/>
              <w14:ligatures w14:val="standardContextual"/>
            </w:rPr>
            <w:fldChar w:fldCharType="separate"/>
          </w:r>
          <w:r w:rsidRPr="00CF3DB4">
            <w:rPr>
              <w:rFonts w:eastAsia="Calibri"/>
              <w:noProof/>
              <w:kern w:val="2"/>
              <w:position w:val="0"/>
              <w14:ligatures w14:val="standardContextual"/>
            </w:rPr>
            <w:t xml:space="preserve"> (Schmoker, 1999, p. 9)</w:t>
          </w:r>
          <w:r w:rsidRPr="00CF3DB4">
            <w:rPr>
              <w:rFonts w:eastAsia="Calibri"/>
              <w:kern w:val="2"/>
              <w:position w:val="0"/>
              <w14:ligatures w14:val="standardContextual"/>
            </w:rPr>
            <w:fldChar w:fldCharType="end"/>
          </w:r>
        </w:sdtContent>
      </w:sdt>
      <w:r w:rsidRPr="00CF3DB4">
        <w:rPr>
          <w:rFonts w:eastAsia="Calibri"/>
          <w:kern w:val="2"/>
          <w:position w:val="0"/>
          <w14:ligatures w14:val="standardContextual"/>
        </w:rPr>
        <w:t>. Hence, the diverse teaching contexts enable cross-cultural and interdisciplinary exchanges. This empowers both mentors and mentees with theoretical, pedagogical, digital, ethical and analytical competencies to navigate the dynamic demands of 21</w:t>
      </w:r>
      <w:r w:rsidRPr="00CF3DB4">
        <w:rPr>
          <w:rFonts w:eastAsia="Calibri"/>
          <w:kern w:val="2"/>
          <w:position w:val="0"/>
          <w:vertAlign w:val="superscript"/>
          <w14:ligatures w14:val="standardContextual"/>
        </w:rPr>
        <w:t>st</w:t>
      </w:r>
      <w:r w:rsidRPr="00CF3DB4">
        <w:rPr>
          <w:rFonts w:eastAsia="Calibri"/>
          <w:kern w:val="2"/>
          <w:position w:val="0"/>
          <w14:ligatures w14:val="standardContextual"/>
        </w:rPr>
        <w:t xml:space="preserve"> century-education, benefiting both teachers and learners.</w:t>
      </w:r>
    </w:p>
    <w:p w14:paraId="227860A6" w14:textId="6E027CEC" w:rsidR="00CF3DB4" w:rsidRPr="00CF3DB4" w:rsidRDefault="00BA5B5E" w:rsidP="00AA5DBF">
      <w:pPr>
        <w:pStyle w:val="Titre1"/>
      </w:pPr>
      <w:bookmarkStart w:id="146" w:name="_Toc200486058"/>
      <w:r>
        <w:t xml:space="preserve">III. </w:t>
      </w:r>
      <w:r w:rsidR="00CF3DB4" w:rsidRPr="00CF3DB4">
        <w:t>Theoretical Framework</w:t>
      </w:r>
      <w:bookmarkEnd w:id="146"/>
    </w:p>
    <w:p w14:paraId="7F2088FB" w14:textId="075FBD7B" w:rsidR="00CF3DB4" w:rsidRDefault="00CF3DB4" w:rsidP="00371079">
      <w:pPr>
        <w:spacing w:after="160" w:line="480" w:lineRule="auto"/>
        <w:ind w:firstLine="567"/>
        <w:jc w:val="both"/>
        <w:rPr>
          <w:rFonts w:eastAsia="Calibri"/>
          <w:kern w:val="2"/>
          <w:position w:val="0"/>
          <w14:ligatures w14:val="standardContextual"/>
        </w:rPr>
      </w:pPr>
      <w:r w:rsidRPr="00CF3DB4">
        <w:rPr>
          <w:rFonts w:eastAsia="Calibri"/>
          <w:kern w:val="2"/>
          <w:position w:val="0"/>
          <w14:ligatures w14:val="standardContextual"/>
        </w:rPr>
        <w:t>This section integrates multiple interconnected theories: Community of Practice (</w:t>
      </w:r>
      <w:proofErr w:type="spellStart"/>
      <w:r w:rsidRPr="00CF3DB4">
        <w:rPr>
          <w:rFonts w:eastAsia="Calibri"/>
          <w:kern w:val="2"/>
          <w:position w:val="0"/>
          <w14:ligatures w14:val="standardContextual"/>
        </w:rPr>
        <w:t>CoP</w:t>
      </w:r>
      <w:proofErr w:type="spellEnd"/>
      <w:r w:rsidRPr="00CF3DB4">
        <w:rPr>
          <w:rFonts w:eastAsia="Calibri"/>
          <w:kern w:val="2"/>
          <w:position w:val="0"/>
          <w14:ligatures w14:val="standardContextual"/>
        </w:rPr>
        <w:t>) (Lave &amp; Wenger, 1991), Situated Learning (SL) (Lave &amp; Wenger, 1991), Social Constructivism (SC) (Vygotsky, 1978), Community of Inquiry (</w:t>
      </w:r>
      <w:proofErr w:type="spellStart"/>
      <w:r w:rsidRPr="00CF3DB4">
        <w:rPr>
          <w:rFonts w:eastAsia="Calibri"/>
          <w:kern w:val="2"/>
          <w:position w:val="0"/>
          <w14:ligatures w14:val="standardContextual"/>
        </w:rPr>
        <w:t>CoI</w:t>
      </w:r>
      <w:proofErr w:type="spellEnd"/>
      <w:r w:rsidRPr="00CF3DB4">
        <w:rPr>
          <w:rFonts w:eastAsia="Calibri"/>
          <w:kern w:val="2"/>
          <w:position w:val="0"/>
          <w14:ligatures w14:val="standardContextual"/>
        </w:rPr>
        <w:t>) (Garrison et al., 2000), Activity Theory (AT) (</w:t>
      </w:r>
      <w:proofErr w:type="spellStart"/>
      <w:r w:rsidRPr="00CF3DB4">
        <w:rPr>
          <w:rFonts w:eastAsia="Calibri"/>
          <w:kern w:val="2"/>
          <w:position w:val="0"/>
          <w14:ligatures w14:val="standardContextual"/>
        </w:rPr>
        <w:t>Engeström</w:t>
      </w:r>
      <w:proofErr w:type="spellEnd"/>
      <w:r w:rsidRPr="00CF3DB4">
        <w:rPr>
          <w:rFonts w:eastAsia="Calibri"/>
          <w:kern w:val="2"/>
          <w:position w:val="0"/>
          <w14:ligatures w14:val="standardContextual"/>
        </w:rPr>
        <w:t>, 1987), and Transformative Learning Theory (TLT) (</w:t>
      </w:r>
      <w:proofErr w:type="spellStart"/>
      <w:r w:rsidRPr="00CF3DB4">
        <w:rPr>
          <w:rFonts w:eastAsia="Calibri"/>
          <w:kern w:val="2"/>
          <w:position w:val="0"/>
          <w14:ligatures w14:val="standardContextual"/>
        </w:rPr>
        <w:t>Mezirow</w:t>
      </w:r>
      <w:proofErr w:type="spellEnd"/>
      <w:r w:rsidRPr="00CF3DB4">
        <w:rPr>
          <w:rFonts w:eastAsia="Calibri"/>
          <w:kern w:val="2"/>
          <w:position w:val="0"/>
          <w14:ligatures w14:val="standardContextual"/>
        </w:rPr>
        <w:t xml:space="preserve">, 1991).  These six theories </w:t>
      </w:r>
      <w:r w:rsidR="00033632">
        <w:rPr>
          <w:rFonts w:eastAsia="Calibri"/>
          <w:kern w:val="2"/>
          <w:position w:val="0"/>
          <w14:ligatures w14:val="standardContextual"/>
        </w:rPr>
        <w:t>highlight</w:t>
      </w:r>
      <w:r w:rsidRPr="00CF3DB4">
        <w:rPr>
          <w:rFonts w:eastAsia="Calibri"/>
          <w:kern w:val="2"/>
          <w:position w:val="0"/>
          <w14:ligatures w14:val="standardContextual"/>
        </w:rPr>
        <w:t xml:space="preserve"> how OTCs enhance collaborative learning, contextual knowledge construction, and reflective assessment practices. This table summarizes core principles of each theory that contribute to understanding the role of OTCs in enhancing EFL teacher’s assessment practices.</w:t>
      </w:r>
    </w:p>
    <w:p w14:paraId="328577F8" w14:textId="77777777" w:rsidR="00113048" w:rsidRDefault="00113048" w:rsidP="00371079">
      <w:pPr>
        <w:spacing w:after="160" w:line="480" w:lineRule="auto"/>
        <w:ind w:firstLine="567"/>
        <w:jc w:val="both"/>
        <w:rPr>
          <w:rFonts w:eastAsia="Calibri"/>
          <w:kern w:val="2"/>
          <w:position w:val="0"/>
          <w14:ligatures w14:val="standardContextual"/>
        </w:rPr>
      </w:pPr>
    </w:p>
    <w:p w14:paraId="03B2A0D0" w14:textId="77777777" w:rsidR="00371079" w:rsidRDefault="00371079" w:rsidP="00371079">
      <w:pPr>
        <w:spacing w:after="160" w:line="480" w:lineRule="auto"/>
        <w:ind w:firstLine="567"/>
        <w:jc w:val="both"/>
        <w:rPr>
          <w:rFonts w:eastAsia="Calibri"/>
          <w:kern w:val="2"/>
          <w:position w:val="0"/>
          <w14:ligatures w14:val="standardContextual"/>
        </w:rPr>
      </w:pPr>
    </w:p>
    <w:p w14:paraId="269A1BBC" w14:textId="77777777" w:rsidR="00371079" w:rsidRDefault="00371079" w:rsidP="00371079">
      <w:pPr>
        <w:spacing w:after="160" w:line="480" w:lineRule="auto"/>
        <w:ind w:firstLine="567"/>
        <w:jc w:val="both"/>
        <w:rPr>
          <w:rFonts w:eastAsia="Calibri"/>
          <w:kern w:val="2"/>
          <w:position w:val="0"/>
          <w14:ligatures w14:val="standardContextual"/>
        </w:rPr>
      </w:pPr>
    </w:p>
    <w:p w14:paraId="48398B21" w14:textId="77777777" w:rsidR="00113048" w:rsidRDefault="00113048" w:rsidP="00371079">
      <w:pPr>
        <w:spacing w:after="160" w:line="480" w:lineRule="auto"/>
        <w:ind w:firstLine="567"/>
        <w:jc w:val="both"/>
        <w:rPr>
          <w:rFonts w:eastAsia="Calibri"/>
          <w:kern w:val="2"/>
          <w:position w:val="0"/>
          <w14:ligatures w14:val="standardContextual"/>
        </w:rPr>
      </w:pPr>
    </w:p>
    <w:p w14:paraId="18AB79C9" w14:textId="77777777" w:rsidR="00371079" w:rsidRPr="00CF3DB4" w:rsidRDefault="00371079" w:rsidP="00371079">
      <w:pPr>
        <w:spacing w:after="160" w:line="480" w:lineRule="auto"/>
        <w:ind w:firstLine="567"/>
        <w:jc w:val="both"/>
        <w:rPr>
          <w:rFonts w:eastAsia="Calibri"/>
          <w:kern w:val="2"/>
          <w:position w:val="0"/>
          <w14:ligatures w14:val="standardContextual"/>
        </w:rPr>
      </w:pPr>
    </w:p>
    <w:p w14:paraId="040303E1" w14:textId="61061166" w:rsidR="00371079" w:rsidRDefault="00CF3DB4" w:rsidP="00CF3DB4">
      <w:pPr>
        <w:keepNext/>
        <w:spacing w:after="200"/>
        <w:rPr>
          <w:rFonts w:eastAsia="Calibri"/>
          <w:kern w:val="2"/>
          <w:position w:val="0"/>
          <w14:ligatures w14:val="standardContextual"/>
        </w:rPr>
      </w:pPr>
      <w:bookmarkStart w:id="147" w:name="_Toc200446650"/>
      <w:r w:rsidRPr="00371079">
        <w:rPr>
          <w:rFonts w:eastAsia="Calibri"/>
          <w:b/>
          <w:bCs/>
          <w:kern w:val="2"/>
          <w:position w:val="0"/>
          <w14:ligatures w14:val="standardContextual"/>
        </w:rPr>
        <w:lastRenderedPageBreak/>
        <w:t xml:space="preserve">Table </w:t>
      </w:r>
      <w:r w:rsidR="00274F6F" w:rsidRPr="00371079">
        <w:rPr>
          <w:rFonts w:eastAsia="Calibri"/>
          <w:b/>
          <w:bCs/>
          <w:kern w:val="2"/>
          <w:position w:val="0"/>
          <w14:ligatures w14:val="standardContextual"/>
        </w:rPr>
        <w:fldChar w:fldCharType="begin"/>
      </w:r>
      <w:r w:rsidR="00274F6F" w:rsidRPr="00371079">
        <w:rPr>
          <w:rFonts w:eastAsia="Calibri"/>
          <w:b/>
          <w:bCs/>
          <w:kern w:val="2"/>
          <w:position w:val="0"/>
          <w14:ligatures w14:val="standardContextual"/>
        </w:rPr>
        <w:instrText xml:space="preserve"> SEQ Table \* ARABIC </w:instrText>
      </w:r>
      <w:r w:rsidR="00274F6F" w:rsidRPr="00371079">
        <w:rPr>
          <w:rFonts w:eastAsia="Calibri"/>
          <w:b/>
          <w:bCs/>
          <w:kern w:val="2"/>
          <w:position w:val="0"/>
          <w14:ligatures w14:val="standardContextual"/>
        </w:rPr>
        <w:fldChar w:fldCharType="separate"/>
      </w:r>
      <w:r w:rsidR="00DC3231">
        <w:rPr>
          <w:rFonts w:eastAsia="Calibri"/>
          <w:b/>
          <w:bCs/>
          <w:noProof/>
          <w:kern w:val="2"/>
          <w:position w:val="0"/>
          <w14:ligatures w14:val="standardContextual"/>
        </w:rPr>
        <w:t>2</w:t>
      </w:r>
      <w:r w:rsidR="00274F6F" w:rsidRPr="00371079">
        <w:rPr>
          <w:rFonts w:eastAsia="Calibri"/>
          <w:b/>
          <w:bCs/>
          <w:kern w:val="2"/>
          <w:position w:val="0"/>
          <w14:ligatures w14:val="standardContextual"/>
        </w:rPr>
        <w:fldChar w:fldCharType="end"/>
      </w:r>
      <w:r w:rsidRPr="00371079">
        <w:rPr>
          <w:rFonts w:eastAsia="Calibri"/>
          <w:kern w:val="2"/>
          <w:position w:val="0"/>
          <w14:ligatures w14:val="standardContextual"/>
        </w:rPr>
        <w:t xml:space="preserve"> </w:t>
      </w:r>
    </w:p>
    <w:p w14:paraId="45602DBC" w14:textId="15C7644F" w:rsidR="00371079" w:rsidRPr="00371079" w:rsidRDefault="00CF3DB4" w:rsidP="00371079">
      <w:pPr>
        <w:keepNext/>
        <w:spacing w:after="200"/>
        <w:rPr>
          <w:rFonts w:eastAsia="Calibri"/>
          <w:kern w:val="2"/>
          <w:position w:val="0"/>
          <w14:ligatures w14:val="standardContextual"/>
        </w:rPr>
      </w:pPr>
      <w:r w:rsidRPr="00371079">
        <w:rPr>
          <w:rFonts w:eastAsia="Calibri"/>
          <w:kern w:val="2"/>
          <w:position w:val="0"/>
          <w14:ligatures w14:val="standardContextual"/>
        </w:rPr>
        <w:t>The Summary of the Core Principles of each Theory</w:t>
      </w:r>
      <w:bookmarkEnd w:id="147"/>
    </w:p>
    <w:tbl>
      <w:tblPr>
        <w:tblStyle w:val="TableGrid2"/>
        <w:tblW w:w="9445" w:type="dxa"/>
        <w:tblLook w:val="04A0" w:firstRow="1" w:lastRow="0" w:firstColumn="1" w:lastColumn="0" w:noHBand="0" w:noVBand="1"/>
      </w:tblPr>
      <w:tblGrid>
        <w:gridCol w:w="3116"/>
        <w:gridCol w:w="6329"/>
      </w:tblGrid>
      <w:tr w:rsidR="00CF3DB4" w:rsidRPr="002706F4" w14:paraId="577CCC4B" w14:textId="77777777" w:rsidTr="00017E34">
        <w:tc>
          <w:tcPr>
            <w:tcW w:w="3116" w:type="dxa"/>
          </w:tcPr>
          <w:p w14:paraId="4DD92C0A" w14:textId="77777777" w:rsidR="00CF3DB4" w:rsidRPr="002706F4" w:rsidRDefault="00CF3DB4" w:rsidP="00CF3DB4">
            <w:pPr>
              <w:spacing w:line="360" w:lineRule="auto"/>
              <w:jc w:val="lowKashida"/>
              <w:rPr>
                <w:rFonts w:asciiTheme="majorBidi" w:eastAsia="Calibri" w:hAnsiTheme="majorBidi" w:cstheme="majorBidi"/>
                <w:position w:val="0"/>
              </w:rPr>
            </w:pPr>
            <w:r w:rsidRPr="002706F4">
              <w:rPr>
                <w:rFonts w:asciiTheme="majorBidi" w:eastAsia="Calibri" w:hAnsiTheme="majorBidi" w:cstheme="majorBidi"/>
                <w:position w:val="0"/>
              </w:rPr>
              <w:t xml:space="preserve">Theory </w:t>
            </w:r>
          </w:p>
        </w:tc>
        <w:tc>
          <w:tcPr>
            <w:tcW w:w="6329" w:type="dxa"/>
          </w:tcPr>
          <w:p w14:paraId="1F7B47C3" w14:textId="77777777" w:rsidR="00CF3DB4" w:rsidRPr="002706F4" w:rsidRDefault="00CF3DB4" w:rsidP="00CF3DB4">
            <w:pPr>
              <w:spacing w:line="360" w:lineRule="auto"/>
              <w:jc w:val="lowKashida"/>
              <w:rPr>
                <w:rFonts w:asciiTheme="majorBidi" w:eastAsia="Calibri" w:hAnsiTheme="majorBidi" w:cstheme="majorBidi"/>
                <w:position w:val="0"/>
              </w:rPr>
            </w:pPr>
            <w:r w:rsidRPr="002706F4">
              <w:rPr>
                <w:rFonts w:asciiTheme="majorBidi" w:eastAsia="Calibri" w:hAnsiTheme="majorBidi" w:cstheme="majorBidi"/>
                <w:position w:val="0"/>
              </w:rPr>
              <w:t>Core principles</w:t>
            </w:r>
          </w:p>
        </w:tc>
      </w:tr>
      <w:tr w:rsidR="00CF3DB4" w:rsidRPr="002706F4" w14:paraId="25731E26" w14:textId="77777777" w:rsidTr="00017E34">
        <w:tc>
          <w:tcPr>
            <w:tcW w:w="3116" w:type="dxa"/>
          </w:tcPr>
          <w:p w14:paraId="69B64BE2" w14:textId="77777777" w:rsidR="00CF3DB4" w:rsidRPr="002706F4" w:rsidRDefault="00CF3DB4" w:rsidP="00CF3DB4">
            <w:pPr>
              <w:spacing w:line="360" w:lineRule="auto"/>
              <w:jc w:val="lowKashida"/>
              <w:rPr>
                <w:rFonts w:asciiTheme="majorBidi" w:eastAsia="Calibri" w:hAnsiTheme="majorBidi" w:cstheme="majorBidi"/>
                <w:position w:val="0"/>
              </w:rPr>
            </w:pPr>
            <w:r w:rsidRPr="002706F4">
              <w:rPr>
                <w:rFonts w:asciiTheme="majorBidi" w:eastAsia="Calibri" w:hAnsiTheme="majorBidi" w:cstheme="majorBidi"/>
                <w:position w:val="0"/>
              </w:rPr>
              <w:t>Community of Practice (</w:t>
            </w:r>
            <w:proofErr w:type="spellStart"/>
            <w:r w:rsidRPr="002706F4">
              <w:rPr>
                <w:rFonts w:asciiTheme="majorBidi" w:eastAsia="Calibri" w:hAnsiTheme="majorBidi" w:cstheme="majorBidi"/>
                <w:position w:val="0"/>
              </w:rPr>
              <w:t>CoP</w:t>
            </w:r>
            <w:proofErr w:type="spellEnd"/>
            <w:r w:rsidRPr="002706F4">
              <w:rPr>
                <w:rFonts w:asciiTheme="majorBidi" w:eastAsia="Calibri" w:hAnsiTheme="majorBidi" w:cstheme="majorBidi"/>
                <w:position w:val="0"/>
              </w:rPr>
              <w:t>)</w:t>
            </w:r>
          </w:p>
          <w:p w14:paraId="118A19DC" w14:textId="77777777" w:rsidR="00CF3DB4" w:rsidRPr="002706F4" w:rsidRDefault="00CF3DB4" w:rsidP="00CF3DB4">
            <w:pPr>
              <w:spacing w:line="360" w:lineRule="auto"/>
              <w:jc w:val="lowKashida"/>
              <w:rPr>
                <w:rFonts w:asciiTheme="majorBidi" w:eastAsia="Calibri" w:hAnsiTheme="majorBidi" w:cstheme="majorBidi"/>
                <w:position w:val="0"/>
              </w:rPr>
            </w:pPr>
            <w:r w:rsidRPr="002706F4">
              <w:rPr>
                <w:rFonts w:asciiTheme="majorBidi" w:eastAsia="Calibri" w:hAnsiTheme="majorBidi" w:cstheme="majorBidi"/>
                <w:position w:val="0"/>
              </w:rPr>
              <w:t>(Lave &amp; Wenger, 1991)</w:t>
            </w:r>
          </w:p>
        </w:tc>
        <w:tc>
          <w:tcPr>
            <w:tcW w:w="6329" w:type="dxa"/>
          </w:tcPr>
          <w:p w14:paraId="7A0ED0F4" w14:textId="77777777" w:rsidR="00CF3DB4" w:rsidRPr="002706F4" w:rsidRDefault="00CF3DB4" w:rsidP="00CF3DB4">
            <w:pPr>
              <w:spacing w:line="360" w:lineRule="auto"/>
              <w:jc w:val="lowKashida"/>
              <w:rPr>
                <w:rFonts w:asciiTheme="majorBidi" w:eastAsia="Calibri" w:hAnsiTheme="majorBidi" w:cstheme="majorBidi"/>
                <w:position w:val="0"/>
              </w:rPr>
            </w:pPr>
            <w:r w:rsidRPr="002706F4">
              <w:rPr>
                <w:rFonts w:asciiTheme="majorBidi" w:eastAsia="Calibri" w:hAnsiTheme="majorBidi" w:cstheme="majorBidi"/>
                <w:position w:val="0"/>
              </w:rPr>
              <w:t xml:space="preserve">Learning and skills develop as individuals practice interaction in a dynamic community centered around a shared domain </w:t>
            </w:r>
          </w:p>
        </w:tc>
      </w:tr>
      <w:tr w:rsidR="00CF3DB4" w:rsidRPr="002706F4" w14:paraId="61370E09" w14:textId="77777777" w:rsidTr="00017E34">
        <w:tc>
          <w:tcPr>
            <w:tcW w:w="3116" w:type="dxa"/>
          </w:tcPr>
          <w:p w14:paraId="4C5854DF" w14:textId="77777777" w:rsidR="00CF3DB4" w:rsidRPr="002706F4" w:rsidRDefault="00CF3DB4" w:rsidP="00CF3DB4">
            <w:pPr>
              <w:spacing w:line="360" w:lineRule="auto"/>
              <w:jc w:val="lowKashida"/>
              <w:rPr>
                <w:rFonts w:asciiTheme="majorBidi" w:eastAsia="Calibri" w:hAnsiTheme="majorBidi" w:cstheme="majorBidi"/>
                <w:position w:val="0"/>
              </w:rPr>
            </w:pPr>
            <w:r w:rsidRPr="002706F4">
              <w:rPr>
                <w:rFonts w:asciiTheme="majorBidi" w:eastAsia="Calibri" w:hAnsiTheme="majorBidi" w:cstheme="majorBidi"/>
                <w:position w:val="0"/>
              </w:rPr>
              <w:t>Situated Learning (SL)</w:t>
            </w:r>
          </w:p>
          <w:p w14:paraId="73BCCA46" w14:textId="77777777" w:rsidR="00CF3DB4" w:rsidRPr="002706F4" w:rsidRDefault="00CF3DB4" w:rsidP="00CF3DB4">
            <w:pPr>
              <w:spacing w:line="360" w:lineRule="auto"/>
              <w:jc w:val="lowKashida"/>
              <w:rPr>
                <w:rFonts w:asciiTheme="majorBidi" w:eastAsia="Calibri" w:hAnsiTheme="majorBidi" w:cstheme="majorBidi"/>
                <w:position w:val="0"/>
              </w:rPr>
            </w:pPr>
            <w:r w:rsidRPr="002706F4">
              <w:rPr>
                <w:rFonts w:asciiTheme="majorBidi" w:eastAsia="Calibri" w:hAnsiTheme="majorBidi" w:cstheme="majorBidi"/>
                <w:position w:val="0"/>
              </w:rPr>
              <w:t>(Lave &amp; Wenger, 1991)</w:t>
            </w:r>
          </w:p>
        </w:tc>
        <w:tc>
          <w:tcPr>
            <w:tcW w:w="6329" w:type="dxa"/>
          </w:tcPr>
          <w:p w14:paraId="2CA8C269" w14:textId="77777777" w:rsidR="00CF3DB4" w:rsidRPr="002706F4" w:rsidRDefault="00CF3DB4" w:rsidP="00CF3DB4">
            <w:pPr>
              <w:spacing w:line="360" w:lineRule="auto"/>
              <w:jc w:val="lowKashida"/>
              <w:rPr>
                <w:rFonts w:asciiTheme="majorBidi" w:eastAsia="Calibri" w:hAnsiTheme="majorBidi" w:cstheme="majorBidi"/>
                <w:position w:val="0"/>
              </w:rPr>
            </w:pPr>
            <w:r w:rsidRPr="002706F4">
              <w:rPr>
                <w:rFonts w:asciiTheme="majorBidi" w:eastAsia="Calibri" w:hAnsiTheme="majorBidi" w:cstheme="majorBidi"/>
                <w:position w:val="0"/>
              </w:rPr>
              <w:t>Learning occurs within the context of doing; new comers transition into central members via legitimate peripheral participation (LPP)</w:t>
            </w:r>
          </w:p>
        </w:tc>
      </w:tr>
      <w:tr w:rsidR="00CF3DB4" w:rsidRPr="002706F4" w14:paraId="16E0DFFE" w14:textId="77777777" w:rsidTr="00017E34">
        <w:tc>
          <w:tcPr>
            <w:tcW w:w="3116" w:type="dxa"/>
          </w:tcPr>
          <w:p w14:paraId="18224B95" w14:textId="77777777" w:rsidR="00CF3DB4" w:rsidRPr="002706F4" w:rsidRDefault="00CF3DB4" w:rsidP="00CF3DB4">
            <w:pPr>
              <w:spacing w:line="360" w:lineRule="auto"/>
              <w:jc w:val="lowKashida"/>
              <w:rPr>
                <w:rFonts w:asciiTheme="majorBidi" w:eastAsia="Calibri" w:hAnsiTheme="majorBidi" w:cstheme="majorBidi"/>
                <w:position w:val="0"/>
              </w:rPr>
            </w:pPr>
            <w:r w:rsidRPr="002706F4">
              <w:rPr>
                <w:rFonts w:asciiTheme="majorBidi" w:eastAsia="Calibri" w:hAnsiTheme="majorBidi" w:cstheme="majorBidi"/>
                <w:position w:val="0"/>
              </w:rPr>
              <w:t>Social Constructivism (SC)</w:t>
            </w:r>
          </w:p>
          <w:p w14:paraId="76BA6493" w14:textId="77777777" w:rsidR="00CF3DB4" w:rsidRPr="002706F4" w:rsidRDefault="00CF3DB4" w:rsidP="00CF3DB4">
            <w:pPr>
              <w:spacing w:line="360" w:lineRule="auto"/>
              <w:jc w:val="lowKashida"/>
              <w:rPr>
                <w:rFonts w:asciiTheme="majorBidi" w:eastAsia="Calibri" w:hAnsiTheme="majorBidi" w:cstheme="majorBidi"/>
                <w:position w:val="0"/>
              </w:rPr>
            </w:pPr>
            <w:r w:rsidRPr="002706F4">
              <w:rPr>
                <w:rFonts w:asciiTheme="majorBidi" w:eastAsia="Calibri" w:hAnsiTheme="majorBidi" w:cstheme="majorBidi"/>
                <w:position w:val="0"/>
              </w:rPr>
              <w:t>(Vygotsky, 1978)</w:t>
            </w:r>
          </w:p>
        </w:tc>
        <w:tc>
          <w:tcPr>
            <w:tcW w:w="6329" w:type="dxa"/>
          </w:tcPr>
          <w:p w14:paraId="67B1463F" w14:textId="77777777" w:rsidR="00CF3DB4" w:rsidRPr="002706F4" w:rsidRDefault="00CF3DB4" w:rsidP="00CF3DB4">
            <w:pPr>
              <w:spacing w:line="360" w:lineRule="auto"/>
              <w:jc w:val="lowKashida"/>
              <w:rPr>
                <w:rFonts w:asciiTheme="majorBidi" w:eastAsia="Calibri" w:hAnsiTheme="majorBidi" w:cstheme="majorBidi"/>
                <w:position w:val="0"/>
              </w:rPr>
            </w:pPr>
            <w:r w:rsidRPr="002706F4">
              <w:rPr>
                <w:rFonts w:asciiTheme="majorBidi" w:eastAsia="Calibri" w:hAnsiTheme="majorBidi" w:cstheme="majorBidi"/>
                <w:position w:val="0"/>
              </w:rPr>
              <w:t>Knowledge is co-constructed and subsequently internalized through social interaction.</w:t>
            </w:r>
          </w:p>
        </w:tc>
      </w:tr>
      <w:tr w:rsidR="00CF3DB4" w:rsidRPr="002706F4" w14:paraId="2D96C9E8" w14:textId="77777777" w:rsidTr="00017E34">
        <w:tc>
          <w:tcPr>
            <w:tcW w:w="3116" w:type="dxa"/>
          </w:tcPr>
          <w:p w14:paraId="4BFDC57A" w14:textId="77777777" w:rsidR="00CF3DB4" w:rsidRPr="002706F4" w:rsidRDefault="00CF3DB4" w:rsidP="00CF3DB4">
            <w:pPr>
              <w:spacing w:line="360" w:lineRule="auto"/>
              <w:jc w:val="lowKashida"/>
              <w:rPr>
                <w:rFonts w:asciiTheme="majorBidi" w:eastAsia="Calibri" w:hAnsiTheme="majorBidi" w:cstheme="majorBidi"/>
                <w:position w:val="0"/>
              </w:rPr>
            </w:pPr>
            <w:r w:rsidRPr="002706F4">
              <w:rPr>
                <w:rFonts w:asciiTheme="majorBidi" w:eastAsia="Calibri" w:hAnsiTheme="majorBidi" w:cstheme="majorBidi"/>
                <w:position w:val="0"/>
              </w:rPr>
              <w:t>Community of Inquiry (</w:t>
            </w:r>
            <w:proofErr w:type="spellStart"/>
            <w:r w:rsidRPr="002706F4">
              <w:rPr>
                <w:rFonts w:asciiTheme="majorBidi" w:eastAsia="Calibri" w:hAnsiTheme="majorBidi" w:cstheme="majorBidi"/>
                <w:position w:val="0"/>
              </w:rPr>
              <w:t>CoI</w:t>
            </w:r>
            <w:proofErr w:type="spellEnd"/>
            <w:r w:rsidRPr="002706F4">
              <w:rPr>
                <w:rFonts w:asciiTheme="majorBidi" w:eastAsia="Calibri" w:hAnsiTheme="majorBidi" w:cstheme="majorBidi"/>
                <w:position w:val="0"/>
              </w:rPr>
              <w:t>)</w:t>
            </w:r>
          </w:p>
          <w:p w14:paraId="618DA79E" w14:textId="77777777" w:rsidR="00CF3DB4" w:rsidRPr="002706F4" w:rsidRDefault="00CF3DB4" w:rsidP="00CF3DB4">
            <w:pPr>
              <w:spacing w:line="360" w:lineRule="auto"/>
              <w:jc w:val="lowKashida"/>
              <w:rPr>
                <w:rFonts w:asciiTheme="majorBidi" w:eastAsia="Calibri" w:hAnsiTheme="majorBidi" w:cstheme="majorBidi"/>
                <w:position w:val="0"/>
              </w:rPr>
            </w:pPr>
            <w:r w:rsidRPr="002706F4">
              <w:rPr>
                <w:rFonts w:asciiTheme="majorBidi" w:eastAsia="Calibri" w:hAnsiTheme="majorBidi" w:cstheme="majorBidi"/>
                <w:position w:val="0"/>
              </w:rPr>
              <w:t>(Garrison et al., 2000)</w:t>
            </w:r>
          </w:p>
        </w:tc>
        <w:tc>
          <w:tcPr>
            <w:tcW w:w="6329" w:type="dxa"/>
          </w:tcPr>
          <w:p w14:paraId="1264517C" w14:textId="77777777" w:rsidR="00CF3DB4" w:rsidRPr="002706F4" w:rsidRDefault="00CF3DB4" w:rsidP="00CF3DB4">
            <w:pPr>
              <w:spacing w:line="360" w:lineRule="auto"/>
              <w:jc w:val="lowKashida"/>
              <w:rPr>
                <w:rFonts w:asciiTheme="majorBidi" w:eastAsia="Calibri" w:hAnsiTheme="majorBidi" w:cstheme="majorBidi"/>
                <w:position w:val="0"/>
              </w:rPr>
            </w:pPr>
            <w:r w:rsidRPr="002706F4">
              <w:rPr>
                <w:rFonts w:asciiTheme="majorBidi" w:eastAsia="Calibri" w:hAnsiTheme="majorBidi" w:cstheme="majorBidi"/>
                <w:position w:val="0"/>
              </w:rPr>
              <w:t>Learning depends on three key elements: social presence (interpersonal connections), cognitive presence (critical thinking), and teaching presence (instructional direction)</w:t>
            </w:r>
          </w:p>
        </w:tc>
      </w:tr>
      <w:tr w:rsidR="00CF3DB4" w:rsidRPr="002706F4" w14:paraId="0A0C3F77" w14:textId="77777777" w:rsidTr="00017E34">
        <w:tc>
          <w:tcPr>
            <w:tcW w:w="3116" w:type="dxa"/>
          </w:tcPr>
          <w:p w14:paraId="0CCC842E" w14:textId="77777777" w:rsidR="00CF3DB4" w:rsidRPr="002706F4" w:rsidRDefault="00CF3DB4" w:rsidP="00CF3DB4">
            <w:pPr>
              <w:spacing w:line="360" w:lineRule="auto"/>
              <w:jc w:val="lowKashida"/>
              <w:rPr>
                <w:rFonts w:asciiTheme="majorBidi" w:eastAsia="Calibri" w:hAnsiTheme="majorBidi" w:cstheme="majorBidi"/>
                <w:position w:val="0"/>
              </w:rPr>
            </w:pPr>
            <w:r w:rsidRPr="002706F4">
              <w:rPr>
                <w:rFonts w:asciiTheme="majorBidi" w:eastAsia="Calibri" w:hAnsiTheme="majorBidi" w:cstheme="majorBidi"/>
                <w:position w:val="0"/>
              </w:rPr>
              <w:t>Activity Theory (AT)</w:t>
            </w:r>
          </w:p>
          <w:p w14:paraId="1CF78359" w14:textId="77777777" w:rsidR="00CF3DB4" w:rsidRPr="002706F4" w:rsidRDefault="00CF3DB4" w:rsidP="00CF3DB4">
            <w:pPr>
              <w:spacing w:line="360" w:lineRule="auto"/>
              <w:jc w:val="lowKashida"/>
              <w:rPr>
                <w:rFonts w:asciiTheme="majorBidi" w:eastAsia="Calibri" w:hAnsiTheme="majorBidi" w:cstheme="majorBidi"/>
                <w:position w:val="0"/>
              </w:rPr>
            </w:pPr>
            <w:r w:rsidRPr="002706F4">
              <w:rPr>
                <w:rFonts w:asciiTheme="majorBidi" w:eastAsia="Calibri" w:hAnsiTheme="majorBidi" w:cstheme="majorBidi"/>
                <w:position w:val="0"/>
              </w:rPr>
              <w:t>(</w:t>
            </w:r>
            <w:proofErr w:type="spellStart"/>
            <w:r w:rsidRPr="002706F4">
              <w:rPr>
                <w:rFonts w:asciiTheme="majorBidi" w:eastAsia="Calibri" w:hAnsiTheme="majorBidi" w:cstheme="majorBidi"/>
                <w:position w:val="0"/>
              </w:rPr>
              <w:t>Engeström</w:t>
            </w:r>
            <w:proofErr w:type="spellEnd"/>
            <w:r w:rsidRPr="002706F4">
              <w:rPr>
                <w:rFonts w:asciiTheme="majorBidi" w:eastAsia="Calibri" w:hAnsiTheme="majorBidi" w:cstheme="majorBidi"/>
                <w:position w:val="0"/>
              </w:rPr>
              <w:t>, 1987)</w:t>
            </w:r>
          </w:p>
        </w:tc>
        <w:tc>
          <w:tcPr>
            <w:tcW w:w="6329" w:type="dxa"/>
          </w:tcPr>
          <w:p w14:paraId="5E76AE5E" w14:textId="77777777" w:rsidR="00CF3DB4" w:rsidRPr="002706F4" w:rsidRDefault="00CF3DB4" w:rsidP="00CF3DB4">
            <w:pPr>
              <w:spacing w:line="360" w:lineRule="auto"/>
              <w:jc w:val="lowKashida"/>
              <w:rPr>
                <w:rFonts w:asciiTheme="majorBidi" w:eastAsia="Calibri" w:hAnsiTheme="majorBidi" w:cstheme="majorBidi"/>
                <w:position w:val="0"/>
              </w:rPr>
            </w:pPr>
            <w:r w:rsidRPr="002706F4">
              <w:rPr>
                <w:rFonts w:asciiTheme="majorBidi" w:eastAsia="Calibri" w:hAnsiTheme="majorBidi" w:cstheme="majorBidi"/>
                <w:position w:val="0"/>
              </w:rPr>
              <w:t xml:space="preserve">Human activities are a complex system mediated by tools available, rules established and community dynamics. </w:t>
            </w:r>
          </w:p>
        </w:tc>
      </w:tr>
      <w:tr w:rsidR="00CF3DB4" w:rsidRPr="002706F4" w14:paraId="12F9267C" w14:textId="77777777" w:rsidTr="00017E34">
        <w:tc>
          <w:tcPr>
            <w:tcW w:w="3116" w:type="dxa"/>
          </w:tcPr>
          <w:p w14:paraId="12EB809D" w14:textId="77777777" w:rsidR="00CF3DB4" w:rsidRPr="002706F4" w:rsidRDefault="00CF3DB4" w:rsidP="00CF3DB4">
            <w:pPr>
              <w:spacing w:line="360" w:lineRule="auto"/>
              <w:jc w:val="lowKashida"/>
              <w:rPr>
                <w:rFonts w:asciiTheme="majorBidi" w:eastAsia="Calibri" w:hAnsiTheme="majorBidi" w:cstheme="majorBidi"/>
                <w:position w:val="0"/>
              </w:rPr>
            </w:pPr>
            <w:r w:rsidRPr="002706F4">
              <w:rPr>
                <w:rFonts w:asciiTheme="majorBidi" w:eastAsia="Calibri" w:hAnsiTheme="majorBidi" w:cstheme="majorBidi"/>
                <w:position w:val="0"/>
              </w:rPr>
              <w:t>Transformative Learning Theory (TLT) (</w:t>
            </w:r>
            <w:proofErr w:type="spellStart"/>
            <w:r w:rsidRPr="002706F4">
              <w:rPr>
                <w:rFonts w:asciiTheme="majorBidi" w:eastAsia="Calibri" w:hAnsiTheme="majorBidi" w:cstheme="majorBidi"/>
                <w:position w:val="0"/>
              </w:rPr>
              <w:t>Mezirow</w:t>
            </w:r>
            <w:proofErr w:type="spellEnd"/>
            <w:r w:rsidRPr="002706F4">
              <w:rPr>
                <w:rFonts w:asciiTheme="majorBidi" w:eastAsia="Calibri" w:hAnsiTheme="majorBidi" w:cstheme="majorBidi"/>
                <w:position w:val="0"/>
              </w:rPr>
              <w:t>, 1991)</w:t>
            </w:r>
          </w:p>
        </w:tc>
        <w:tc>
          <w:tcPr>
            <w:tcW w:w="6329" w:type="dxa"/>
          </w:tcPr>
          <w:p w14:paraId="6FB1CC57" w14:textId="77777777" w:rsidR="00CF3DB4" w:rsidRPr="002706F4" w:rsidRDefault="00CF3DB4" w:rsidP="00CF3DB4">
            <w:pPr>
              <w:spacing w:line="360" w:lineRule="auto"/>
              <w:jc w:val="lowKashida"/>
              <w:rPr>
                <w:rFonts w:asciiTheme="majorBidi" w:eastAsia="Calibri" w:hAnsiTheme="majorBidi" w:cstheme="majorBidi"/>
                <w:position w:val="0"/>
              </w:rPr>
            </w:pPr>
            <w:r w:rsidRPr="002706F4">
              <w:rPr>
                <w:rFonts w:asciiTheme="majorBidi" w:eastAsia="Calibri" w:hAnsiTheme="majorBidi" w:cstheme="majorBidi"/>
                <w:position w:val="0"/>
              </w:rPr>
              <w:t xml:space="preserve">Disorienting dilemmas provoke critical </w:t>
            </w:r>
            <w:proofErr w:type="gramStart"/>
            <w:r w:rsidRPr="002706F4">
              <w:rPr>
                <w:rFonts w:asciiTheme="majorBidi" w:eastAsia="Calibri" w:hAnsiTheme="majorBidi" w:cstheme="majorBidi"/>
                <w:position w:val="0"/>
              </w:rPr>
              <w:t>reflection which</w:t>
            </w:r>
            <w:proofErr w:type="gramEnd"/>
            <w:r w:rsidRPr="002706F4">
              <w:rPr>
                <w:rFonts w:asciiTheme="majorBidi" w:eastAsia="Calibri" w:hAnsiTheme="majorBidi" w:cstheme="majorBidi"/>
                <w:position w:val="0"/>
              </w:rPr>
              <w:t xml:space="preserve"> results in a shift to a new perspective.</w:t>
            </w:r>
          </w:p>
        </w:tc>
      </w:tr>
    </w:tbl>
    <w:p w14:paraId="184C322C" w14:textId="77777777" w:rsidR="00371079" w:rsidRDefault="00371079" w:rsidP="00371079">
      <w:pPr>
        <w:spacing w:after="160" w:line="480" w:lineRule="auto"/>
        <w:ind w:firstLine="567"/>
        <w:jc w:val="both"/>
        <w:rPr>
          <w:rFonts w:eastAsia="Calibri"/>
          <w:kern w:val="2"/>
          <w:position w:val="0"/>
          <w14:ligatures w14:val="standardContextual"/>
        </w:rPr>
      </w:pPr>
    </w:p>
    <w:p w14:paraId="6866B0AA" w14:textId="77777777" w:rsidR="005164C0" w:rsidRDefault="00CF3DB4" w:rsidP="005164C0">
      <w:pPr>
        <w:spacing w:after="160" w:line="480" w:lineRule="auto"/>
        <w:ind w:firstLine="567"/>
        <w:jc w:val="both"/>
        <w:rPr>
          <w:rFonts w:eastAsia="Calibri"/>
          <w:kern w:val="2"/>
          <w:position w:val="0"/>
          <w14:ligatures w14:val="standardContextual"/>
        </w:rPr>
      </w:pPr>
      <w:r w:rsidRPr="00CF3DB4">
        <w:rPr>
          <w:rFonts w:eastAsia="Calibri"/>
          <w:kern w:val="2"/>
          <w:position w:val="0"/>
          <w14:ligatures w14:val="standardContextual"/>
        </w:rPr>
        <w:t xml:space="preserve"> The basic principles of learning are derived from </w:t>
      </w:r>
      <w:proofErr w:type="spellStart"/>
      <w:r w:rsidRPr="00CF3DB4">
        <w:rPr>
          <w:rFonts w:eastAsia="Calibri"/>
          <w:kern w:val="2"/>
          <w:position w:val="0"/>
          <w14:ligatures w14:val="standardContextual"/>
        </w:rPr>
        <w:t>CoP</w:t>
      </w:r>
      <w:proofErr w:type="spellEnd"/>
      <w:r w:rsidRPr="00CF3DB4">
        <w:rPr>
          <w:rFonts w:eastAsia="Calibri"/>
          <w:kern w:val="2"/>
          <w:position w:val="0"/>
          <w14:ligatures w14:val="standardContextual"/>
        </w:rPr>
        <w:t xml:space="preserve"> and SL </w:t>
      </w:r>
      <w:proofErr w:type="gramStart"/>
      <w:r w:rsidRPr="00CF3DB4">
        <w:rPr>
          <w:rFonts w:eastAsia="Calibri"/>
          <w:kern w:val="2"/>
          <w:position w:val="0"/>
          <w14:ligatures w14:val="standardContextual"/>
        </w:rPr>
        <w:t>theories which</w:t>
      </w:r>
      <w:proofErr w:type="gramEnd"/>
      <w:r w:rsidRPr="00CF3DB4">
        <w:rPr>
          <w:rFonts w:eastAsia="Calibri"/>
          <w:kern w:val="2"/>
          <w:position w:val="0"/>
          <w14:ligatures w14:val="standardContextual"/>
        </w:rPr>
        <w:t xml:space="preserve"> emphasize that learning is a social process. </w:t>
      </w:r>
      <w:proofErr w:type="spellStart"/>
      <w:r w:rsidRPr="00CF3DB4">
        <w:rPr>
          <w:rFonts w:eastAsia="Calibri"/>
          <w:kern w:val="2"/>
          <w:position w:val="0"/>
          <w14:ligatures w14:val="standardContextual"/>
        </w:rPr>
        <w:t>CoP</w:t>
      </w:r>
      <w:proofErr w:type="spellEnd"/>
      <w:r w:rsidRPr="00CF3DB4">
        <w:rPr>
          <w:rFonts w:eastAsia="Calibri"/>
          <w:kern w:val="2"/>
          <w:position w:val="0"/>
          <w14:ligatures w14:val="standardContextual"/>
        </w:rPr>
        <w:t xml:space="preserve"> identifies three key elements: “domain” (shared interest), “community” (social engagement), and “practice” (collective resources) (Wenger, 1998; </w:t>
      </w:r>
      <w:proofErr w:type="spellStart"/>
      <w:r w:rsidRPr="00CF3DB4">
        <w:rPr>
          <w:rFonts w:eastAsia="Calibri"/>
          <w:kern w:val="2"/>
          <w:position w:val="0"/>
          <w14:ligatures w14:val="standardContextual"/>
        </w:rPr>
        <w:t>Cojorn</w:t>
      </w:r>
      <w:proofErr w:type="spellEnd"/>
      <w:r w:rsidRPr="00CF3DB4">
        <w:rPr>
          <w:rFonts w:eastAsia="Calibri"/>
          <w:kern w:val="2"/>
          <w:position w:val="0"/>
          <w14:ligatures w14:val="standardContextual"/>
        </w:rPr>
        <w:t xml:space="preserve"> &amp; </w:t>
      </w:r>
      <w:proofErr w:type="spellStart"/>
      <w:r w:rsidRPr="00CF3DB4">
        <w:rPr>
          <w:rFonts w:eastAsia="Calibri"/>
          <w:kern w:val="2"/>
          <w:position w:val="0"/>
          <w14:ligatures w14:val="standardContextual"/>
        </w:rPr>
        <w:t>Sonsupap</w:t>
      </w:r>
      <w:proofErr w:type="spellEnd"/>
      <w:r w:rsidRPr="00CF3DB4">
        <w:rPr>
          <w:rFonts w:eastAsia="Calibri"/>
          <w:kern w:val="2"/>
          <w:position w:val="0"/>
          <w14:ligatures w14:val="standardContextual"/>
        </w:rPr>
        <w:t xml:space="preserve">, 2024; </w:t>
      </w:r>
      <w:proofErr w:type="spellStart"/>
      <w:r w:rsidRPr="00CF3DB4">
        <w:rPr>
          <w:rFonts w:eastAsia="Calibri"/>
          <w:kern w:val="2"/>
          <w:position w:val="0"/>
          <w14:ligatures w14:val="standardContextual"/>
        </w:rPr>
        <w:t>Mercieca</w:t>
      </w:r>
      <w:proofErr w:type="spellEnd"/>
      <w:r w:rsidRPr="00CF3DB4">
        <w:rPr>
          <w:rFonts w:eastAsia="Calibri"/>
          <w:kern w:val="2"/>
          <w:position w:val="0"/>
          <w14:ligatures w14:val="standardContextual"/>
        </w:rPr>
        <w:t xml:space="preserve">, 2017) that allow EFL teachers to collaboratively refine their assessment practices. SL theory supports this by underscoring authentic contexts and legitimate peripheral participation (LPP). </w:t>
      </w:r>
      <w:proofErr w:type="gramStart"/>
      <w:r w:rsidRPr="00CF3DB4">
        <w:rPr>
          <w:rFonts w:eastAsia="Calibri"/>
          <w:kern w:val="2"/>
          <w:position w:val="0"/>
          <w14:ligatures w14:val="standardContextual"/>
        </w:rPr>
        <w:t>Lave &amp; Wenger (1991) emphasized authentic activities and social interaction to acquire knowledge.</w:t>
      </w:r>
      <w:proofErr w:type="gramEnd"/>
      <w:r w:rsidRPr="00CF3DB4">
        <w:rPr>
          <w:rFonts w:eastAsia="Calibri"/>
          <w:kern w:val="2"/>
          <w:position w:val="0"/>
          <w14:ligatures w14:val="standardContextual"/>
        </w:rPr>
        <w:t xml:space="preserve"> Through LPP, newcomers gradually observe and engage in the practices of experienced members moving toward full participation. This process develops a trajectory of </w:t>
      </w:r>
      <w:proofErr w:type="gramStart"/>
      <w:r w:rsidRPr="00CF3DB4">
        <w:rPr>
          <w:rFonts w:eastAsia="Calibri"/>
          <w:kern w:val="2"/>
          <w:position w:val="0"/>
          <w14:ligatures w14:val="standardContextual"/>
        </w:rPr>
        <w:t>learning which</w:t>
      </w:r>
      <w:proofErr w:type="gramEnd"/>
      <w:r w:rsidRPr="00CF3DB4">
        <w:rPr>
          <w:rFonts w:eastAsia="Calibri"/>
          <w:kern w:val="2"/>
          <w:position w:val="0"/>
          <w14:ligatures w14:val="standardContextual"/>
        </w:rPr>
        <w:t xml:space="preserve"> fosters meaning-making through active </w:t>
      </w:r>
      <w:r w:rsidRPr="00CF3DB4">
        <w:rPr>
          <w:rFonts w:eastAsia="Calibri"/>
          <w:kern w:val="2"/>
          <w:position w:val="0"/>
          <w14:ligatures w14:val="standardContextual"/>
        </w:rPr>
        <w:lastRenderedPageBreak/>
        <w:t>participation and reification (moving from abstract knowledge to concrete forms) (Lave &amp; Wenger, 1991; Priest et al., 2016).</w:t>
      </w:r>
    </w:p>
    <w:p w14:paraId="28DC8B89" w14:textId="77777777" w:rsidR="005164C0" w:rsidRDefault="00CF3DB4" w:rsidP="005164C0">
      <w:pPr>
        <w:spacing w:after="160" w:line="480" w:lineRule="auto"/>
        <w:ind w:firstLine="567"/>
        <w:jc w:val="both"/>
        <w:rPr>
          <w:rFonts w:eastAsia="Calibri"/>
          <w:kern w:val="2"/>
          <w:position w:val="0"/>
          <w14:ligatures w14:val="standardContextual"/>
        </w:rPr>
      </w:pPr>
      <w:r w:rsidRPr="00CF3DB4">
        <w:rPr>
          <w:rFonts w:eastAsia="Calibri"/>
          <w:kern w:val="2"/>
          <w:position w:val="0"/>
          <w14:ligatures w14:val="standardContextual"/>
        </w:rPr>
        <w:t xml:space="preserve">  SC and </w:t>
      </w:r>
      <w:bookmarkStart w:id="148" w:name="_Hlk200328099"/>
      <w:proofErr w:type="spellStart"/>
      <w:r w:rsidRPr="00CF3DB4">
        <w:rPr>
          <w:rFonts w:eastAsia="Calibri"/>
          <w:kern w:val="2"/>
          <w:position w:val="0"/>
          <w14:ligatures w14:val="standardContextual"/>
        </w:rPr>
        <w:t>CoI</w:t>
      </w:r>
      <w:bookmarkEnd w:id="148"/>
      <w:proofErr w:type="spellEnd"/>
      <w:r w:rsidRPr="00CF3DB4">
        <w:rPr>
          <w:rFonts w:eastAsia="Calibri"/>
          <w:kern w:val="2"/>
          <w:position w:val="0"/>
          <w14:ligatures w14:val="standardContextual"/>
        </w:rPr>
        <w:t xml:space="preserve"> theories further elaborate the social dimensions and collaborative nature of learning. SC posits that knowledge </w:t>
      </w:r>
      <w:proofErr w:type="gramStart"/>
      <w:r w:rsidRPr="00CF3DB4">
        <w:rPr>
          <w:rFonts w:eastAsia="Calibri"/>
          <w:kern w:val="2"/>
          <w:position w:val="0"/>
          <w14:ligatures w14:val="standardContextual"/>
        </w:rPr>
        <w:t>is co-constructed</w:t>
      </w:r>
      <w:proofErr w:type="gramEnd"/>
      <w:r w:rsidRPr="00CF3DB4">
        <w:rPr>
          <w:rFonts w:eastAsia="Calibri"/>
          <w:kern w:val="2"/>
          <w:position w:val="0"/>
          <w14:ligatures w14:val="standardContextual"/>
        </w:rPr>
        <w:t xml:space="preserve"> through engagement with others and their environments (Fleury &amp; Garrison, 2014; </w:t>
      </w:r>
      <w:proofErr w:type="spellStart"/>
      <w:r w:rsidRPr="00CF3DB4">
        <w:rPr>
          <w:rFonts w:eastAsia="Calibri"/>
          <w:kern w:val="2"/>
          <w:position w:val="0"/>
          <w14:ligatures w14:val="standardContextual"/>
        </w:rPr>
        <w:t>Saleem</w:t>
      </w:r>
      <w:proofErr w:type="spellEnd"/>
      <w:r w:rsidRPr="00CF3DB4">
        <w:rPr>
          <w:rFonts w:eastAsia="Calibri"/>
          <w:kern w:val="2"/>
          <w:position w:val="0"/>
          <w14:ligatures w14:val="standardContextual"/>
        </w:rPr>
        <w:t xml:space="preserve"> et al., 2021). The concept of internalization involves the transformation of socially shared experiences into individual psychological tools and understandings (</w:t>
      </w:r>
      <w:proofErr w:type="spellStart"/>
      <w:r w:rsidRPr="00CF3DB4">
        <w:rPr>
          <w:rFonts w:eastAsia="Calibri"/>
          <w:kern w:val="2"/>
          <w:position w:val="0"/>
          <w14:ligatures w14:val="standardContextual"/>
        </w:rPr>
        <w:t>Leont’ev</w:t>
      </w:r>
      <w:proofErr w:type="spellEnd"/>
      <w:r w:rsidRPr="00CF3DB4">
        <w:rPr>
          <w:rFonts w:eastAsia="Calibri"/>
          <w:kern w:val="2"/>
          <w:position w:val="0"/>
          <w14:ligatures w14:val="standardContextual"/>
        </w:rPr>
        <w:t xml:space="preserve">, 1981; Vygotsky, 1978, 1986). </w:t>
      </w:r>
      <w:proofErr w:type="spellStart"/>
      <w:proofErr w:type="gramStart"/>
      <w:r w:rsidRPr="00CF3DB4">
        <w:rPr>
          <w:rFonts w:eastAsia="Calibri"/>
          <w:kern w:val="2"/>
          <w:position w:val="0"/>
          <w14:ligatures w14:val="standardContextual"/>
        </w:rPr>
        <w:t>CoI</w:t>
      </w:r>
      <w:proofErr w:type="spellEnd"/>
      <w:r w:rsidRPr="00CF3DB4">
        <w:rPr>
          <w:rFonts w:eastAsia="Calibri"/>
          <w:kern w:val="2"/>
          <w:position w:val="0"/>
          <w14:ligatures w14:val="standardContextual"/>
        </w:rPr>
        <w:t xml:space="preserve"> highlights three interconnected presences in online learning environment: social presence that is characterized by emotional and collaborative engagement</w:t>
      </w:r>
      <w:r w:rsidRPr="00CF3DB4">
        <w:rPr>
          <w:rFonts w:ascii="Calibri" w:eastAsia="Calibri" w:hAnsi="Calibri" w:cs="Arial"/>
          <w:kern w:val="2"/>
          <w:position w:val="0"/>
          <w14:ligatures w14:val="standardContextual"/>
        </w:rPr>
        <w:t xml:space="preserve"> </w:t>
      </w:r>
      <w:r w:rsidRPr="00CF3DB4">
        <w:rPr>
          <w:rFonts w:eastAsia="Calibri"/>
          <w:kern w:val="2"/>
          <w:position w:val="0"/>
          <w14:ligatures w14:val="standardContextual"/>
        </w:rPr>
        <w:t xml:space="preserve">(Garrison et al., 2000; </w:t>
      </w:r>
      <w:proofErr w:type="spellStart"/>
      <w:r w:rsidRPr="00CF3DB4">
        <w:rPr>
          <w:rFonts w:eastAsia="Calibri"/>
          <w:kern w:val="2"/>
          <w:position w:val="0"/>
          <w14:ligatures w14:val="standardContextual"/>
        </w:rPr>
        <w:t>Kreijns</w:t>
      </w:r>
      <w:proofErr w:type="spellEnd"/>
      <w:r w:rsidRPr="00CF3DB4">
        <w:rPr>
          <w:rFonts w:eastAsia="Calibri"/>
          <w:kern w:val="2"/>
          <w:position w:val="0"/>
          <w14:ligatures w14:val="standardContextual"/>
        </w:rPr>
        <w:t xml:space="preserve"> et al., 2022; </w:t>
      </w:r>
      <w:proofErr w:type="spellStart"/>
      <w:r w:rsidRPr="00CF3DB4">
        <w:rPr>
          <w:rFonts w:eastAsia="Calibri"/>
          <w:kern w:val="2"/>
          <w:position w:val="0"/>
          <w14:ligatures w14:val="standardContextual"/>
        </w:rPr>
        <w:t>Weidlich</w:t>
      </w:r>
      <w:proofErr w:type="spellEnd"/>
      <w:r w:rsidRPr="00CF3DB4">
        <w:rPr>
          <w:rFonts w:eastAsia="Calibri"/>
          <w:kern w:val="2"/>
          <w:position w:val="0"/>
          <w14:ligatures w14:val="standardContextual"/>
        </w:rPr>
        <w:t xml:space="preserve"> et al., 2022), cognitive presence which encompasses critical discourse and problem-solving (Garrison et al., 1999; </w:t>
      </w:r>
      <w:proofErr w:type="spellStart"/>
      <w:r w:rsidRPr="00CF3DB4">
        <w:rPr>
          <w:rFonts w:eastAsia="Calibri"/>
          <w:kern w:val="2"/>
          <w:position w:val="0"/>
          <w14:ligatures w14:val="standardContextual"/>
        </w:rPr>
        <w:t>Shea</w:t>
      </w:r>
      <w:proofErr w:type="spellEnd"/>
      <w:r w:rsidRPr="00CF3DB4">
        <w:rPr>
          <w:rFonts w:eastAsia="Calibri"/>
          <w:kern w:val="2"/>
          <w:position w:val="0"/>
          <w14:ligatures w14:val="standardContextual"/>
        </w:rPr>
        <w:t xml:space="preserve"> et al., 2022), and teaching presence  which is established by guidance and facilitation of the two aforementioned presences (Anderson et al., 2001; Garrison &amp; </w:t>
      </w:r>
      <w:proofErr w:type="spellStart"/>
      <w:r w:rsidRPr="00CF3DB4">
        <w:rPr>
          <w:rFonts w:eastAsia="Calibri"/>
          <w:kern w:val="2"/>
          <w:position w:val="0"/>
          <w14:ligatures w14:val="standardContextual"/>
        </w:rPr>
        <w:t>Arbaugh</w:t>
      </w:r>
      <w:proofErr w:type="spellEnd"/>
      <w:r w:rsidRPr="00CF3DB4">
        <w:rPr>
          <w:rFonts w:eastAsia="Calibri"/>
          <w:kern w:val="2"/>
          <w:position w:val="0"/>
          <w14:ligatures w14:val="standardContextual"/>
        </w:rPr>
        <w:t xml:space="preserve">, 2007; </w:t>
      </w:r>
      <w:proofErr w:type="spellStart"/>
      <w:r w:rsidRPr="00CF3DB4">
        <w:rPr>
          <w:rFonts w:eastAsia="Calibri"/>
          <w:kern w:val="2"/>
          <w:position w:val="0"/>
          <w14:ligatures w14:val="standardContextual"/>
        </w:rPr>
        <w:t>Sevnarayan</w:t>
      </w:r>
      <w:proofErr w:type="spellEnd"/>
      <w:r w:rsidRPr="00CF3DB4">
        <w:rPr>
          <w:rFonts w:eastAsia="Calibri"/>
          <w:kern w:val="2"/>
          <w:position w:val="0"/>
          <w14:ligatures w14:val="standardContextual"/>
        </w:rPr>
        <w:t xml:space="preserve"> &amp; Vaughan, 2024).</w:t>
      </w:r>
      <w:proofErr w:type="gramEnd"/>
    </w:p>
    <w:p w14:paraId="5316B23F" w14:textId="77777777" w:rsidR="005164C0" w:rsidRDefault="00CF3DB4" w:rsidP="005164C0">
      <w:pPr>
        <w:spacing w:after="160" w:line="480" w:lineRule="auto"/>
        <w:ind w:firstLine="567"/>
        <w:jc w:val="both"/>
        <w:rPr>
          <w:rFonts w:eastAsia="Calibri"/>
          <w:kern w:val="2"/>
          <w:position w:val="0"/>
          <w14:ligatures w14:val="standardContextual"/>
        </w:rPr>
      </w:pPr>
      <w:r w:rsidRPr="00CF3DB4">
        <w:rPr>
          <w:rFonts w:eastAsia="Calibri"/>
          <w:kern w:val="2"/>
          <w:position w:val="0"/>
          <w14:ligatures w14:val="standardContextual"/>
        </w:rPr>
        <w:t xml:space="preserve"> Finally, AT offers lens to understand the complex dynamics of meaningful learning, while TLT underscores deeper shifts in meaning-making (</w:t>
      </w:r>
      <w:proofErr w:type="spellStart"/>
      <w:r w:rsidRPr="00CF3DB4">
        <w:rPr>
          <w:rFonts w:eastAsia="Calibri"/>
          <w:kern w:val="2"/>
          <w:position w:val="0"/>
          <w14:ligatures w14:val="standardContextual"/>
        </w:rPr>
        <w:t>Verenikina</w:t>
      </w:r>
      <w:proofErr w:type="spellEnd"/>
      <w:r w:rsidRPr="00CF3DB4">
        <w:rPr>
          <w:rFonts w:eastAsia="Calibri"/>
          <w:kern w:val="2"/>
          <w:position w:val="0"/>
          <w14:ligatures w14:val="standardContextual"/>
        </w:rPr>
        <w:t xml:space="preserve">, 2001).  AT suggests that a human activity is mediated by tools and signs that involve subject, object, mediating elements (tools, rules, community, and division of </w:t>
      </w:r>
      <w:proofErr w:type="spellStart"/>
      <w:r w:rsidRPr="00CF3DB4">
        <w:rPr>
          <w:rFonts w:eastAsia="Calibri"/>
          <w:kern w:val="2"/>
          <w:position w:val="0"/>
          <w14:ligatures w14:val="standardContextual"/>
        </w:rPr>
        <w:t>labour</w:t>
      </w:r>
      <w:proofErr w:type="spellEnd"/>
      <w:r w:rsidRPr="00CF3DB4">
        <w:rPr>
          <w:rFonts w:eastAsia="Calibri"/>
          <w:kern w:val="2"/>
          <w:position w:val="0"/>
          <w14:ligatures w14:val="standardContextual"/>
        </w:rPr>
        <w:t>), and outcome (</w:t>
      </w:r>
      <w:proofErr w:type="spellStart"/>
      <w:r w:rsidRPr="00CF3DB4">
        <w:rPr>
          <w:rFonts w:eastAsia="Calibri"/>
          <w:kern w:val="2"/>
          <w:position w:val="0"/>
          <w14:ligatures w14:val="standardContextual"/>
        </w:rPr>
        <w:t>Engeström</w:t>
      </w:r>
      <w:proofErr w:type="spellEnd"/>
      <w:r w:rsidRPr="00CF3DB4">
        <w:rPr>
          <w:rFonts w:eastAsia="Calibri"/>
          <w:kern w:val="2"/>
          <w:position w:val="0"/>
          <w14:ligatures w14:val="standardContextual"/>
        </w:rPr>
        <w:t xml:space="preserve">, 1987, 1993, 2012; </w:t>
      </w:r>
      <w:proofErr w:type="spellStart"/>
      <w:r w:rsidRPr="00CF3DB4">
        <w:rPr>
          <w:rFonts w:eastAsia="Calibri"/>
          <w:kern w:val="2"/>
          <w:position w:val="0"/>
          <w14:ligatures w14:val="standardContextual"/>
        </w:rPr>
        <w:t>Gurmesa</w:t>
      </w:r>
      <w:proofErr w:type="spellEnd"/>
      <w:r w:rsidRPr="00CF3DB4">
        <w:rPr>
          <w:rFonts w:eastAsia="Calibri"/>
          <w:kern w:val="2"/>
          <w:position w:val="0"/>
          <w14:ligatures w14:val="standardContextual"/>
        </w:rPr>
        <w:t xml:space="preserve"> et al., 2022). For instance, this framework offers insights into how EFL teachers, as subjects, collectively engage in assessment practices (the object), utilize various tools – and guided by community rules and divisions of </w:t>
      </w:r>
      <w:proofErr w:type="spellStart"/>
      <w:r w:rsidRPr="00CF3DB4">
        <w:rPr>
          <w:rFonts w:eastAsia="Calibri"/>
          <w:kern w:val="2"/>
          <w:position w:val="0"/>
          <w14:ligatures w14:val="standardContextual"/>
        </w:rPr>
        <w:t>labour</w:t>
      </w:r>
      <w:proofErr w:type="spellEnd"/>
      <w:r w:rsidRPr="00CF3DB4">
        <w:rPr>
          <w:rFonts w:eastAsia="Calibri"/>
          <w:kern w:val="2"/>
          <w:position w:val="0"/>
          <w14:ligatures w14:val="standardContextual"/>
        </w:rPr>
        <w:t xml:space="preserve"> – achieve improved student comprehension (Mwanza, 2001). TLT sheds light on disorienting dilemmas – such as recognizing flaws in exams design – trigger critical reflection that shifts one’s own perspectives (</w:t>
      </w:r>
      <w:proofErr w:type="spellStart"/>
      <w:r w:rsidRPr="00CF3DB4">
        <w:rPr>
          <w:rFonts w:eastAsia="Calibri"/>
          <w:kern w:val="2"/>
          <w:position w:val="0"/>
          <w14:ligatures w14:val="standardContextual"/>
        </w:rPr>
        <w:t>Mezirow</w:t>
      </w:r>
      <w:proofErr w:type="spellEnd"/>
      <w:r w:rsidRPr="00CF3DB4">
        <w:rPr>
          <w:rFonts w:eastAsia="Calibri"/>
          <w:kern w:val="2"/>
          <w:position w:val="0"/>
          <w14:ligatures w14:val="standardContextual"/>
        </w:rPr>
        <w:t xml:space="preserve">, 1991; Smith &amp; </w:t>
      </w:r>
      <w:proofErr w:type="spellStart"/>
      <w:r w:rsidRPr="00CF3DB4">
        <w:rPr>
          <w:rFonts w:eastAsia="Calibri"/>
          <w:kern w:val="2"/>
          <w:position w:val="0"/>
          <w14:ligatures w14:val="standardContextual"/>
        </w:rPr>
        <w:t>Holtzhausen</w:t>
      </w:r>
      <w:proofErr w:type="spellEnd"/>
      <w:r w:rsidRPr="00CF3DB4">
        <w:rPr>
          <w:rFonts w:eastAsia="Calibri"/>
          <w:kern w:val="2"/>
          <w:position w:val="0"/>
          <w14:ligatures w14:val="standardContextual"/>
        </w:rPr>
        <w:t xml:space="preserve">, 2024). </w:t>
      </w:r>
    </w:p>
    <w:p w14:paraId="67BE4B41" w14:textId="2CD3C419" w:rsidR="00CF3DB4" w:rsidRDefault="00CF3DB4" w:rsidP="005164C0">
      <w:pPr>
        <w:spacing w:after="160" w:line="480" w:lineRule="auto"/>
        <w:ind w:firstLine="567"/>
        <w:jc w:val="both"/>
        <w:rPr>
          <w:rFonts w:eastAsia="Calibri"/>
          <w:kern w:val="2"/>
          <w:position w:val="0"/>
          <w14:ligatures w14:val="standardContextual"/>
        </w:rPr>
      </w:pPr>
      <w:r w:rsidRPr="00CF3DB4">
        <w:rPr>
          <w:rFonts w:eastAsia="Calibri"/>
          <w:kern w:val="2"/>
          <w:position w:val="0"/>
          <w14:ligatures w14:val="standardContextual"/>
        </w:rPr>
        <w:lastRenderedPageBreak/>
        <w:t>In general, these theoretical frameworks provide core principles that elucidates the pivotal role of OTCs in enhancing EFL teacher’s summative assessment literacy. In addition, OTCs bridge the gap between theory and practice by fostering collaboration, contextual learning, and critical reflection.</w:t>
      </w:r>
    </w:p>
    <w:p w14:paraId="46D26999" w14:textId="0B1F2A52" w:rsidR="000E5747" w:rsidRPr="004E1C3B" w:rsidRDefault="004E1C3B" w:rsidP="004E1C3B">
      <w:pPr>
        <w:keepNext/>
        <w:keepLines/>
        <w:spacing w:before="360" w:after="80" w:line="278" w:lineRule="auto"/>
        <w:ind w:hanging="2"/>
        <w:rPr>
          <w:rFonts w:asciiTheme="majorBidi" w:hAnsiTheme="majorBidi" w:cstheme="majorBidi"/>
          <w:color w:val="000000"/>
          <w:kern w:val="2"/>
          <w:position w:val="0"/>
          <w:szCs w:val="48"/>
          <w14:ligatures w14:val="standardContextual"/>
        </w:rPr>
      </w:pPr>
      <w:bookmarkStart w:id="149" w:name="_Toc200486059"/>
      <w:r>
        <w:rPr>
          <w:rFonts w:asciiTheme="majorBidi" w:hAnsiTheme="majorBidi" w:cstheme="majorBidi"/>
          <w:b/>
          <w:color w:val="000000"/>
          <w:kern w:val="2"/>
          <w:position w:val="0"/>
          <w:szCs w:val="48"/>
          <w14:ligatures w14:val="standardContextual"/>
        </w:rPr>
        <w:t xml:space="preserve">IV. </w:t>
      </w:r>
      <w:r w:rsidR="00CA69B7" w:rsidRPr="004E1C3B">
        <w:rPr>
          <w:rFonts w:asciiTheme="majorBidi" w:hAnsiTheme="majorBidi" w:cstheme="majorBidi"/>
          <w:b/>
          <w:color w:val="000000"/>
          <w:kern w:val="2"/>
          <w:position w:val="0"/>
          <w:szCs w:val="48"/>
          <w14:ligatures w14:val="standardContextual"/>
        </w:rPr>
        <w:t xml:space="preserve">The Role of Online Teacher Communities in Developing </w:t>
      </w:r>
      <w:r w:rsidR="00993431" w:rsidRPr="004E1C3B">
        <w:rPr>
          <w:rFonts w:asciiTheme="majorBidi" w:hAnsiTheme="majorBidi" w:cstheme="majorBidi"/>
          <w:b/>
          <w:color w:val="000000"/>
          <w:kern w:val="2"/>
          <w:position w:val="0"/>
          <w:szCs w:val="48"/>
          <w14:ligatures w14:val="standardContextual"/>
        </w:rPr>
        <w:t>Teachers Assessment Literacy</w:t>
      </w:r>
      <w:bookmarkEnd w:id="149"/>
      <w:r w:rsidR="00CA69B7" w:rsidRPr="004E1C3B">
        <w:rPr>
          <w:rFonts w:asciiTheme="majorBidi" w:hAnsiTheme="majorBidi" w:cstheme="majorBidi"/>
          <w:b/>
          <w:color w:val="000000"/>
          <w:kern w:val="2"/>
          <w:position w:val="0"/>
          <w:szCs w:val="48"/>
          <w14:ligatures w14:val="standardContextual"/>
        </w:rPr>
        <w:t xml:space="preserve"> </w:t>
      </w:r>
      <w:bookmarkStart w:id="150" w:name="_Hlk200364441"/>
      <w:r w:rsidR="000E5747" w:rsidRPr="004E1C3B">
        <w:rPr>
          <w:rFonts w:asciiTheme="majorBidi" w:hAnsiTheme="majorBidi" w:cstheme="majorBidi"/>
          <w:b/>
          <w:color w:val="000000"/>
          <w:kern w:val="2"/>
          <w:position w:val="0"/>
          <w:szCs w:val="48"/>
          <w14:ligatures w14:val="standardContextual"/>
        </w:rPr>
        <w:t xml:space="preserve"> </w:t>
      </w:r>
    </w:p>
    <w:bookmarkEnd w:id="150"/>
    <w:p w14:paraId="5FF20D0E" w14:textId="77777777" w:rsidR="0062441D" w:rsidRDefault="000E5747" w:rsidP="0062441D">
      <w:pPr>
        <w:spacing w:after="100" w:afterAutospacing="1" w:line="480" w:lineRule="auto"/>
        <w:ind w:firstLine="567"/>
        <w:jc w:val="both"/>
        <w:rPr>
          <w:position w:val="0"/>
        </w:rPr>
      </w:pPr>
      <w:r w:rsidRPr="000E5747">
        <w:rPr>
          <w:position w:val="0"/>
        </w:rPr>
        <w:t xml:space="preserve">Prior research has extensively explored the role of online teacher communities in various aspects of professional development and empowerment, laying a foundation for understanding their potential impact on teachers' instructional practices, including curriculum development, pedagogical innovation, and the sharing of best practices. However, the specific mechanisms and impact of these communities on the skill of critically evaluating summative assessment literacy represent a less explored dimension, particularly within specific educational contexts. Thus, this study aims to address this gap through a qualitative exploration of teachers’ interactions and reflections within </w:t>
      </w:r>
      <w:r w:rsidR="00751B56">
        <w:rPr>
          <w:position w:val="0"/>
        </w:rPr>
        <w:t>OTCs</w:t>
      </w:r>
      <w:r w:rsidRPr="000E5747">
        <w:rPr>
          <w:position w:val="0"/>
        </w:rPr>
        <w:t xml:space="preserve"> focused on</w:t>
      </w:r>
      <w:r w:rsidR="00751B56">
        <w:rPr>
          <w:position w:val="0"/>
        </w:rPr>
        <w:t xml:space="preserve"> SA</w:t>
      </w:r>
      <w:r w:rsidRPr="000E5747">
        <w:rPr>
          <w:position w:val="0"/>
        </w:rPr>
        <w:t xml:space="preserve">. </w:t>
      </w:r>
    </w:p>
    <w:p w14:paraId="2E8065DA" w14:textId="77777777" w:rsidR="0062441D" w:rsidRDefault="000E5747" w:rsidP="0062441D">
      <w:pPr>
        <w:spacing w:after="100" w:afterAutospacing="1" w:line="480" w:lineRule="auto"/>
        <w:ind w:firstLine="567"/>
        <w:jc w:val="both"/>
        <w:rPr>
          <w:position w:val="0"/>
        </w:rPr>
      </w:pPr>
      <w:r w:rsidRPr="000E5747">
        <w:rPr>
          <w:position w:val="0"/>
        </w:rPr>
        <w:t xml:space="preserve">A review of recent literature (Abdallah &amp; </w:t>
      </w:r>
      <w:proofErr w:type="spellStart"/>
      <w:r w:rsidRPr="000E5747">
        <w:rPr>
          <w:position w:val="0"/>
        </w:rPr>
        <w:t>Waer</w:t>
      </w:r>
      <w:proofErr w:type="spellEnd"/>
      <w:r w:rsidRPr="000E5747">
        <w:rPr>
          <w:position w:val="0"/>
        </w:rPr>
        <w:t>, 2024) provides a comprehensive overview of the evolving landscape of CPD for in-service English language teachers, with a particular emphasis on the transformative role of technology, notably social media platforms. The review highlights how technology expands access to both formal and informal learning opportunities, fostering collaborative virtual communities where teachers engage in knowledge exchange, problem-solving, and social support. Moreover, these online interactions, facilitated by emerging technologies, encourage reflection and peer challenge, ultimately enhancing professional practices and establishing the value of informal online practices and social media in augmenting teacher development.</w:t>
      </w:r>
    </w:p>
    <w:p w14:paraId="617732DC" w14:textId="77777777" w:rsidR="00D05DE8" w:rsidRDefault="000E5747" w:rsidP="00D05DE8">
      <w:pPr>
        <w:spacing w:after="100" w:afterAutospacing="1" w:line="480" w:lineRule="auto"/>
        <w:ind w:firstLine="567"/>
        <w:jc w:val="both"/>
        <w:rPr>
          <w:position w:val="0"/>
        </w:rPr>
      </w:pPr>
      <w:r w:rsidRPr="000E5747">
        <w:rPr>
          <w:position w:val="0"/>
        </w:rPr>
        <w:lastRenderedPageBreak/>
        <w:t>Focusing on the Algerian context</w:t>
      </w:r>
      <w:r w:rsidRPr="000E5747">
        <w:rPr>
          <w:b/>
          <w:bCs/>
          <w:position w:val="0"/>
        </w:rPr>
        <w:t>,</w:t>
      </w:r>
      <w:r w:rsidRPr="000E5747">
        <w:rPr>
          <w:position w:val="0"/>
        </w:rPr>
        <w:t xml:space="preserve"> the study “Facebook as an Online Self-Directed Professional Learning Platform: EFL Middle Level Education in Algeria” </w:t>
      </w:r>
      <w:r w:rsidR="008C56AB">
        <w:rPr>
          <w:position w:val="0"/>
        </w:rPr>
        <w:t>emphasize</w:t>
      </w:r>
      <w:r w:rsidRPr="000E5747">
        <w:rPr>
          <w:position w:val="0"/>
        </w:rPr>
        <w:t xml:space="preserve">s the significant role of informal digital platforms, notably Facebook, in facilitating self-directed professional learning among Algerian EFL teachers beyond traditional settings. </w:t>
      </w:r>
      <w:proofErr w:type="gramStart"/>
      <w:r w:rsidRPr="000E5747">
        <w:rPr>
          <w:position w:val="0"/>
        </w:rPr>
        <w:t>By identifying Facebook as their primary professional networking tool, the research highlights its capacity to foster supportive communities for knowledge and resource exchange, thereby promoting essential collegiality and the reported positive experiences within these online communities affirm their effectiveness for ongoing professional development, suggesting the value for policymakers in integrating such accessible platforms into formal programs to enhance teacher learning opportunities within the specific Algerian EFL context (</w:t>
      </w:r>
      <w:proofErr w:type="spellStart"/>
      <w:r w:rsidRPr="000E5747">
        <w:rPr>
          <w:position w:val="0"/>
        </w:rPr>
        <w:t>Bettahar</w:t>
      </w:r>
      <w:proofErr w:type="spellEnd"/>
      <w:r w:rsidRPr="000E5747">
        <w:rPr>
          <w:position w:val="0"/>
        </w:rPr>
        <w:t xml:space="preserve"> &amp; </w:t>
      </w:r>
      <w:proofErr w:type="spellStart"/>
      <w:r w:rsidRPr="000E5747">
        <w:rPr>
          <w:position w:val="0"/>
        </w:rPr>
        <w:t>Zourgui</w:t>
      </w:r>
      <w:proofErr w:type="spellEnd"/>
      <w:r w:rsidRPr="000E5747">
        <w:rPr>
          <w:position w:val="0"/>
        </w:rPr>
        <w:t>, 2024).</w:t>
      </w:r>
      <w:proofErr w:type="gramEnd"/>
    </w:p>
    <w:p w14:paraId="751E97C0" w14:textId="59F3D99F" w:rsidR="00D05DE8" w:rsidRDefault="000E5747" w:rsidP="00D05DE8">
      <w:pPr>
        <w:spacing w:after="100" w:afterAutospacing="1" w:line="480" w:lineRule="auto"/>
        <w:ind w:firstLine="567"/>
        <w:jc w:val="both"/>
        <w:rPr>
          <w:position w:val="0"/>
        </w:rPr>
      </w:pPr>
      <w:r w:rsidRPr="000E5747">
        <w:rPr>
          <w:position w:val="0"/>
        </w:rPr>
        <w:t xml:space="preserve"> Building on the understanding of social media's role in education</w:t>
      </w:r>
      <w:r w:rsidRPr="000E5747">
        <w:rPr>
          <w:b/>
          <w:bCs/>
          <w:position w:val="0"/>
        </w:rPr>
        <w:t>,</w:t>
      </w:r>
      <w:r w:rsidRPr="000E5747">
        <w:rPr>
          <w:position w:val="0"/>
        </w:rPr>
        <w:t xml:space="preserve"> Alonzo et al. (2023), “Using social media for assessment purposes: Practices and future directions” provide a comprehensive analysis of social media's role in educational assessment, outlining its current uses in task dissemination, feedback, and peer evaluation, while also identifying key challenges such as trustworthiness, platform limitations, and time demands. Furthermore, it highlights emerging issues like workload, inappropriate use, and feedback literacy. Ultimately, the paper calls for further theoretical research to develop effective strategies for integrating social media into educational assessment practices, collectively advancing the understanding of this evolving field.</w:t>
      </w:r>
    </w:p>
    <w:p w14:paraId="59A7DB9E" w14:textId="761AB712" w:rsidR="00305341" w:rsidRDefault="00BB78E1" w:rsidP="00305341">
      <w:pPr>
        <w:spacing w:after="100" w:afterAutospacing="1" w:line="480" w:lineRule="auto"/>
        <w:ind w:firstLine="567"/>
        <w:jc w:val="both"/>
        <w:rPr>
          <w:position w:val="0"/>
        </w:rPr>
      </w:pPr>
      <w:r w:rsidRPr="000E5747">
        <w:rPr>
          <w:position w:val="0"/>
        </w:rPr>
        <w:t xml:space="preserve">Furthermore, </w:t>
      </w:r>
      <w:proofErr w:type="spellStart"/>
      <w:r w:rsidRPr="000E5747">
        <w:rPr>
          <w:position w:val="0"/>
        </w:rPr>
        <w:t>Behiry</w:t>
      </w:r>
      <w:proofErr w:type="spellEnd"/>
      <w:r w:rsidR="000E5747" w:rsidRPr="000E5747">
        <w:rPr>
          <w:position w:val="0"/>
        </w:rPr>
        <w:t xml:space="preserve"> et al,</w:t>
      </w:r>
      <w:r w:rsidR="001612DF" w:rsidRPr="001612DF">
        <w:rPr>
          <w:position w:val="0"/>
        </w:rPr>
        <w:t xml:space="preserve"> </w:t>
      </w:r>
      <w:r w:rsidR="001612DF" w:rsidRPr="000E5747">
        <w:rPr>
          <w:position w:val="0"/>
        </w:rPr>
        <w:t>(</w:t>
      </w:r>
      <w:r w:rsidR="000E5747" w:rsidRPr="000E5747">
        <w:rPr>
          <w:position w:val="0"/>
        </w:rPr>
        <w:t>2025)</w:t>
      </w:r>
      <w:r w:rsidR="00D33D08">
        <w:rPr>
          <w:position w:val="0"/>
        </w:rPr>
        <w:t xml:space="preserve"> research article entitled</w:t>
      </w:r>
      <w:r w:rsidR="000E5747" w:rsidRPr="000E5747">
        <w:rPr>
          <w:position w:val="0"/>
        </w:rPr>
        <w:t xml:space="preserve"> “A Program Based on Online Professional Learning Communities to Develop Cognitive Authentic Assessment Skills of EFL Teachers” notably contributes to the field of English as a Foreign Language (EFL) teacher education. The study demonstrates a significant improvement in EFL teachers' cognitive abilities related to creating, implementing, and evaluating authentic assessments through </w:t>
      </w:r>
      <w:r w:rsidR="000E5747" w:rsidRPr="000E5747">
        <w:rPr>
          <w:position w:val="0"/>
        </w:rPr>
        <w:lastRenderedPageBreak/>
        <w:t xml:space="preserve">participation in an Online Professional Learning Community (OPLC) program. Moreover, the paper </w:t>
      </w:r>
      <w:r w:rsidR="00D05DE8">
        <w:rPr>
          <w:position w:val="0"/>
        </w:rPr>
        <w:t>accentuate</w:t>
      </w:r>
      <w:r w:rsidR="000E5747" w:rsidRPr="000E5747">
        <w:rPr>
          <w:position w:val="0"/>
        </w:rPr>
        <w:t xml:space="preserve">s the importance of addressing technical barriers to ensure equitable access to OPLC-based professional growth opportunities for all educators. Finally, this work </w:t>
      </w:r>
      <w:r w:rsidR="00043179">
        <w:rPr>
          <w:position w:val="0"/>
        </w:rPr>
        <w:t>demonstrat</w:t>
      </w:r>
      <w:r w:rsidR="000E5747" w:rsidRPr="000E5747">
        <w:rPr>
          <w:position w:val="0"/>
        </w:rPr>
        <w:t>es the potential of OPLCs in enhancing EFL teachers' assessment competencies and suggests directions for future research to optimize online professional learning practices.</w:t>
      </w:r>
    </w:p>
    <w:p w14:paraId="61E93221" w14:textId="20F3932E" w:rsidR="00305341" w:rsidRDefault="001612DF" w:rsidP="00305341">
      <w:pPr>
        <w:spacing w:after="100" w:afterAutospacing="1" w:line="480" w:lineRule="auto"/>
        <w:ind w:firstLine="567"/>
        <w:jc w:val="both"/>
        <w:rPr>
          <w:position w:val="0"/>
        </w:rPr>
      </w:pPr>
      <w:r w:rsidRPr="000E5747">
        <w:rPr>
          <w:position w:val="0"/>
        </w:rPr>
        <w:t xml:space="preserve">Finally, </w:t>
      </w:r>
      <w:proofErr w:type="spellStart"/>
      <w:r w:rsidRPr="000E5747">
        <w:rPr>
          <w:position w:val="0"/>
        </w:rPr>
        <w:t>Yildrim</w:t>
      </w:r>
      <w:proofErr w:type="spellEnd"/>
      <w:r w:rsidR="000E5747" w:rsidRPr="000E5747">
        <w:rPr>
          <w:position w:val="0"/>
        </w:rPr>
        <w:t xml:space="preserve"> et al. (2024), “Developing summative assessment literacy: Novice language teachers’ perceptions in Sweden and Finland”</w:t>
      </w:r>
      <w:r w:rsidR="00806CED">
        <w:rPr>
          <w:position w:val="0"/>
        </w:rPr>
        <w:t>,</w:t>
      </w:r>
      <w:r w:rsidR="000E5747" w:rsidRPr="000E5747">
        <w:rPr>
          <w:position w:val="0"/>
        </w:rPr>
        <w:t xml:space="preserve"> contribute to the understanding of assessment literacy development by examining novice language teachers’ self-perceptions in these countries. The research reveals a gap between their theoretical understanding gained in teacher education and their perceived need for more practical assessment skills developed through hands-on exercises and school experience. To address this gap, </w:t>
      </w:r>
      <w:proofErr w:type="spellStart"/>
      <w:r w:rsidR="000E5747" w:rsidRPr="000E5747">
        <w:rPr>
          <w:position w:val="0"/>
        </w:rPr>
        <w:t>Yildrim</w:t>
      </w:r>
      <w:proofErr w:type="spellEnd"/>
      <w:r w:rsidR="000E5747" w:rsidRPr="000E5747">
        <w:rPr>
          <w:position w:val="0"/>
        </w:rPr>
        <w:t xml:space="preserve"> et al. (2024) suggest a need for teacher education programs to prioritize practical application and peer feedback, offering implications for policy and practice in teacher preparation.</w:t>
      </w:r>
    </w:p>
    <w:p w14:paraId="6B9A0202" w14:textId="35B5B686" w:rsidR="000E5747" w:rsidRDefault="000E5747" w:rsidP="00305341">
      <w:pPr>
        <w:spacing w:after="100" w:afterAutospacing="1" w:line="480" w:lineRule="auto"/>
        <w:ind w:firstLine="567"/>
        <w:jc w:val="both"/>
        <w:rPr>
          <w:rFonts w:eastAsia="Calibri"/>
          <w:kern w:val="2"/>
          <w:position w:val="0"/>
          <w14:ligatures w14:val="standardContextual"/>
        </w:rPr>
      </w:pPr>
      <w:r w:rsidRPr="000E5747">
        <w:rPr>
          <w:rFonts w:ascii="Calibri" w:eastAsia="Calibri" w:hAnsi="Calibri" w:cs="Arial"/>
          <w:kern w:val="2"/>
          <w:position w:val="0"/>
          <w:sz w:val="22"/>
          <w:szCs w:val="22"/>
          <w14:ligatures w14:val="standardContextual"/>
        </w:rPr>
        <w:t xml:space="preserve"> </w:t>
      </w:r>
      <w:r w:rsidRPr="000E5747">
        <w:rPr>
          <w:rFonts w:eastAsia="Calibri"/>
          <w:kern w:val="2"/>
          <w:position w:val="0"/>
          <w14:ligatures w14:val="standardContextual"/>
        </w:rPr>
        <w:t xml:space="preserve">Integrating the insights from these diverse studies </w:t>
      </w:r>
      <w:r w:rsidR="0065751C">
        <w:rPr>
          <w:rFonts w:eastAsia="Calibri"/>
          <w:kern w:val="2"/>
          <w:position w:val="0"/>
          <w14:ligatures w14:val="standardContextual"/>
        </w:rPr>
        <w:t>stress</w:t>
      </w:r>
      <w:r w:rsidRPr="000E5747">
        <w:rPr>
          <w:rFonts w:eastAsia="Calibri"/>
          <w:kern w:val="2"/>
          <w:position w:val="0"/>
          <w14:ligatures w14:val="standardContextual"/>
        </w:rPr>
        <w:t xml:space="preserve">es the </w:t>
      </w:r>
      <w:r w:rsidR="0065751C">
        <w:rPr>
          <w:rFonts w:eastAsia="Calibri"/>
          <w:kern w:val="2"/>
          <w:position w:val="0"/>
          <w14:ligatures w14:val="standardContextual"/>
        </w:rPr>
        <w:t>eclectic</w:t>
      </w:r>
      <w:r w:rsidRPr="000E5747">
        <w:rPr>
          <w:rFonts w:eastAsia="Calibri"/>
          <w:kern w:val="2"/>
          <w:position w:val="0"/>
          <w14:ligatures w14:val="standardContextual"/>
        </w:rPr>
        <w:t xml:space="preserve"> dimensions of online platforms and communities in supporting teacher professional development, particularly in areas like assessment literacy and pedagogical innovation, offering valuable directions for future research and the design of effective online learning environments particularly in Algerian EFL education. </w:t>
      </w:r>
    </w:p>
    <w:p w14:paraId="786D7163" w14:textId="77777777" w:rsidR="00113048" w:rsidRDefault="00113048" w:rsidP="00305341">
      <w:pPr>
        <w:spacing w:after="100" w:afterAutospacing="1" w:line="480" w:lineRule="auto"/>
        <w:ind w:firstLine="567"/>
        <w:jc w:val="both"/>
        <w:rPr>
          <w:rFonts w:eastAsia="Calibri"/>
          <w:kern w:val="2"/>
          <w:position w:val="0"/>
          <w14:ligatures w14:val="standardContextual"/>
        </w:rPr>
      </w:pPr>
    </w:p>
    <w:p w14:paraId="3C777B2A" w14:textId="77777777" w:rsidR="00113048" w:rsidRPr="00305341" w:rsidRDefault="00113048" w:rsidP="00305341">
      <w:pPr>
        <w:spacing w:after="100" w:afterAutospacing="1" w:line="480" w:lineRule="auto"/>
        <w:ind w:firstLine="567"/>
        <w:jc w:val="both"/>
        <w:rPr>
          <w:position w:val="0"/>
        </w:rPr>
      </w:pPr>
    </w:p>
    <w:p w14:paraId="50DD346A" w14:textId="77777777" w:rsidR="000E5747" w:rsidRPr="00CF3DB4" w:rsidRDefault="000E5747" w:rsidP="00017E34">
      <w:pPr>
        <w:spacing w:after="160" w:line="480" w:lineRule="auto"/>
        <w:jc w:val="both"/>
        <w:rPr>
          <w:rFonts w:eastAsia="Calibri"/>
          <w:kern w:val="2"/>
          <w:position w:val="0"/>
          <w14:ligatures w14:val="standardContextual"/>
        </w:rPr>
      </w:pPr>
    </w:p>
    <w:p w14:paraId="0A59EB70" w14:textId="62CD4ABC" w:rsidR="00CF3DB4" w:rsidRPr="00CF3DB4" w:rsidRDefault="00CF3DB4" w:rsidP="00AA5DBF">
      <w:pPr>
        <w:pStyle w:val="Titre1"/>
        <w:rPr>
          <w:rFonts w:eastAsia="Calibri"/>
        </w:rPr>
      </w:pPr>
      <w:bookmarkStart w:id="151" w:name="_Toc200486060"/>
      <w:r w:rsidRPr="00CF3DB4">
        <w:rPr>
          <w:rFonts w:eastAsia="Calibri"/>
        </w:rPr>
        <w:lastRenderedPageBreak/>
        <w:t>Conclusion</w:t>
      </w:r>
      <w:bookmarkEnd w:id="151"/>
    </w:p>
    <w:p w14:paraId="36A9CD9A" w14:textId="596B2C48" w:rsidR="00CF3DB4" w:rsidRPr="00CF3DB4" w:rsidRDefault="00CF3DB4" w:rsidP="008D4022">
      <w:pPr>
        <w:spacing w:after="160" w:line="480" w:lineRule="auto"/>
        <w:ind w:firstLine="567"/>
        <w:jc w:val="both"/>
        <w:rPr>
          <w:rFonts w:eastAsia="Calibri"/>
          <w:kern w:val="2"/>
          <w:position w:val="0"/>
          <w14:ligatures w14:val="standardContextual"/>
        </w:rPr>
      </w:pPr>
      <w:r w:rsidRPr="00CF3DB4">
        <w:rPr>
          <w:rFonts w:eastAsia="Calibri"/>
          <w:kern w:val="2"/>
          <w:position w:val="0"/>
          <w14:ligatures w14:val="standardContextual"/>
        </w:rPr>
        <w:t xml:space="preserve">This chapter initially explored broad conceptualizations related to assessment. As the </w:t>
      </w:r>
      <w:proofErr w:type="gramStart"/>
      <w:r w:rsidRPr="00CF3DB4">
        <w:rPr>
          <w:rFonts w:eastAsia="Calibri"/>
          <w:kern w:val="2"/>
          <w:position w:val="0"/>
          <w14:ligatures w14:val="standardContextual"/>
        </w:rPr>
        <w:t>discussion</w:t>
      </w:r>
      <w:proofErr w:type="gramEnd"/>
      <w:r w:rsidRPr="00CF3DB4">
        <w:rPr>
          <w:rFonts w:eastAsia="Calibri"/>
          <w:kern w:val="2"/>
          <w:position w:val="0"/>
          <w14:ligatures w14:val="standardContextual"/>
        </w:rPr>
        <w:t xml:space="preserve"> progressed, particular emphasis was placed on purposes of assessment, core concepts and key aspects of summative assessment literacy. Addressing teacher’s content knowledge and skills requires a comprehensive understanding of teacher professional development. Additionally, factors such as collaboration, constructive feedback and peer mentoring </w:t>
      </w:r>
      <w:proofErr w:type="gramStart"/>
      <w:r w:rsidRPr="00CF3DB4">
        <w:rPr>
          <w:rFonts w:eastAsia="Calibri"/>
          <w:kern w:val="2"/>
          <w:position w:val="0"/>
          <w14:ligatures w14:val="standardContextual"/>
        </w:rPr>
        <w:t>were critically and thoroughly analyzed</w:t>
      </w:r>
      <w:proofErr w:type="gramEnd"/>
      <w:r w:rsidRPr="00CF3DB4">
        <w:rPr>
          <w:rFonts w:eastAsia="Calibri"/>
          <w:kern w:val="2"/>
          <w:position w:val="0"/>
          <w14:ligatures w14:val="standardContextual"/>
        </w:rPr>
        <w:t xml:space="preserve">, emphasizing their significant contribution to teacher’s reflective, analytical and transformative professional competencies.  Further, the key selected theories, frameworks and models discussed collectively </w:t>
      </w:r>
      <w:r w:rsidR="00E50B3E">
        <w:rPr>
          <w:rFonts w:eastAsia="Calibri"/>
          <w:kern w:val="2"/>
          <w:position w:val="0"/>
          <w14:ligatures w14:val="standardContextual"/>
        </w:rPr>
        <w:t>stress</w:t>
      </w:r>
      <w:r w:rsidRPr="00CF3DB4">
        <w:rPr>
          <w:rFonts w:eastAsia="Calibri"/>
          <w:kern w:val="2"/>
          <w:position w:val="0"/>
          <w14:ligatures w14:val="standardContextual"/>
        </w:rPr>
        <w:t xml:space="preserve"> the importance of collaboration for teacher continuing education. They offer valuable perspectives for comprehending and interpreting Online Teacher Communities, virtual interactive educational networks that foster educators’ growth. Investigating existing literature functioned as a theoretical background for summative assessment literacy significance for effective teaching practices highlighting the potential role of OTCs to support ongoing learning through collaborative platforms. These theoretical insights inform research tools selection and findings interpretation </w:t>
      </w:r>
      <w:proofErr w:type="gramStart"/>
      <w:r w:rsidRPr="00CF3DB4">
        <w:rPr>
          <w:rFonts w:eastAsia="Calibri"/>
          <w:kern w:val="2"/>
          <w:position w:val="0"/>
          <w14:ligatures w14:val="standardContextual"/>
        </w:rPr>
        <w:t>to comprehensively decipher</w:t>
      </w:r>
      <w:proofErr w:type="gramEnd"/>
      <w:r w:rsidRPr="00CF3DB4">
        <w:rPr>
          <w:rFonts w:eastAsia="Calibri"/>
          <w:kern w:val="2"/>
          <w:position w:val="0"/>
          <w14:ligatures w14:val="standardContextual"/>
        </w:rPr>
        <w:t xml:space="preserve"> how these digital learning environments aid teachers in evaluating and reflecting on their learners’ outcomes to tailor classroom practices. The frameworks </w:t>
      </w:r>
      <w:proofErr w:type="gramStart"/>
      <w:r w:rsidRPr="00CF3DB4">
        <w:rPr>
          <w:rFonts w:eastAsia="Calibri"/>
          <w:kern w:val="2"/>
          <w:position w:val="0"/>
          <w14:ligatures w14:val="standardContextual"/>
        </w:rPr>
        <w:t>will be demonstrated</w:t>
      </w:r>
      <w:proofErr w:type="gramEnd"/>
      <w:r w:rsidRPr="00CF3DB4">
        <w:rPr>
          <w:rFonts w:eastAsia="Calibri"/>
          <w:kern w:val="2"/>
          <w:position w:val="0"/>
          <w14:ligatures w14:val="standardContextual"/>
        </w:rPr>
        <w:t xml:space="preserve"> in the next chapter manifesting consistency between literature-based foundations and research methodology opted for.  </w:t>
      </w:r>
    </w:p>
    <w:p w14:paraId="117073CC" w14:textId="77777777" w:rsidR="00D50069" w:rsidRPr="00D50069" w:rsidRDefault="00D50069" w:rsidP="00D50069">
      <w:pPr>
        <w:spacing w:after="160" w:line="360" w:lineRule="auto"/>
        <w:jc w:val="both"/>
        <w:rPr>
          <w:rFonts w:eastAsia="Calibri"/>
          <w:b/>
          <w:bCs/>
          <w:kern w:val="2"/>
          <w:position w:val="0"/>
          <w14:ligatures w14:val="standardContextual"/>
        </w:rPr>
      </w:pPr>
    </w:p>
    <w:p w14:paraId="22171F18" w14:textId="77777777" w:rsidR="00D50069" w:rsidRPr="00D50069" w:rsidRDefault="00D50069" w:rsidP="00D50069">
      <w:pPr>
        <w:spacing w:after="160" w:line="360" w:lineRule="auto"/>
        <w:jc w:val="both"/>
        <w:rPr>
          <w:rFonts w:eastAsia="Calibri"/>
          <w:b/>
          <w:bCs/>
          <w:kern w:val="2"/>
          <w:position w:val="0"/>
          <w14:ligatures w14:val="standardContextual"/>
        </w:rPr>
      </w:pPr>
    </w:p>
    <w:p w14:paraId="6C10A838" w14:textId="77777777" w:rsidR="00D50069" w:rsidRDefault="00D50069" w:rsidP="00D50069">
      <w:pPr>
        <w:spacing w:after="160" w:line="360" w:lineRule="auto"/>
        <w:jc w:val="both"/>
        <w:rPr>
          <w:rFonts w:eastAsia="Calibri"/>
          <w:b/>
          <w:bCs/>
          <w:kern w:val="2"/>
          <w:position w:val="0"/>
          <w14:ligatures w14:val="standardContextual"/>
        </w:rPr>
      </w:pPr>
    </w:p>
    <w:p w14:paraId="18BAA5EF" w14:textId="77777777" w:rsidR="00D50069" w:rsidRDefault="00D50069" w:rsidP="00D50069">
      <w:pPr>
        <w:spacing w:after="160" w:line="360" w:lineRule="auto"/>
        <w:jc w:val="both"/>
        <w:rPr>
          <w:rFonts w:eastAsia="Calibri"/>
          <w:b/>
          <w:bCs/>
          <w:kern w:val="2"/>
          <w:position w:val="0"/>
          <w14:ligatures w14:val="standardContextual"/>
        </w:rPr>
      </w:pPr>
    </w:p>
    <w:p w14:paraId="01E90E6C" w14:textId="77777777" w:rsidR="00D50069" w:rsidRDefault="00D50069" w:rsidP="00D50069">
      <w:pPr>
        <w:spacing w:after="160" w:line="360" w:lineRule="auto"/>
        <w:jc w:val="both"/>
        <w:rPr>
          <w:rFonts w:eastAsia="Calibri"/>
          <w:b/>
          <w:bCs/>
          <w:kern w:val="2"/>
          <w:position w:val="0"/>
          <w14:ligatures w14:val="standardContextual"/>
        </w:rPr>
      </w:pPr>
    </w:p>
    <w:p w14:paraId="40812469" w14:textId="77777777" w:rsidR="00D50069" w:rsidRDefault="00D50069" w:rsidP="00D50069">
      <w:pPr>
        <w:spacing w:after="160" w:line="360" w:lineRule="auto"/>
        <w:jc w:val="both"/>
        <w:rPr>
          <w:rFonts w:eastAsia="Calibri"/>
          <w:b/>
          <w:bCs/>
          <w:kern w:val="2"/>
          <w:position w:val="0"/>
          <w14:ligatures w14:val="standardContextual"/>
        </w:rPr>
      </w:pPr>
    </w:p>
    <w:p w14:paraId="0C72514C" w14:textId="77777777" w:rsidR="00D50069" w:rsidRDefault="00D50069" w:rsidP="00D50069">
      <w:pPr>
        <w:spacing w:after="160" w:line="360" w:lineRule="auto"/>
        <w:jc w:val="both"/>
        <w:rPr>
          <w:rFonts w:eastAsia="Calibri"/>
          <w:b/>
          <w:bCs/>
          <w:kern w:val="2"/>
          <w:position w:val="0"/>
          <w14:ligatures w14:val="standardContextual"/>
        </w:rPr>
      </w:pPr>
    </w:p>
    <w:p w14:paraId="657DD8BC" w14:textId="77777777" w:rsidR="004656CF" w:rsidRDefault="004656CF" w:rsidP="00D50069">
      <w:pPr>
        <w:spacing w:after="160" w:line="360" w:lineRule="auto"/>
        <w:jc w:val="both"/>
        <w:rPr>
          <w:rFonts w:eastAsia="Calibri"/>
          <w:b/>
          <w:bCs/>
          <w:kern w:val="2"/>
          <w:position w:val="0"/>
          <w14:ligatures w14:val="standardContextual"/>
        </w:rPr>
      </w:pPr>
    </w:p>
    <w:p w14:paraId="537F4FB8" w14:textId="77777777" w:rsidR="004656CF" w:rsidRDefault="004656CF" w:rsidP="00D50069">
      <w:pPr>
        <w:spacing w:after="160" w:line="360" w:lineRule="auto"/>
        <w:jc w:val="both"/>
        <w:rPr>
          <w:rFonts w:eastAsia="Calibri"/>
          <w:b/>
          <w:bCs/>
          <w:kern w:val="2"/>
          <w:position w:val="0"/>
          <w14:ligatures w14:val="standardContextual"/>
        </w:rPr>
      </w:pPr>
    </w:p>
    <w:p w14:paraId="7565B6E8" w14:textId="77777777" w:rsidR="004656CF" w:rsidRDefault="004656CF" w:rsidP="00D50069">
      <w:pPr>
        <w:spacing w:after="160" w:line="360" w:lineRule="auto"/>
        <w:jc w:val="both"/>
        <w:rPr>
          <w:rFonts w:eastAsia="Calibri"/>
          <w:b/>
          <w:bCs/>
          <w:kern w:val="2"/>
          <w:position w:val="0"/>
          <w14:ligatures w14:val="standardContextual"/>
        </w:rPr>
      </w:pPr>
    </w:p>
    <w:p w14:paraId="21DC9496" w14:textId="77777777" w:rsidR="004656CF" w:rsidRDefault="004656CF" w:rsidP="00D50069">
      <w:pPr>
        <w:spacing w:after="160" w:line="360" w:lineRule="auto"/>
        <w:jc w:val="both"/>
        <w:rPr>
          <w:rFonts w:eastAsia="Calibri"/>
          <w:b/>
          <w:bCs/>
          <w:kern w:val="2"/>
          <w:position w:val="0"/>
          <w14:ligatures w14:val="standardContextual"/>
        </w:rPr>
      </w:pPr>
    </w:p>
    <w:p w14:paraId="0BF31F12" w14:textId="77777777" w:rsidR="004656CF" w:rsidRDefault="004656CF" w:rsidP="00D50069">
      <w:pPr>
        <w:spacing w:after="160" w:line="360" w:lineRule="auto"/>
        <w:jc w:val="both"/>
        <w:rPr>
          <w:rFonts w:eastAsia="Calibri"/>
          <w:b/>
          <w:bCs/>
          <w:kern w:val="2"/>
          <w:position w:val="0"/>
          <w14:ligatures w14:val="standardContextual"/>
        </w:rPr>
      </w:pPr>
    </w:p>
    <w:p w14:paraId="24190B84" w14:textId="77777777" w:rsidR="00D50069" w:rsidRPr="00D50069" w:rsidRDefault="00D50069" w:rsidP="00D50069">
      <w:pPr>
        <w:spacing w:after="160" w:line="360" w:lineRule="auto"/>
        <w:jc w:val="both"/>
        <w:rPr>
          <w:rFonts w:eastAsia="Calibri"/>
          <w:b/>
          <w:bCs/>
          <w:kern w:val="2"/>
          <w:position w:val="0"/>
          <w14:ligatures w14:val="standardContextual"/>
        </w:rPr>
      </w:pPr>
    </w:p>
    <w:p w14:paraId="561257A4" w14:textId="77777777" w:rsidR="00D50069" w:rsidRPr="00D50069" w:rsidRDefault="00D50069" w:rsidP="00D50069">
      <w:pPr>
        <w:spacing w:after="160" w:line="360" w:lineRule="auto"/>
        <w:jc w:val="both"/>
        <w:rPr>
          <w:rFonts w:eastAsia="Calibri"/>
          <w:b/>
          <w:bCs/>
          <w:kern w:val="2"/>
          <w:position w:val="0"/>
          <w14:ligatures w14:val="standardContextual"/>
        </w:rPr>
      </w:pPr>
    </w:p>
    <w:p w14:paraId="18B90C9E" w14:textId="77777777" w:rsidR="00D50069" w:rsidRPr="00D50069" w:rsidRDefault="00D50069" w:rsidP="00AA5DBF">
      <w:pPr>
        <w:pStyle w:val="Titre1"/>
        <w:rPr>
          <w:rFonts w:eastAsia="Calibri"/>
        </w:rPr>
      </w:pPr>
      <w:bookmarkStart w:id="152" w:name="_Toc200486061"/>
      <w:r w:rsidRPr="00D50069">
        <w:rPr>
          <w:rFonts w:eastAsia="Calibri"/>
          <w:noProof/>
          <w:lang w:val="fr-FR" w:eastAsia="fr-FR" w:bidi="ar-SA"/>
        </w:rPr>
        <w:drawing>
          <wp:inline distT="0" distB="0" distL="0" distR="0" wp14:anchorId="116CA739" wp14:editId="105802BD">
            <wp:extent cx="5486400" cy="1301750"/>
            <wp:effectExtent l="38100" t="38100" r="57150" b="565150"/>
            <wp:docPr id="934976844" name="Diagram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8" r:lo="rId39" r:qs="rId40" r:cs="rId41"/>
              </a:graphicData>
            </a:graphic>
          </wp:inline>
        </w:drawing>
      </w:r>
      <w:bookmarkEnd w:id="152"/>
    </w:p>
    <w:p w14:paraId="0E25BB4E" w14:textId="77777777" w:rsidR="00D50069" w:rsidRPr="00D50069" w:rsidRDefault="00D50069" w:rsidP="00D50069">
      <w:pPr>
        <w:spacing w:after="160" w:line="360" w:lineRule="auto"/>
        <w:jc w:val="both"/>
        <w:rPr>
          <w:rFonts w:eastAsia="Calibri"/>
          <w:b/>
          <w:bCs/>
          <w:kern w:val="2"/>
          <w:position w:val="0"/>
          <w14:ligatures w14:val="standardContextual"/>
        </w:rPr>
      </w:pPr>
    </w:p>
    <w:p w14:paraId="588F51C3" w14:textId="77777777" w:rsidR="00D50069" w:rsidRPr="00D50069" w:rsidRDefault="00D50069" w:rsidP="00D50069">
      <w:pPr>
        <w:spacing w:after="160" w:line="360" w:lineRule="auto"/>
        <w:jc w:val="both"/>
        <w:rPr>
          <w:rFonts w:eastAsia="Calibri"/>
          <w:b/>
          <w:bCs/>
          <w:kern w:val="2"/>
          <w:position w:val="0"/>
          <w14:ligatures w14:val="standardContextual"/>
        </w:rPr>
      </w:pPr>
    </w:p>
    <w:p w14:paraId="0D40890C" w14:textId="77777777" w:rsidR="00D50069" w:rsidRPr="00D50069" w:rsidRDefault="00D50069" w:rsidP="00D50069">
      <w:pPr>
        <w:spacing w:after="160" w:line="360" w:lineRule="auto"/>
        <w:jc w:val="both"/>
        <w:rPr>
          <w:rFonts w:eastAsia="Calibri"/>
          <w:b/>
          <w:bCs/>
          <w:kern w:val="2"/>
          <w:position w:val="0"/>
          <w14:ligatures w14:val="standardContextual"/>
        </w:rPr>
      </w:pPr>
    </w:p>
    <w:p w14:paraId="7FD657B7" w14:textId="77777777" w:rsidR="00D50069" w:rsidRDefault="00D50069" w:rsidP="00D50069">
      <w:pPr>
        <w:spacing w:after="160" w:line="360" w:lineRule="auto"/>
        <w:jc w:val="both"/>
        <w:rPr>
          <w:rFonts w:eastAsia="Calibri"/>
          <w:b/>
          <w:bCs/>
          <w:kern w:val="2"/>
          <w:position w:val="0"/>
          <w14:ligatures w14:val="standardContextual"/>
        </w:rPr>
      </w:pPr>
    </w:p>
    <w:p w14:paraId="6C19AE5D" w14:textId="77777777" w:rsidR="00A10BBA" w:rsidRPr="00D50069" w:rsidRDefault="00A10BBA" w:rsidP="00D50069">
      <w:pPr>
        <w:spacing w:after="160" w:line="360" w:lineRule="auto"/>
        <w:jc w:val="both"/>
        <w:rPr>
          <w:rFonts w:eastAsia="Calibri"/>
          <w:b/>
          <w:bCs/>
          <w:kern w:val="2"/>
          <w:position w:val="0"/>
          <w14:ligatures w14:val="standardContextual"/>
        </w:rPr>
      </w:pPr>
    </w:p>
    <w:p w14:paraId="5CEFF6D3" w14:textId="77777777" w:rsidR="00D50069" w:rsidRPr="00D50069" w:rsidRDefault="00D50069" w:rsidP="00D50069">
      <w:pPr>
        <w:spacing w:after="160" w:line="360" w:lineRule="auto"/>
        <w:jc w:val="both"/>
        <w:rPr>
          <w:rFonts w:eastAsia="Calibri"/>
          <w:b/>
          <w:bCs/>
          <w:kern w:val="2"/>
          <w:position w:val="0"/>
          <w14:ligatures w14:val="standardContextual"/>
        </w:rPr>
      </w:pPr>
    </w:p>
    <w:p w14:paraId="21953BE1" w14:textId="77777777" w:rsidR="00D50069" w:rsidRDefault="00D50069" w:rsidP="00D50069">
      <w:pPr>
        <w:spacing w:after="160" w:line="360" w:lineRule="auto"/>
        <w:jc w:val="both"/>
        <w:rPr>
          <w:rFonts w:eastAsia="Calibri"/>
          <w:b/>
          <w:bCs/>
          <w:kern w:val="2"/>
          <w:position w:val="0"/>
          <w14:ligatures w14:val="standardContextual"/>
        </w:rPr>
      </w:pPr>
    </w:p>
    <w:p w14:paraId="7AD4E8EF" w14:textId="77777777" w:rsidR="006C04B7" w:rsidRPr="00D50069" w:rsidRDefault="006C04B7" w:rsidP="00D50069">
      <w:pPr>
        <w:spacing w:after="160" w:line="360" w:lineRule="auto"/>
        <w:jc w:val="both"/>
        <w:rPr>
          <w:rFonts w:eastAsia="Calibri"/>
          <w:b/>
          <w:bCs/>
          <w:kern w:val="2"/>
          <w:position w:val="0"/>
          <w14:ligatures w14:val="standardContextual"/>
        </w:rPr>
      </w:pPr>
    </w:p>
    <w:p w14:paraId="7526E2FA" w14:textId="77777777" w:rsidR="00D50069" w:rsidRPr="00D50069" w:rsidRDefault="00D50069" w:rsidP="00D50069">
      <w:pPr>
        <w:keepNext/>
        <w:keepLines/>
        <w:spacing w:before="360" w:after="80" w:line="480" w:lineRule="auto"/>
        <w:rPr>
          <w:b/>
          <w:bCs/>
          <w:kern w:val="2"/>
          <w:position w:val="0"/>
          <w14:ligatures w14:val="standardContextual"/>
        </w:rPr>
      </w:pPr>
      <w:bookmarkStart w:id="153" w:name="_Toc200486062"/>
      <w:r w:rsidRPr="00D50069">
        <w:rPr>
          <w:b/>
          <w:bCs/>
          <w:kern w:val="2"/>
          <w:position w:val="0"/>
          <w14:ligatures w14:val="standardContextual"/>
        </w:rPr>
        <w:lastRenderedPageBreak/>
        <w:t>Introduction</w:t>
      </w:r>
      <w:bookmarkEnd w:id="153"/>
    </w:p>
    <w:p w14:paraId="6FDE9285" w14:textId="361187E9" w:rsidR="00D50069" w:rsidRPr="00D50069" w:rsidRDefault="00CA5A15" w:rsidP="00A10BBA">
      <w:pPr>
        <w:pStyle w:val="NormalWeb"/>
        <w:spacing w:line="480" w:lineRule="auto"/>
        <w:ind w:firstLine="567"/>
        <w:jc w:val="lowKashida"/>
      </w:pPr>
      <w:r>
        <w:t xml:space="preserve">This study </w:t>
      </w:r>
      <w:proofErr w:type="gramStart"/>
      <w:r>
        <w:t>was dedicated</w:t>
      </w:r>
      <w:proofErr w:type="gramEnd"/>
      <w:r>
        <w:t xml:space="preserve"> to thoroughly explore </w:t>
      </w:r>
      <w:r w:rsidRPr="00F47F9B">
        <w:t>the role</w:t>
      </w:r>
      <w:r>
        <w:t xml:space="preserve"> of OTCs in enhancing teachers’ summative assessment literacy. It adopts a methodological approach, primarily rooted in a qualitative paradigm, augmented by systematic data collection instruments. This chapter outlines the strategic design employed to systematically gather, analyze, and interpret empirical data, thereby addressing the key research questions.</w:t>
      </w:r>
    </w:p>
    <w:p w14:paraId="5E2586D0" w14:textId="0ADF1ABE" w:rsidR="006873E2" w:rsidRPr="006873E2" w:rsidRDefault="00331152" w:rsidP="00AA5DBF">
      <w:pPr>
        <w:pStyle w:val="Titre1"/>
        <w:rPr>
          <w:rFonts w:eastAsia="Calibri"/>
        </w:rPr>
      </w:pPr>
      <w:bookmarkStart w:id="154" w:name="_Toc200486063"/>
      <w:r>
        <w:rPr>
          <w:rFonts w:eastAsia="Calibri"/>
        </w:rPr>
        <w:t xml:space="preserve">2.1. </w:t>
      </w:r>
      <w:r w:rsidR="00D50069" w:rsidRPr="0035739F">
        <w:rPr>
          <w:rFonts w:eastAsia="Calibri"/>
        </w:rPr>
        <w:t>Methodology and Research Design</w:t>
      </w:r>
      <w:bookmarkEnd w:id="154"/>
    </w:p>
    <w:p w14:paraId="2B45AC39" w14:textId="4986927F" w:rsidR="00D50069" w:rsidRPr="00D50069" w:rsidRDefault="00D50069" w:rsidP="00331152">
      <w:pPr>
        <w:spacing w:after="160" w:line="480" w:lineRule="auto"/>
        <w:ind w:firstLine="567"/>
        <w:jc w:val="both"/>
        <w:rPr>
          <w:rFonts w:eastAsia="Calibri"/>
          <w:kern w:val="2"/>
          <w:position w:val="0"/>
          <w14:ligatures w14:val="standardContextual"/>
        </w:rPr>
      </w:pPr>
      <w:r w:rsidRPr="00D50069">
        <w:rPr>
          <w:rFonts w:eastAsia="Calibri"/>
          <w:kern w:val="2"/>
          <w:position w:val="0"/>
          <w14:ligatures w14:val="standardContextual"/>
        </w:rPr>
        <w:t xml:space="preserve">This section outlines the research methodology, methods and procedures that </w:t>
      </w:r>
      <w:proofErr w:type="gramStart"/>
      <w:r w:rsidRPr="00D50069">
        <w:rPr>
          <w:rFonts w:eastAsia="Calibri"/>
          <w:kern w:val="2"/>
          <w:position w:val="0"/>
          <w14:ligatures w14:val="standardContextual"/>
        </w:rPr>
        <w:t>were utilized</w:t>
      </w:r>
      <w:proofErr w:type="gramEnd"/>
      <w:r w:rsidRPr="00D50069">
        <w:rPr>
          <w:rFonts w:eastAsia="Calibri"/>
          <w:kern w:val="2"/>
          <w:position w:val="0"/>
          <w14:ligatures w14:val="standardContextual"/>
        </w:rPr>
        <w:t xml:space="preserve"> to address the study’s aims and research questions. It describes the overall approach, the rationale behind the chosen methods, the participants, and tools to collect, analyze, discuss and interpret data.  Following a structured methodology is essential for achieving successful effective results. </w:t>
      </w:r>
    </w:p>
    <w:p w14:paraId="2AECC101" w14:textId="43B0217B" w:rsidR="00D50069" w:rsidRPr="00D50069" w:rsidRDefault="00213D75" w:rsidP="00AA5DBF">
      <w:pPr>
        <w:pStyle w:val="Titre1"/>
        <w:rPr>
          <w:rFonts w:eastAsia="Calibri"/>
        </w:rPr>
      </w:pPr>
      <w:bookmarkStart w:id="155" w:name="_Toc200486064"/>
      <w:r>
        <w:rPr>
          <w:rFonts w:eastAsia="Calibri"/>
        </w:rPr>
        <w:t xml:space="preserve">2.1.1 </w:t>
      </w:r>
      <w:r w:rsidR="00D50069" w:rsidRPr="00D50069">
        <w:rPr>
          <w:rFonts w:eastAsia="Calibri"/>
        </w:rPr>
        <w:t>Method</w:t>
      </w:r>
      <w:bookmarkEnd w:id="155"/>
    </w:p>
    <w:p w14:paraId="564012D3" w14:textId="5E73FE8A" w:rsidR="00D50069" w:rsidRPr="00D50069" w:rsidRDefault="00D50069" w:rsidP="00213D75">
      <w:pPr>
        <w:spacing w:after="160" w:line="480" w:lineRule="auto"/>
        <w:ind w:firstLine="567"/>
        <w:contextualSpacing/>
        <w:jc w:val="both"/>
        <w:rPr>
          <w:rFonts w:eastAsia="Calibri"/>
          <w:kern w:val="2"/>
          <w:position w:val="0"/>
          <w14:ligatures w14:val="standardContextual"/>
        </w:rPr>
      </w:pPr>
      <w:r w:rsidRPr="00D50069">
        <w:rPr>
          <w:rFonts w:eastAsia="Calibri"/>
          <w:kern w:val="2"/>
          <w:position w:val="0"/>
          <w14:ligatures w14:val="standardContextual"/>
        </w:rPr>
        <w:t>This research study adopted a descriptive research design to explore participants</w:t>
      </w:r>
      <w:bookmarkStart w:id="156" w:name="_Hlk197446563"/>
      <w:r w:rsidRPr="00D50069">
        <w:rPr>
          <w:rFonts w:eastAsia="Calibri"/>
          <w:kern w:val="2"/>
          <w:position w:val="0"/>
          <w14:ligatures w14:val="standardContextual"/>
        </w:rPr>
        <w:t xml:space="preserve">’ </w:t>
      </w:r>
      <w:bookmarkEnd w:id="156"/>
      <w:r w:rsidRPr="00D50069">
        <w:rPr>
          <w:rFonts w:eastAsia="Calibri"/>
          <w:kern w:val="2"/>
          <w:position w:val="0"/>
          <w14:ligatures w14:val="standardContextual"/>
        </w:rPr>
        <w:t xml:space="preserve">experiences and perspectives in depth, as it </w:t>
      </w:r>
      <w:proofErr w:type="gramStart"/>
      <w:r w:rsidRPr="00D50069">
        <w:rPr>
          <w:rFonts w:eastAsia="Calibri"/>
          <w:kern w:val="2"/>
          <w:position w:val="0"/>
          <w14:ligatures w14:val="standardContextual"/>
        </w:rPr>
        <w:t>was previously highlighted</w:t>
      </w:r>
      <w:proofErr w:type="gramEnd"/>
      <w:r w:rsidRPr="00D50069">
        <w:rPr>
          <w:rFonts w:eastAsia="Calibri"/>
          <w:kern w:val="2"/>
          <w:position w:val="0"/>
          <w14:ligatures w14:val="standardContextual"/>
        </w:rPr>
        <w:t xml:space="preserve"> in the general introduction. Kothari </w:t>
      </w:r>
      <w:sdt>
        <w:sdtPr>
          <w:rPr>
            <w:rFonts w:eastAsia="Calibri"/>
            <w:kern w:val="2"/>
            <w:position w:val="0"/>
            <w14:ligatures w14:val="standardContextual"/>
          </w:rPr>
          <w:id w:val="154353006"/>
          <w:citation/>
        </w:sdtPr>
        <w:sdtEndPr/>
        <w:sdtContent>
          <w:r w:rsidRPr="00D50069">
            <w:rPr>
              <w:rFonts w:eastAsia="Calibri"/>
              <w:kern w:val="2"/>
              <w:position w:val="0"/>
              <w14:ligatures w14:val="standardContextual"/>
            </w:rPr>
            <w:fldChar w:fldCharType="begin"/>
          </w:r>
          <w:r w:rsidRPr="00D50069">
            <w:rPr>
              <w:rFonts w:eastAsia="Calibri"/>
              <w:kern w:val="2"/>
              <w:position w:val="0"/>
              <w14:ligatures w14:val="standardContextual"/>
            </w:rPr>
            <w:instrText xml:space="preserve">CITATION Kot04 \n  \t  \l 1033 </w:instrText>
          </w:r>
          <w:r w:rsidRPr="00D50069">
            <w:rPr>
              <w:rFonts w:eastAsia="Calibri"/>
              <w:kern w:val="2"/>
              <w:position w:val="0"/>
              <w14:ligatures w14:val="standardContextual"/>
            </w:rPr>
            <w:fldChar w:fldCharType="separate"/>
          </w:r>
          <w:r w:rsidRPr="00D50069">
            <w:rPr>
              <w:rFonts w:eastAsia="Calibri"/>
              <w:noProof/>
              <w:kern w:val="2"/>
              <w:position w:val="0"/>
              <w14:ligatures w14:val="standardContextual"/>
            </w:rPr>
            <w:t>(2004)</w:t>
          </w:r>
          <w:r w:rsidRPr="00D50069">
            <w:rPr>
              <w:rFonts w:eastAsia="Calibri"/>
              <w:kern w:val="2"/>
              <w:position w:val="0"/>
              <w14:ligatures w14:val="standardContextual"/>
            </w:rPr>
            <w:fldChar w:fldCharType="end"/>
          </w:r>
        </w:sdtContent>
      </w:sdt>
      <w:r w:rsidRPr="00D50069">
        <w:rPr>
          <w:rFonts w:eastAsia="Calibri"/>
          <w:kern w:val="2"/>
          <w:position w:val="0"/>
          <w14:ligatures w14:val="standardContextual"/>
        </w:rPr>
        <w:t xml:space="preserve"> claims that a descriptive study “is intended to give a clear picture or positioning of the object of study”. Hence, particularly, a case study approach </w:t>
      </w:r>
      <w:proofErr w:type="gramStart"/>
      <w:r w:rsidRPr="00D50069">
        <w:rPr>
          <w:rFonts w:eastAsia="Calibri"/>
          <w:kern w:val="2"/>
          <w:position w:val="0"/>
          <w14:ligatures w14:val="standardContextual"/>
        </w:rPr>
        <w:t>was employed</w:t>
      </w:r>
      <w:proofErr w:type="gramEnd"/>
      <w:r w:rsidRPr="00D50069">
        <w:rPr>
          <w:rFonts w:eastAsia="Calibri"/>
          <w:kern w:val="2"/>
          <w:position w:val="0"/>
          <w14:ligatures w14:val="standardContextual"/>
        </w:rPr>
        <w:t xml:space="preserve"> to gain holistic insights about the phenomenon within its real-life context. This inquiry </w:t>
      </w:r>
      <w:proofErr w:type="gramStart"/>
      <w:r w:rsidRPr="00D50069">
        <w:rPr>
          <w:rFonts w:eastAsia="Calibri"/>
          <w:kern w:val="2"/>
          <w:position w:val="0"/>
          <w14:ligatures w14:val="standardContextual"/>
        </w:rPr>
        <w:t>was structured</w:t>
      </w:r>
      <w:proofErr w:type="gramEnd"/>
      <w:r w:rsidRPr="00D50069">
        <w:rPr>
          <w:rFonts w:eastAsia="Calibri"/>
          <w:kern w:val="2"/>
          <w:position w:val="0"/>
          <w14:ligatures w14:val="standardContextual"/>
        </w:rPr>
        <w:t xml:space="preserve"> around </w:t>
      </w:r>
      <w:r w:rsidR="00725982">
        <w:rPr>
          <w:rFonts w:eastAsia="Calibri"/>
          <w:kern w:val="2"/>
          <w:position w:val="0"/>
          <w14:ligatures w14:val="standardContextual"/>
        </w:rPr>
        <w:t>one</w:t>
      </w:r>
      <w:r w:rsidRPr="00D50069">
        <w:rPr>
          <w:rFonts w:eastAsia="Calibri"/>
          <w:kern w:val="2"/>
          <w:position w:val="0"/>
          <w14:ligatures w14:val="standardContextual"/>
        </w:rPr>
        <w:t xml:space="preserve"> main </w:t>
      </w:r>
      <w:r w:rsidR="00267151" w:rsidRPr="00D50069">
        <w:rPr>
          <w:rFonts w:eastAsia="Calibri"/>
          <w:kern w:val="2"/>
          <w:position w:val="0"/>
          <w14:ligatures w14:val="standardContextual"/>
        </w:rPr>
        <w:t>objective</w:t>
      </w:r>
      <w:r w:rsidR="00267151">
        <w:rPr>
          <w:rFonts w:eastAsia="Calibri"/>
          <w:kern w:val="2"/>
          <w:position w:val="0"/>
          <w14:ligatures w14:val="standardContextual"/>
        </w:rPr>
        <w:t>;</w:t>
      </w:r>
      <w:r w:rsidRPr="00D50069">
        <w:rPr>
          <w:rFonts w:eastAsia="Calibri"/>
          <w:kern w:val="2"/>
          <w:position w:val="0"/>
          <w14:ligatures w14:val="standardContextual"/>
        </w:rPr>
        <w:t xml:space="preserve"> to</w:t>
      </w:r>
      <w:r w:rsidR="00A96884" w:rsidRPr="00A96884">
        <w:rPr>
          <w:rFonts w:eastAsia="Calibri"/>
          <w:kern w:val="2"/>
          <w:position w:val="0"/>
          <w14:ligatures w14:val="standardContextual"/>
        </w:rPr>
        <w:t xml:space="preserve"> determine the impact of OTCs on Algerian middle school EFL teachers’ summative assessment literacy</w:t>
      </w:r>
      <w:r w:rsidRPr="00D50069">
        <w:rPr>
          <w:rFonts w:eastAsia="Calibri"/>
          <w:kern w:val="2"/>
          <w:position w:val="0"/>
          <w14:ligatures w14:val="standardContextual"/>
        </w:rPr>
        <w:t xml:space="preserve">. </w:t>
      </w:r>
      <w:r w:rsidR="00267151">
        <w:rPr>
          <w:rFonts w:eastAsia="Calibri"/>
          <w:kern w:val="2"/>
          <w:position w:val="0"/>
          <w14:ligatures w14:val="standardContextual"/>
        </w:rPr>
        <w:t xml:space="preserve">The attainment of the main research aim necessitated a number of focused sub-objectives. Firstly, </w:t>
      </w:r>
      <w:r w:rsidR="00047B92">
        <w:rPr>
          <w:rFonts w:eastAsia="Calibri"/>
          <w:kern w:val="2"/>
          <w:position w:val="0"/>
          <w14:ligatures w14:val="standardContextual"/>
        </w:rPr>
        <w:t xml:space="preserve">to observe teachers’ interactions and dynamics within OTCs. Secondly, </w:t>
      </w:r>
      <w:r w:rsidR="00047B92" w:rsidRPr="00047B92">
        <w:rPr>
          <w:rFonts w:eastAsia="Calibri"/>
          <w:kern w:val="2"/>
          <w:position w:val="0"/>
          <w14:ligatures w14:val="standardContextual"/>
        </w:rPr>
        <w:t>to explore educators’ attitudes about the effectiveness of OTCs in improving their summative assessment literacy.</w:t>
      </w:r>
      <w:r w:rsidR="00047B92">
        <w:rPr>
          <w:rFonts w:eastAsia="Calibri"/>
          <w:kern w:val="2"/>
          <w:position w:val="0"/>
          <w14:ligatures w14:val="standardContextual"/>
        </w:rPr>
        <w:t xml:space="preserve"> </w:t>
      </w:r>
      <w:r w:rsidR="00662A79">
        <w:rPr>
          <w:rFonts w:eastAsia="Calibri"/>
          <w:kern w:val="2"/>
          <w:position w:val="0"/>
          <w14:ligatures w14:val="standardContextual"/>
        </w:rPr>
        <w:t xml:space="preserve">Thirdly, </w:t>
      </w:r>
      <w:r w:rsidR="00662A79" w:rsidRPr="00662A79">
        <w:rPr>
          <w:rFonts w:eastAsia="Calibri"/>
          <w:kern w:val="2"/>
          <w:position w:val="0"/>
          <w14:ligatures w14:val="standardContextual"/>
        </w:rPr>
        <w:t xml:space="preserve">to discover the extent to which OTCs improve Algerian EFL teachers’ knowledge and ability to design and evaluate </w:t>
      </w:r>
      <w:r w:rsidR="00662A79" w:rsidRPr="00662A79">
        <w:rPr>
          <w:rFonts w:eastAsia="Calibri"/>
          <w:kern w:val="2"/>
          <w:position w:val="0"/>
          <w14:ligatures w14:val="standardContextual"/>
        </w:rPr>
        <w:lastRenderedPageBreak/>
        <w:t xml:space="preserve">summative assessment </w:t>
      </w:r>
      <w:proofErr w:type="gramStart"/>
      <w:r w:rsidR="00662A79" w:rsidRPr="00662A79">
        <w:rPr>
          <w:rFonts w:eastAsia="Calibri"/>
          <w:kern w:val="2"/>
          <w:position w:val="0"/>
          <w14:ligatures w14:val="standardContextual"/>
        </w:rPr>
        <w:t>tools.</w:t>
      </w:r>
      <w:proofErr w:type="gramEnd"/>
      <w:r w:rsidR="00662A79">
        <w:rPr>
          <w:rFonts w:eastAsia="Calibri"/>
          <w:kern w:val="2"/>
          <w:position w:val="0"/>
          <w14:ligatures w14:val="standardContextual"/>
        </w:rPr>
        <w:t xml:space="preserve"> </w:t>
      </w:r>
      <w:r w:rsidRPr="00D50069">
        <w:rPr>
          <w:rFonts w:eastAsia="Calibri"/>
          <w:kern w:val="2"/>
          <w:position w:val="0"/>
          <w14:ligatures w14:val="standardContextual"/>
        </w:rPr>
        <w:t xml:space="preserve">Hence, in order to explore the participants’ experiences within OTCs and to ensure a thorough understanding of the research problem, a mixed-data collection technique was required.   Quantitative data </w:t>
      </w:r>
      <w:proofErr w:type="gramStart"/>
      <w:r w:rsidRPr="00D50069">
        <w:rPr>
          <w:rFonts w:eastAsia="Calibri"/>
          <w:kern w:val="2"/>
          <w:position w:val="0"/>
          <w14:ligatures w14:val="standardContextual"/>
        </w:rPr>
        <w:t>was collected</w:t>
      </w:r>
      <w:proofErr w:type="gramEnd"/>
      <w:r w:rsidRPr="00D50069">
        <w:rPr>
          <w:rFonts w:eastAsia="Calibri"/>
          <w:kern w:val="2"/>
          <w:position w:val="0"/>
          <w14:ligatures w14:val="standardContextual"/>
        </w:rPr>
        <w:t xml:space="preserve"> through a questionnaire, whereas qualitative data was gathered using platform observations and semi-structured interviews. This is to support triangulation and strengthen the validity and reliability of the findings. </w:t>
      </w:r>
    </w:p>
    <w:p w14:paraId="731F18F8" w14:textId="64340336" w:rsidR="00D50069" w:rsidRPr="00D50069" w:rsidRDefault="00D50069" w:rsidP="00AA5DBF">
      <w:pPr>
        <w:pStyle w:val="Titre1"/>
        <w:numPr>
          <w:ilvl w:val="2"/>
          <w:numId w:val="11"/>
        </w:numPr>
        <w:rPr>
          <w:rFonts w:eastAsia="Calibri"/>
        </w:rPr>
      </w:pPr>
      <w:bookmarkStart w:id="157" w:name="_Toc200486065"/>
      <w:r w:rsidRPr="00D50069">
        <w:rPr>
          <w:rFonts w:eastAsia="Calibri"/>
        </w:rPr>
        <w:t>The population and study sample</w:t>
      </w:r>
      <w:bookmarkEnd w:id="157"/>
    </w:p>
    <w:p w14:paraId="5DDD4AD5" w14:textId="77777777" w:rsidR="00764701" w:rsidRDefault="00D50069" w:rsidP="002658CE">
      <w:pPr>
        <w:spacing w:after="160" w:line="480" w:lineRule="auto"/>
        <w:ind w:firstLine="567"/>
        <w:jc w:val="both"/>
        <w:rPr>
          <w:rFonts w:eastAsia="Calibri"/>
          <w:kern w:val="2"/>
          <w:position w:val="0"/>
          <w14:ligatures w14:val="standardContextual"/>
        </w:rPr>
      </w:pPr>
      <w:r w:rsidRPr="00D50069">
        <w:rPr>
          <w:rFonts w:eastAsia="Calibri"/>
          <w:b/>
          <w:bCs/>
          <w:kern w:val="2"/>
          <w:position w:val="0"/>
          <w14:ligatures w14:val="standardContextual"/>
        </w:rPr>
        <w:t xml:space="preserve"> </w:t>
      </w:r>
      <w:r w:rsidRPr="00D50069">
        <w:rPr>
          <w:rFonts w:eastAsia="Calibri"/>
          <w:kern w:val="2"/>
          <w:position w:val="0"/>
          <w14:ligatures w14:val="standardContextual"/>
        </w:rPr>
        <w:t xml:space="preserve">Accurately defining the target population size is a crucial step for effective sampling. English as a foreign language (EFL) Algerian middle school teachers constitute the main population of this research. As a targeted population, District 4 hosts (N=210) middle school teachers of English, both male and female, assigned to various schools across </w:t>
      </w:r>
      <w:proofErr w:type="spellStart"/>
      <w:r w:rsidRPr="00D50069">
        <w:rPr>
          <w:rFonts w:eastAsia="Calibri"/>
          <w:kern w:val="2"/>
          <w:position w:val="0"/>
          <w14:ligatures w14:val="standardContextual"/>
        </w:rPr>
        <w:t>M’sila</w:t>
      </w:r>
      <w:proofErr w:type="spellEnd"/>
      <w:r w:rsidRPr="00D50069">
        <w:rPr>
          <w:rFonts w:eastAsia="Calibri"/>
          <w:kern w:val="2"/>
          <w:position w:val="0"/>
          <w14:ligatures w14:val="standardContextual"/>
        </w:rPr>
        <w:t xml:space="preserve"> city, Algeria. Out of the accessible population, a sample of fifty (n=50) elements (25%) was selected using convenience sampling. Like the sample, the population under concern, which </w:t>
      </w:r>
      <w:proofErr w:type="gramStart"/>
      <w:r w:rsidRPr="00D50069">
        <w:rPr>
          <w:rFonts w:eastAsia="Calibri"/>
          <w:kern w:val="2"/>
          <w:position w:val="0"/>
          <w14:ligatures w14:val="standardContextual"/>
        </w:rPr>
        <w:t>has been carefully selected</w:t>
      </w:r>
      <w:proofErr w:type="gramEnd"/>
      <w:r w:rsidRPr="00D50069">
        <w:rPr>
          <w:rFonts w:eastAsia="Calibri"/>
          <w:kern w:val="2"/>
          <w:position w:val="0"/>
          <w14:ligatures w14:val="standardContextual"/>
        </w:rPr>
        <w:t xml:space="preserve">, is appropriate for this study for several reasons. </w:t>
      </w:r>
    </w:p>
    <w:p w14:paraId="2A8A9F27" w14:textId="462CB64B" w:rsidR="00D50069" w:rsidRPr="00D50069" w:rsidRDefault="00D50069" w:rsidP="002658CE">
      <w:pPr>
        <w:spacing w:after="160" w:line="480" w:lineRule="auto"/>
        <w:ind w:firstLine="567"/>
        <w:jc w:val="both"/>
        <w:rPr>
          <w:rFonts w:eastAsia="Calibri"/>
          <w:kern w:val="2"/>
          <w:position w:val="0"/>
          <w14:ligatures w14:val="standardContextual"/>
        </w:rPr>
      </w:pPr>
      <w:r w:rsidRPr="00D50069">
        <w:rPr>
          <w:rFonts w:eastAsia="Calibri"/>
          <w:kern w:val="2"/>
          <w:position w:val="0"/>
          <w14:ligatures w14:val="standardContextual"/>
        </w:rPr>
        <w:t xml:space="preserve">Firstly, purposive sampling allows choosing specific elements with criteria relevant to the research focus. Cohen, Et al (2000, as cited in Kothari C. R., 2004) </w:t>
      </w:r>
      <w:proofErr w:type="gramStart"/>
      <w:r w:rsidRPr="00D50069">
        <w:rPr>
          <w:rFonts w:eastAsia="Calibri"/>
          <w:kern w:val="2"/>
          <w:position w:val="0"/>
          <w14:ligatures w14:val="standardContextual"/>
        </w:rPr>
        <w:t>contend that</w:t>
      </w:r>
      <w:proofErr w:type="gramEnd"/>
      <w:r w:rsidRPr="00D50069">
        <w:rPr>
          <w:rFonts w:eastAsia="Calibri"/>
          <w:kern w:val="2"/>
          <w:position w:val="0"/>
          <w14:ligatures w14:val="standardContextual"/>
        </w:rPr>
        <w:t xml:space="preserve"> “researchers handpick the cases to be included in the sample on the basis of their judgement of their typicality. In this way, they build up a sample that is satisfactory to their specific needs”. Hence, </w:t>
      </w:r>
      <w:proofErr w:type="gramStart"/>
      <w:r w:rsidRPr="00D50069">
        <w:rPr>
          <w:rFonts w:eastAsia="Calibri"/>
          <w:kern w:val="2"/>
          <w:position w:val="0"/>
          <w14:ligatures w14:val="standardContextual"/>
        </w:rPr>
        <w:t>this community members</w:t>
      </w:r>
      <w:proofErr w:type="gramEnd"/>
      <w:r w:rsidRPr="00D50069">
        <w:rPr>
          <w:rFonts w:eastAsia="Calibri"/>
          <w:kern w:val="2"/>
          <w:position w:val="0"/>
          <w14:ligatures w14:val="standardContextual"/>
        </w:rPr>
        <w:t xml:space="preserve"> are likely to offer in-depth qualitative and quantitative data about OTCs impact on teachers’ summative assessment literacy. What is more, non-random selection of participants is useful for gaining more insightful, context-rich and efficient contribution appropriate to this exploratory inquiry. Additionally, the pilot phase in distinct platforms highlighted the importance of the selection of more knowledgeable, informative and experienced individuals. Most importantly, District 4 Teacher Corner stands as the only formally recognized online teacher community under an inspector’s supervision. This implies standardized practices and consistent monitoring which enhances data reliability and </w:t>
      </w:r>
      <w:r w:rsidRPr="00D50069">
        <w:rPr>
          <w:rFonts w:eastAsia="Calibri"/>
          <w:kern w:val="2"/>
          <w:position w:val="0"/>
          <w14:ligatures w14:val="standardContextual"/>
        </w:rPr>
        <w:lastRenderedPageBreak/>
        <w:t xml:space="preserve">credibility, in contrast to other communities with informal status. In brief, these sampling techniques for selecting District 4 Teacher Corner practitioners </w:t>
      </w:r>
      <w:proofErr w:type="gramStart"/>
      <w:r w:rsidRPr="00D50069">
        <w:rPr>
          <w:rFonts w:eastAsia="Calibri"/>
          <w:kern w:val="2"/>
          <w:position w:val="0"/>
          <w14:ligatures w14:val="standardContextual"/>
        </w:rPr>
        <w:t>were deemed</w:t>
      </w:r>
      <w:proofErr w:type="gramEnd"/>
      <w:r w:rsidRPr="00D50069">
        <w:rPr>
          <w:rFonts w:eastAsia="Calibri"/>
          <w:kern w:val="2"/>
          <w:position w:val="0"/>
          <w14:ligatures w14:val="standardContextual"/>
        </w:rPr>
        <w:t xml:space="preserve"> suitable as they aligned with the exploratory nature of the current study and its principal objectives. </w:t>
      </w:r>
      <w:bookmarkStart w:id="158" w:name="_Hlk197670811"/>
      <w:r w:rsidRPr="00D50069">
        <w:rPr>
          <w:rFonts w:eastAsia="Calibri"/>
          <w:b/>
          <w:bCs/>
          <w:kern w:val="2"/>
          <w:position w:val="0"/>
          <w14:ligatures w14:val="standardContextual"/>
        </w:rPr>
        <w:t>Table 0</w:t>
      </w:r>
      <w:r w:rsidR="00274F6F">
        <w:rPr>
          <w:rFonts w:eastAsia="Calibri"/>
          <w:b/>
          <w:bCs/>
          <w:kern w:val="2"/>
          <w:position w:val="0"/>
          <w14:ligatures w14:val="standardContextual"/>
        </w:rPr>
        <w:t>3</w:t>
      </w:r>
      <w:r w:rsidRPr="00D50069">
        <w:rPr>
          <w:rFonts w:eastAsia="Calibri"/>
          <w:b/>
          <w:bCs/>
          <w:kern w:val="2"/>
          <w:position w:val="0"/>
          <w14:ligatures w14:val="standardContextual"/>
        </w:rPr>
        <w:t xml:space="preserve"> </w:t>
      </w:r>
      <w:bookmarkEnd w:id="158"/>
      <w:r w:rsidRPr="00D50069">
        <w:rPr>
          <w:rFonts w:eastAsia="Calibri"/>
          <w:kern w:val="2"/>
          <w:position w:val="0"/>
          <w14:ligatures w14:val="standardContextual"/>
        </w:rPr>
        <w:t xml:space="preserve">below represents the distribution of teachers’ gender and years of experience.  </w:t>
      </w:r>
    </w:p>
    <w:p w14:paraId="01992972" w14:textId="130A2D91" w:rsidR="00967422" w:rsidRDefault="00274F6F" w:rsidP="00274F6F">
      <w:pPr>
        <w:pStyle w:val="Lgende"/>
        <w:keepNext/>
        <w:rPr>
          <w:rFonts w:asciiTheme="majorBidi" w:hAnsiTheme="majorBidi" w:cstheme="majorBidi"/>
          <w:color w:val="auto"/>
          <w:sz w:val="24"/>
          <w:szCs w:val="24"/>
        </w:rPr>
      </w:pPr>
      <w:bookmarkStart w:id="159" w:name="_Toc200446651"/>
      <w:r w:rsidRPr="00274F6F">
        <w:rPr>
          <w:rFonts w:asciiTheme="majorBidi" w:hAnsiTheme="majorBidi" w:cstheme="majorBidi"/>
          <w:b/>
          <w:bCs/>
          <w:i w:val="0"/>
          <w:iCs w:val="0"/>
          <w:color w:val="auto"/>
          <w:sz w:val="24"/>
          <w:szCs w:val="24"/>
        </w:rPr>
        <w:t xml:space="preserve">Table </w:t>
      </w:r>
      <w:r w:rsidRPr="00274F6F">
        <w:rPr>
          <w:rFonts w:asciiTheme="majorBidi" w:hAnsiTheme="majorBidi" w:cstheme="majorBidi"/>
          <w:b/>
          <w:bCs/>
          <w:i w:val="0"/>
          <w:iCs w:val="0"/>
          <w:color w:val="auto"/>
          <w:sz w:val="24"/>
          <w:szCs w:val="24"/>
        </w:rPr>
        <w:fldChar w:fldCharType="begin"/>
      </w:r>
      <w:r w:rsidRPr="00274F6F">
        <w:rPr>
          <w:rFonts w:asciiTheme="majorBidi" w:hAnsiTheme="majorBidi" w:cstheme="majorBidi"/>
          <w:b/>
          <w:bCs/>
          <w:i w:val="0"/>
          <w:iCs w:val="0"/>
          <w:color w:val="auto"/>
          <w:sz w:val="24"/>
          <w:szCs w:val="24"/>
        </w:rPr>
        <w:instrText xml:space="preserve"> SEQ Table \* ARABIC </w:instrText>
      </w:r>
      <w:r w:rsidRPr="00274F6F">
        <w:rPr>
          <w:rFonts w:asciiTheme="majorBidi" w:hAnsiTheme="majorBidi" w:cstheme="majorBidi"/>
          <w:b/>
          <w:bCs/>
          <w:i w:val="0"/>
          <w:iCs w:val="0"/>
          <w:color w:val="auto"/>
          <w:sz w:val="24"/>
          <w:szCs w:val="24"/>
        </w:rPr>
        <w:fldChar w:fldCharType="separate"/>
      </w:r>
      <w:r w:rsidR="00DC3231">
        <w:rPr>
          <w:rFonts w:asciiTheme="majorBidi" w:hAnsiTheme="majorBidi" w:cstheme="majorBidi"/>
          <w:b/>
          <w:bCs/>
          <w:i w:val="0"/>
          <w:iCs w:val="0"/>
          <w:noProof/>
          <w:color w:val="auto"/>
          <w:sz w:val="24"/>
          <w:szCs w:val="24"/>
        </w:rPr>
        <w:t>3</w:t>
      </w:r>
      <w:r w:rsidRPr="00274F6F">
        <w:rPr>
          <w:rFonts w:asciiTheme="majorBidi" w:hAnsiTheme="majorBidi" w:cstheme="majorBidi"/>
          <w:b/>
          <w:bCs/>
          <w:i w:val="0"/>
          <w:iCs w:val="0"/>
          <w:color w:val="auto"/>
          <w:sz w:val="24"/>
          <w:szCs w:val="24"/>
        </w:rPr>
        <w:fldChar w:fldCharType="end"/>
      </w:r>
      <w:r w:rsidRPr="00274F6F">
        <w:rPr>
          <w:rFonts w:asciiTheme="majorBidi" w:hAnsiTheme="majorBidi" w:cstheme="majorBidi"/>
          <w:color w:val="auto"/>
          <w:sz w:val="24"/>
          <w:szCs w:val="24"/>
        </w:rPr>
        <w:t xml:space="preserve"> </w:t>
      </w:r>
    </w:p>
    <w:p w14:paraId="65DCB350" w14:textId="2F238B06" w:rsidR="00274F6F" w:rsidRPr="00274F6F" w:rsidRDefault="00274F6F" w:rsidP="00274F6F">
      <w:pPr>
        <w:pStyle w:val="Lgende"/>
        <w:keepNext/>
        <w:rPr>
          <w:rFonts w:asciiTheme="majorBidi" w:hAnsiTheme="majorBidi" w:cstheme="majorBidi"/>
          <w:color w:val="auto"/>
          <w:sz w:val="24"/>
          <w:szCs w:val="24"/>
        </w:rPr>
      </w:pPr>
      <w:r w:rsidRPr="00967422">
        <w:rPr>
          <w:rFonts w:asciiTheme="majorBidi" w:hAnsiTheme="majorBidi" w:cstheme="majorBidi"/>
          <w:i w:val="0"/>
          <w:iCs w:val="0"/>
          <w:color w:val="auto"/>
          <w:sz w:val="24"/>
          <w:szCs w:val="24"/>
        </w:rPr>
        <w:t>Teachers</w:t>
      </w:r>
      <w:r w:rsidR="00773754" w:rsidRPr="00967422">
        <w:rPr>
          <w:rFonts w:asciiTheme="majorBidi" w:hAnsiTheme="majorBidi" w:cstheme="majorBidi"/>
          <w:i w:val="0"/>
          <w:iCs w:val="0"/>
          <w:color w:val="auto"/>
          <w:sz w:val="24"/>
          <w:szCs w:val="24"/>
        </w:rPr>
        <w:t>’</w:t>
      </w:r>
      <w:r w:rsidRPr="00967422">
        <w:rPr>
          <w:rFonts w:asciiTheme="majorBidi" w:hAnsiTheme="majorBidi" w:cstheme="majorBidi"/>
          <w:i w:val="0"/>
          <w:iCs w:val="0"/>
          <w:color w:val="auto"/>
          <w:sz w:val="24"/>
          <w:szCs w:val="24"/>
        </w:rPr>
        <w:t xml:space="preserve"> Demographic Information</w:t>
      </w:r>
      <w:bookmarkEnd w:id="159"/>
    </w:p>
    <w:tbl>
      <w:tblPr>
        <w:tblStyle w:val="TableauGrille4-Accentuation5"/>
        <w:tblpPr w:leftFromText="180" w:rightFromText="180" w:vertAnchor="text" w:tblpXSpec="center" w:tblpY="1"/>
        <w:tblOverlap w:val="never"/>
        <w:tblW w:w="8383" w:type="dxa"/>
        <w:tblLook w:val="04A0" w:firstRow="1" w:lastRow="0" w:firstColumn="1" w:lastColumn="0" w:noHBand="0" w:noVBand="1"/>
      </w:tblPr>
      <w:tblGrid>
        <w:gridCol w:w="3256"/>
        <w:gridCol w:w="1275"/>
        <w:gridCol w:w="1276"/>
        <w:gridCol w:w="1227"/>
        <w:gridCol w:w="1349"/>
      </w:tblGrid>
      <w:tr w:rsidR="00766384" w:rsidRPr="00D50069" w14:paraId="18E983A1" w14:textId="77777777" w:rsidTr="00D50069">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256" w:type="dxa"/>
            <w:noWrap/>
            <w:hideMark/>
          </w:tcPr>
          <w:p w14:paraId="230874A2" w14:textId="77777777" w:rsidR="00D50069" w:rsidRPr="00D50069" w:rsidRDefault="00D50069" w:rsidP="00D50069">
            <w:pPr>
              <w:spacing w:line="480" w:lineRule="auto"/>
              <w:rPr>
                <w:color w:val="FFFFFF"/>
                <w:position w:val="0"/>
              </w:rPr>
            </w:pPr>
          </w:p>
        </w:tc>
        <w:tc>
          <w:tcPr>
            <w:tcW w:w="2551" w:type="dxa"/>
            <w:gridSpan w:val="2"/>
            <w:noWrap/>
            <w:hideMark/>
          </w:tcPr>
          <w:p w14:paraId="166F400C" w14:textId="77777777" w:rsidR="00D50069" w:rsidRPr="00D50069" w:rsidRDefault="00D50069" w:rsidP="00D50069">
            <w:pPr>
              <w:spacing w:line="480" w:lineRule="auto"/>
              <w:jc w:val="center"/>
              <w:cnfStyle w:val="100000000000" w:firstRow="1" w:lastRow="0" w:firstColumn="0" w:lastColumn="0" w:oddVBand="0" w:evenVBand="0" w:oddHBand="0" w:evenHBand="0" w:firstRowFirstColumn="0" w:firstRowLastColumn="0" w:lastRowFirstColumn="0" w:lastRowLastColumn="0"/>
              <w:rPr>
                <w:color w:val="000000"/>
                <w:position w:val="0"/>
              </w:rPr>
            </w:pPr>
            <w:r w:rsidRPr="00D50069">
              <w:rPr>
                <w:color w:val="000000"/>
                <w:position w:val="0"/>
              </w:rPr>
              <w:t>Gender</w:t>
            </w:r>
          </w:p>
        </w:tc>
        <w:tc>
          <w:tcPr>
            <w:tcW w:w="2576" w:type="dxa"/>
            <w:gridSpan w:val="2"/>
            <w:noWrap/>
            <w:hideMark/>
          </w:tcPr>
          <w:p w14:paraId="44F8D3FE" w14:textId="77777777" w:rsidR="00D50069" w:rsidRPr="00D50069" w:rsidRDefault="00D50069" w:rsidP="00D50069">
            <w:pPr>
              <w:spacing w:line="480" w:lineRule="auto"/>
              <w:cnfStyle w:val="100000000000" w:firstRow="1" w:lastRow="0" w:firstColumn="0" w:lastColumn="0" w:oddVBand="0" w:evenVBand="0" w:oddHBand="0" w:evenHBand="0" w:firstRowFirstColumn="0" w:firstRowLastColumn="0" w:lastRowFirstColumn="0" w:lastRowLastColumn="0"/>
              <w:rPr>
                <w:color w:val="FFFFFF"/>
                <w:position w:val="0"/>
              </w:rPr>
            </w:pPr>
          </w:p>
        </w:tc>
      </w:tr>
      <w:tr w:rsidR="00DF4B55" w:rsidRPr="00D50069" w14:paraId="56068825" w14:textId="77777777" w:rsidTr="00D5006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256" w:type="dxa"/>
            <w:noWrap/>
            <w:hideMark/>
          </w:tcPr>
          <w:p w14:paraId="516B6E7C" w14:textId="77777777" w:rsidR="00D50069" w:rsidRPr="00D50069" w:rsidRDefault="00D50069" w:rsidP="00D50069">
            <w:pPr>
              <w:spacing w:line="480" w:lineRule="auto"/>
              <w:rPr>
                <w:color w:val="000000"/>
                <w:position w:val="0"/>
              </w:rPr>
            </w:pPr>
            <w:r w:rsidRPr="00D50069">
              <w:rPr>
                <w:color w:val="000000"/>
                <w:position w:val="0"/>
              </w:rPr>
              <w:t>Years of Teaching experience</w:t>
            </w:r>
          </w:p>
        </w:tc>
        <w:tc>
          <w:tcPr>
            <w:tcW w:w="1275" w:type="dxa"/>
            <w:noWrap/>
            <w:hideMark/>
          </w:tcPr>
          <w:p w14:paraId="217A7154" w14:textId="77777777" w:rsidR="00D50069" w:rsidRPr="00D50069" w:rsidRDefault="00D50069" w:rsidP="00D50069">
            <w:pPr>
              <w:spacing w:line="480" w:lineRule="auto"/>
              <w:jc w:val="center"/>
              <w:cnfStyle w:val="000000100000" w:firstRow="0" w:lastRow="0" w:firstColumn="0" w:lastColumn="0" w:oddVBand="0" w:evenVBand="0" w:oddHBand="1" w:evenHBand="0" w:firstRowFirstColumn="0" w:firstRowLastColumn="0" w:lastRowFirstColumn="0" w:lastRowLastColumn="0"/>
              <w:rPr>
                <w:b/>
                <w:bCs/>
                <w:color w:val="000000"/>
                <w:position w:val="0"/>
              </w:rPr>
            </w:pPr>
            <w:r w:rsidRPr="00D50069">
              <w:rPr>
                <w:b/>
                <w:bCs/>
                <w:color w:val="000000"/>
                <w:position w:val="0"/>
              </w:rPr>
              <w:t>Male</w:t>
            </w:r>
          </w:p>
        </w:tc>
        <w:tc>
          <w:tcPr>
            <w:tcW w:w="1276" w:type="dxa"/>
            <w:noWrap/>
            <w:hideMark/>
          </w:tcPr>
          <w:p w14:paraId="715A54AA" w14:textId="77777777" w:rsidR="00D50069" w:rsidRPr="00D50069" w:rsidRDefault="00D50069" w:rsidP="00D50069">
            <w:pPr>
              <w:spacing w:line="480" w:lineRule="auto"/>
              <w:jc w:val="center"/>
              <w:cnfStyle w:val="000000100000" w:firstRow="0" w:lastRow="0" w:firstColumn="0" w:lastColumn="0" w:oddVBand="0" w:evenVBand="0" w:oddHBand="1" w:evenHBand="0" w:firstRowFirstColumn="0" w:firstRowLastColumn="0" w:lastRowFirstColumn="0" w:lastRowLastColumn="0"/>
              <w:rPr>
                <w:b/>
                <w:bCs/>
                <w:color w:val="000000"/>
                <w:position w:val="0"/>
              </w:rPr>
            </w:pPr>
            <w:r w:rsidRPr="00D50069">
              <w:rPr>
                <w:b/>
                <w:bCs/>
                <w:color w:val="000000"/>
                <w:position w:val="0"/>
              </w:rPr>
              <w:t>Female</w:t>
            </w:r>
          </w:p>
        </w:tc>
        <w:tc>
          <w:tcPr>
            <w:tcW w:w="1227" w:type="dxa"/>
            <w:noWrap/>
            <w:hideMark/>
          </w:tcPr>
          <w:p w14:paraId="316F03F5" w14:textId="77777777" w:rsidR="00D50069" w:rsidRPr="00D50069" w:rsidRDefault="00D50069" w:rsidP="00D50069">
            <w:pPr>
              <w:spacing w:line="480" w:lineRule="auto"/>
              <w:jc w:val="center"/>
              <w:cnfStyle w:val="000000100000" w:firstRow="0" w:lastRow="0" w:firstColumn="0" w:lastColumn="0" w:oddVBand="0" w:evenVBand="0" w:oddHBand="1" w:evenHBand="0" w:firstRowFirstColumn="0" w:firstRowLastColumn="0" w:lastRowFirstColumn="0" w:lastRowLastColumn="0"/>
              <w:rPr>
                <w:b/>
                <w:bCs/>
                <w:color w:val="000000"/>
                <w:position w:val="0"/>
              </w:rPr>
            </w:pPr>
            <w:r w:rsidRPr="00D50069">
              <w:rPr>
                <w:b/>
                <w:bCs/>
                <w:color w:val="000000"/>
                <w:position w:val="0"/>
              </w:rPr>
              <w:t>Total</w:t>
            </w:r>
          </w:p>
        </w:tc>
        <w:tc>
          <w:tcPr>
            <w:tcW w:w="1349" w:type="dxa"/>
            <w:noWrap/>
            <w:hideMark/>
          </w:tcPr>
          <w:p w14:paraId="0AF78DC5" w14:textId="77777777" w:rsidR="00D50069" w:rsidRPr="00D50069" w:rsidRDefault="00D50069" w:rsidP="00D50069">
            <w:pPr>
              <w:spacing w:line="480" w:lineRule="auto"/>
              <w:jc w:val="center"/>
              <w:cnfStyle w:val="000000100000" w:firstRow="0" w:lastRow="0" w:firstColumn="0" w:lastColumn="0" w:oddVBand="0" w:evenVBand="0" w:oddHBand="1" w:evenHBand="0" w:firstRowFirstColumn="0" w:firstRowLastColumn="0" w:lastRowFirstColumn="0" w:lastRowLastColumn="0"/>
              <w:rPr>
                <w:b/>
                <w:bCs/>
                <w:color w:val="000000"/>
                <w:position w:val="0"/>
              </w:rPr>
            </w:pPr>
            <w:r w:rsidRPr="00D50069">
              <w:rPr>
                <w:b/>
                <w:bCs/>
                <w:color w:val="000000"/>
                <w:position w:val="0"/>
              </w:rPr>
              <w:t>Percentage</w:t>
            </w:r>
          </w:p>
        </w:tc>
      </w:tr>
      <w:tr w:rsidR="00D50069" w:rsidRPr="00D50069" w14:paraId="27BD88E3" w14:textId="77777777" w:rsidTr="00C141A1">
        <w:trPr>
          <w:trHeight w:val="250"/>
        </w:trPr>
        <w:tc>
          <w:tcPr>
            <w:cnfStyle w:val="001000000000" w:firstRow="0" w:lastRow="0" w:firstColumn="1" w:lastColumn="0" w:oddVBand="0" w:evenVBand="0" w:oddHBand="0" w:evenHBand="0" w:firstRowFirstColumn="0" w:firstRowLastColumn="0" w:lastRowFirstColumn="0" w:lastRowLastColumn="0"/>
            <w:tcW w:w="3256" w:type="dxa"/>
            <w:noWrap/>
            <w:hideMark/>
          </w:tcPr>
          <w:p w14:paraId="53A1DB84" w14:textId="77777777" w:rsidR="00D50069" w:rsidRPr="00D50069" w:rsidRDefault="00D50069" w:rsidP="00D50069">
            <w:pPr>
              <w:spacing w:line="480" w:lineRule="auto"/>
              <w:rPr>
                <w:rFonts w:ascii="Arial" w:hAnsi="Arial" w:cs="Arial"/>
                <w:color w:val="000000"/>
                <w:position w:val="0"/>
                <w:sz w:val="20"/>
                <w:szCs w:val="20"/>
              </w:rPr>
            </w:pPr>
            <w:r w:rsidRPr="00D50069">
              <w:rPr>
                <w:rFonts w:ascii="Arial" w:hAnsi="Arial" w:cs="Arial"/>
                <w:color w:val="000000"/>
                <w:position w:val="0"/>
                <w:sz w:val="20"/>
                <w:szCs w:val="20"/>
              </w:rPr>
              <w:t>[0-2] years</w:t>
            </w:r>
          </w:p>
        </w:tc>
        <w:tc>
          <w:tcPr>
            <w:tcW w:w="1275" w:type="dxa"/>
            <w:noWrap/>
            <w:hideMark/>
          </w:tcPr>
          <w:p w14:paraId="036F3C43" w14:textId="77777777" w:rsidR="00D50069" w:rsidRPr="00D50069" w:rsidRDefault="00D50069" w:rsidP="00D50069">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position w:val="0"/>
                <w:sz w:val="20"/>
                <w:szCs w:val="20"/>
              </w:rPr>
            </w:pPr>
            <w:r w:rsidRPr="00D50069">
              <w:rPr>
                <w:rFonts w:ascii="Arial" w:hAnsi="Arial" w:cs="Arial"/>
                <w:color w:val="000000"/>
                <w:position w:val="0"/>
                <w:sz w:val="20"/>
                <w:szCs w:val="20"/>
              </w:rPr>
              <w:t>2</w:t>
            </w:r>
          </w:p>
        </w:tc>
        <w:tc>
          <w:tcPr>
            <w:tcW w:w="1276" w:type="dxa"/>
            <w:noWrap/>
            <w:hideMark/>
          </w:tcPr>
          <w:p w14:paraId="5D6779A1" w14:textId="77777777" w:rsidR="00D50069" w:rsidRPr="00D50069" w:rsidRDefault="00D50069" w:rsidP="00D50069">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position w:val="0"/>
                <w:sz w:val="20"/>
                <w:szCs w:val="20"/>
              </w:rPr>
            </w:pPr>
            <w:r w:rsidRPr="00D50069">
              <w:rPr>
                <w:rFonts w:ascii="Arial" w:hAnsi="Arial" w:cs="Arial"/>
                <w:color w:val="000000"/>
                <w:position w:val="0"/>
                <w:sz w:val="20"/>
                <w:szCs w:val="20"/>
              </w:rPr>
              <w:t>4</w:t>
            </w:r>
          </w:p>
        </w:tc>
        <w:tc>
          <w:tcPr>
            <w:tcW w:w="1227" w:type="dxa"/>
            <w:noWrap/>
            <w:hideMark/>
          </w:tcPr>
          <w:p w14:paraId="65B20488" w14:textId="77777777" w:rsidR="00D50069" w:rsidRPr="00D50069" w:rsidRDefault="00D50069" w:rsidP="00D50069">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position w:val="0"/>
                <w:sz w:val="20"/>
                <w:szCs w:val="20"/>
              </w:rPr>
            </w:pPr>
            <w:r w:rsidRPr="00D50069">
              <w:rPr>
                <w:rFonts w:ascii="Arial" w:hAnsi="Arial" w:cs="Arial"/>
                <w:color w:val="000000"/>
                <w:position w:val="0"/>
                <w:sz w:val="20"/>
                <w:szCs w:val="20"/>
              </w:rPr>
              <w:t>6</w:t>
            </w:r>
          </w:p>
        </w:tc>
        <w:tc>
          <w:tcPr>
            <w:tcW w:w="1349" w:type="dxa"/>
            <w:noWrap/>
            <w:hideMark/>
          </w:tcPr>
          <w:p w14:paraId="7964B696" w14:textId="77777777" w:rsidR="00D50069" w:rsidRPr="00D50069" w:rsidRDefault="00D50069" w:rsidP="00D50069">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position w:val="0"/>
                <w:sz w:val="20"/>
                <w:szCs w:val="20"/>
              </w:rPr>
            </w:pPr>
            <w:r w:rsidRPr="00D50069">
              <w:rPr>
                <w:rFonts w:ascii="Arial" w:hAnsi="Arial" w:cs="Arial"/>
                <w:color w:val="000000"/>
                <w:position w:val="0"/>
                <w:sz w:val="20"/>
                <w:szCs w:val="20"/>
              </w:rPr>
              <w:t>12%</w:t>
            </w:r>
          </w:p>
        </w:tc>
      </w:tr>
      <w:tr w:rsidR="00DF4B55" w:rsidRPr="00D50069" w14:paraId="53C7310A" w14:textId="77777777" w:rsidTr="00D50069">
        <w:trPr>
          <w:cnfStyle w:val="000000100000" w:firstRow="0" w:lastRow="0" w:firstColumn="0" w:lastColumn="0" w:oddVBand="0" w:evenVBand="0" w:oddHBand="1" w:evenHBand="0" w:firstRowFirstColumn="0" w:firstRowLastColumn="0" w:lastRowFirstColumn="0" w:lastRowLastColumn="0"/>
          <w:trHeight w:val="250"/>
        </w:trPr>
        <w:tc>
          <w:tcPr>
            <w:cnfStyle w:val="001000000000" w:firstRow="0" w:lastRow="0" w:firstColumn="1" w:lastColumn="0" w:oddVBand="0" w:evenVBand="0" w:oddHBand="0" w:evenHBand="0" w:firstRowFirstColumn="0" w:firstRowLastColumn="0" w:lastRowFirstColumn="0" w:lastRowLastColumn="0"/>
            <w:tcW w:w="3256" w:type="dxa"/>
            <w:noWrap/>
            <w:hideMark/>
          </w:tcPr>
          <w:p w14:paraId="2D3931A0" w14:textId="77777777" w:rsidR="00D50069" w:rsidRPr="00D50069" w:rsidRDefault="00D50069" w:rsidP="00D50069">
            <w:pPr>
              <w:spacing w:line="480" w:lineRule="auto"/>
              <w:rPr>
                <w:rFonts w:ascii="Arial" w:hAnsi="Arial" w:cs="Arial"/>
                <w:color w:val="000000"/>
                <w:position w:val="0"/>
                <w:sz w:val="20"/>
                <w:szCs w:val="20"/>
              </w:rPr>
            </w:pPr>
            <w:r w:rsidRPr="00D50069">
              <w:rPr>
                <w:rFonts w:ascii="Arial" w:hAnsi="Arial" w:cs="Arial"/>
                <w:color w:val="000000"/>
                <w:position w:val="0"/>
                <w:sz w:val="20"/>
                <w:szCs w:val="20"/>
              </w:rPr>
              <w:t>[3-5] years</w:t>
            </w:r>
          </w:p>
        </w:tc>
        <w:tc>
          <w:tcPr>
            <w:tcW w:w="1275" w:type="dxa"/>
            <w:noWrap/>
            <w:hideMark/>
          </w:tcPr>
          <w:p w14:paraId="063193B5" w14:textId="77777777" w:rsidR="00D50069" w:rsidRPr="00D50069" w:rsidRDefault="00D50069" w:rsidP="00D50069">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position w:val="0"/>
                <w:sz w:val="20"/>
                <w:szCs w:val="20"/>
              </w:rPr>
            </w:pPr>
            <w:r w:rsidRPr="00D50069">
              <w:rPr>
                <w:rFonts w:ascii="Arial" w:hAnsi="Arial" w:cs="Arial"/>
                <w:color w:val="000000"/>
                <w:position w:val="0"/>
                <w:sz w:val="20"/>
                <w:szCs w:val="20"/>
              </w:rPr>
              <w:t>5</w:t>
            </w:r>
          </w:p>
        </w:tc>
        <w:tc>
          <w:tcPr>
            <w:tcW w:w="1276" w:type="dxa"/>
            <w:noWrap/>
            <w:hideMark/>
          </w:tcPr>
          <w:p w14:paraId="36FC2C4B" w14:textId="77777777" w:rsidR="00D50069" w:rsidRPr="00D50069" w:rsidRDefault="00D50069" w:rsidP="00D50069">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position w:val="0"/>
                <w:sz w:val="20"/>
                <w:szCs w:val="20"/>
              </w:rPr>
            </w:pPr>
            <w:r w:rsidRPr="00D50069">
              <w:rPr>
                <w:rFonts w:ascii="Arial" w:hAnsi="Arial" w:cs="Arial"/>
                <w:color w:val="000000"/>
                <w:position w:val="0"/>
                <w:sz w:val="20"/>
                <w:szCs w:val="20"/>
              </w:rPr>
              <w:t>10</w:t>
            </w:r>
          </w:p>
        </w:tc>
        <w:tc>
          <w:tcPr>
            <w:tcW w:w="1227" w:type="dxa"/>
            <w:noWrap/>
            <w:hideMark/>
          </w:tcPr>
          <w:p w14:paraId="033C132A" w14:textId="77777777" w:rsidR="00D50069" w:rsidRPr="00D50069" w:rsidRDefault="00D50069" w:rsidP="00D50069">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position w:val="0"/>
                <w:sz w:val="20"/>
                <w:szCs w:val="20"/>
              </w:rPr>
            </w:pPr>
            <w:r w:rsidRPr="00D50069">
              <w:rPr>
                <w:rFonts w:ascii="Arial" w:hAnsi="Arial" w:cs="Arial"/>
                <w:color w:val="000000"/>
                <w:position w:val="0"/>
                <w:sz w:val="20"/>
                <w:szCs w:val="20"/>
              </w:rPr>
              <w:t>15</w:t>
            </w:r>
          </w:p>
        </w:tc>
        <w:tc>
          <w:tcPr>
            <w:tcW w:w="1349" w:type="dxa"/>
            <w:noWrap/>
            <w:hideMark/>
          </w:tcPr>
          <w:p w14:paraId="32B7E489" w14:textId="77777777" w:rsidR="00D50069" w:rsidRPr="00D50069" w:rsidRDefault="00D50069" w:rsidP="00D50069">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position w:val="0"/>
                <w:sz w:val="20"/>
                <w:szCs w:val="20"/>
              </w:rPr>
            </w:pPr>
            <w:r w:rsidRPr="00D50069">
              <w:rPr>
                <w:rFonts w:ascii="Arial" w:hAnsi="Arial" w:cs="Arial"/>
                <w:color w:val="000000"/>
                <w:position w:val="0"/>
                <w:sz w:val="20"/>
                <w:szCs w:val="20"/>
              </w:rPr>
              <w:t>31%</w:t>
            </w:r>
          </w:p>
        </w:tc>
      </w:tr>
      <w:tr w:rsidR="00D50069" w:rsidRPr="00D50069" w14:paraId="3B1F4B1E" w14:textId="77777777" w:rsidTr="00C141A1">
        <w:trPr>
          <w:trHeight w:val="250"/>
        </w:trPr>
        <w:tc>
          <w:tcPr>
            <w:cnfStyle w:val="001000000000" w:firstRow="0" w:lastRow="0" w:firstColumn="1" w:lastColumn="0" w:oddVBand="0" w:evenVBand="0" w:oddHBand="0" w:evenHBand="0" w:firstRowFirstColumn="0" w:firstRowLastColumn="0" w:lastRowFirstColumn="0" w:lastRowLastColumn="0"/>
            <w:tcW w:w="3256" w:type="dxa"/>
            <w:noWrap/>
            <w:hideMark/>
          </w:tcPr>
          <w:p w14:paraId="1BB1323D" w14:textId="77777777" w:rsidR="00D50069" w:rsidRPr="00D50069" w:rsidRDefault="00D50069" w:rsidP="00D50069">
            <w:pPr>
              <w:spacing w:line="480" w:lineRule="auto"/>
              <w:rPr>
                <w:rFonts w:ascii="Arial" w:hAnsi="Arial" w:cs="Arial"/>
                <w:color w:val="000000"/>
                <w:position w:val="0"/>
                <w:sz w:val="20"/>
                <w:szCs w:val="20"/>
              </w:rPr>
            </w:pPr>
            <w:r w:rsidRPr="00D50069">
              <w:rPr>
                <w:rFonts w:ascii="Arial" w:hAnsi="Arial" w:cs="Arial"/>
                <w:color w:val="000000"/>
                <w:position w:val="0"/>
                <w:sz w:val="20"/>
                <w:szCs w:val="20"/>
              </w:rPr>
              <w:t>[6-10] years</w:t>
            </w:r>
          </w:p>
        </w:tc>
        <w:tc>
          <w:tcPr>
            <w:tcW w:w="1275" w:type="dxa"/>
            <w:noWrap/>
            <w:hideMark/>
          </w:tcPr>
          <w:p w14:paraId="77E10D52" w14:textId="77777777" w:rsidR="00D50069" w:rsidRPr="00D50069" w:rsidRDefault="00D50069" w:rsidP="00D50069">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position w:val="0"/>
                <w:sz w:val="20"/>
                <w:szCs w:val="20"/>
              </w:rPr>
            </w:pPr>
            <w:r w:rsidRPr="00D50069">
              <w:rPr>
                <w:rFonts w:ascii="Arial" w:hAnsi="Arial" w:cs="Arial"/>
                <w:color w:val="000000"/>
                <w:position w:val="0"/>
                <w:sz w:val="20"/>
                <w:szCs w:val="20"/>
              </w:rPr>
              <w:t>7</w:t>
            </w:r>
          </w:p>
        </w:tc>
        <w:tc>
          <w:tcPr>
            <w:tcW w:w="1276" w:type="dxa"/>
            <w:noWrap/>
            <w:hideMark/>
          </w:tcPr>
          <w:p w14:paraId="0FC907B7" w14:textId="77777777" w:rsidR="00D50069" w:rsidRPr="00D50069" w:rsidRDefault="00D50069" w:rsidP="00D50069">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position w:val="0"/>
                <w:sz w:val="20"/>
                <w:szCs w:val="20"/>
              </w:rPr>
            </w:pPr>
            <w:r w:rsidRPr="00D50069">
              <w:rPr>
                <w:rFonts w:ascii="Arial" w:hAnsi="Arial" w:cs="Arial"/>
                <w:color w:val="000000"/>
                <w:position w:val="0"/>
                <w:sz w:val="20"/>
                <w:szCs w:val="20"/>
              </w:rPr>
              <w:t>2</w:t>
            </w:r>
          </w:p>
        </w:tc>
        <w:tc>
          <w:tcPr>
            <w:tcW w:w="1227" w:type="dxa"/>
            <w:noWrap/>
            <w:hideMark/>
          </w:tcPr>
          <w:p w14:paraId="2E39B3F3" w14:textId="77777777" w:rsidR="00D50069" w:rsidRPr="00D50069" w:rsidRDefault="00D50069" w:rsidP="00D50069">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position w:val="0"/>
                <w:sz w:val="20"/>
                <w:szCs w:val="20"/>
              </w:rPr>
            </w:pPr>
            <w:r w:rsidRPr="00D50069">
              <w:rPr>
                <w:rFonts w:ascii="Arial" w:hAnsi="Arial" w:cs="Arial"/>
                <w:color w:val="000000"/>
                <w:position w:val="0"/>
                <w:sz w:val="20"/>
                <w:szCs w:val="20"/>
              </w:rPr>
              <w:t>9</w:t>
            </w:r>
          </w:p>
        </w:tc>
        <w:tc>
          <w:tcPr>
            <w:tcW w:w="1349" w:type="dxa"/>
            <w:noWrap/>
            <w:hideMark/>
          </w:tcPr>
          <w:p w14:paraId="76B93B27" w14:textId="77777777" w:rsidR="00D50069" w:rsidRPr="00D50069" w:rsidRDefault="00D50069" w:rsidP="00D50069">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position w:val="0"/>
                <w:sz w:val="20"/>
                <w:szCs w:val="20"/>
              </w:rPr>
            </w:pPr>
            <w:r w:rsidRPr="00D50069">
              <w:rPr>
                <w:rFonts w:ascii="Arial" w:hAnsi="Arial" w:cs="Arial"/>
                <w:color w:val="000000"/>
                <w:position w:val="0"/>
                <w:sz w:val="20"/>
                <w:szCs w:val="20"/>
              </w:rPr>
              <w:t>18%</w:t>
            </w:r>
          </w:p>
        </w:tc>
      </w:tr>
      <w:tr w:rsidR="00DF4B55" w:rsidRPr="00D50069" w14:paraId="64F3650A" w14:textId="77777777" w:rsidTr="00D50069">
        <w:trPr>
          <w:cnfStyle w:val="000000100000" w:firstRow="0" w:lastRow="0" w:firstColumn="0" w:lastColumn="0" w:oddVBand="0" w:evenVBand="0" w:oddHBand="1" w:evenHBand="0" w:firstRowFirstColumn="0" w:firstRowLastColumn="0" w:lastRowFirstColumn="0" w:lastRowLastColumn="0"/>
          <w:trHeight w:val="250"/>
        </w:trPr>
        <w:tc>
          <w:tcPr>
            <w:cnfStyle w:val="001000000000" w:firstRow="0" w:lastRow="0" w:firstColumn="1" w:lastColumn="0" w:oddVBand="0" w:evenVBand="0" w:oddHBand="0" w:evenHBand="0" w:firstRowFirstColumn="0" w:firstRowLastColumn="0" w:lastRowFirstColumn="0" w:lastRowLastColumn="0"/>
            <w:tcW w:w="3256" w:type="dxa"/>
            <w:noWrap/>
            <w:hideMark/>
          </w:tcPr>
          <w:p w14:paraId="3A9192CB" w14:textId="77777777" w:rsidR="00D50069" w:rsidRPr="00D50069" w:rsidRDefault="00D50069" w:rsidP="00D50069">
            <w:pPr>
              <w:spacing w:line="480" w:lineRule="auto"/>
              <w:rPr>
                <w:rFonts w:ascii="Arial" w:hAnsi="Arial" w:cs="Arial"/>
                <w:color w:val="000000"/>
                <w:position w:val="0"/>
                <w:sz w:val="20"/>
                <w:szCs w:val="20"/>
              </w:rPr>
            </w:pPr>
            <w:r w:rsidRPr="00D50069">
              <w:rPr>
                <w:rFonts w:ascii="Arial" w:hAnsi="Arial" w:cs="Arial"/>
                <w:color w:val="000000"/>
                <w:position w:val="0"/>
                <w:sz w:val="20"/>
                <w:szCs w:val="20"/>
              </w:rPr>
              <w:t>&lt;10 years</w:t>
            </w:r>
          </w:p>
        </w:tc>
        <w:tc>
          <w:tcPr>
            <w:tcW w:w="1275" w:type="dxa"/>
            <w:noWrap/>
            <w:hideMark/>
          </w:tcPr>
          <w:p w14:paraId="7DB947DD" w14:textId="77777777" w:rsidR="00D50069" w:rsidRPr="00D50069" w:rsidRDefault="00D50069" w:rsidP="00D50069">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position w:val="0"/>
                <w:sz w:val="20"/>
                <w:szCs w:val="20"/>
              </w:rPr>
            </w:pPr>
            <w:r w:rsidRPr="00D50069">
              <w:rPr>
                <w:rFonts w:ascii="Arial" w:hAnsi="Arial" w:cs="Arial"/>
                <w:color w:val="000000"/>
                <w:position w:val="0"/>
                <w:sz w:val="20"/>
                <w:szCs w:val="20"/>
              </w:rPr>
              <w:t>6</w:t>
            </w:r>
          </w:p>
        </w:tc>
        <w:tc>
          <w:tcPr>
            <w:tcW w:w="1276" w:type="dxa"/>
            <w:noWrap/>
            <w:hideMark/>
          </w:tcPr>
          <w:p w14:paraId="4806EC7C" w14:textId="77777777" w:rsidR="00D50069" w:rsidRPr="00D50069" w:rsidRDefault="00D50069" w:rsidP="00D50069">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position w:val="0"/>
                <w:sz w:val="20"/>
                <w:szCs w:val="20"/>
              </w:rPr>
            </w:pPr>
            <w:r w:rsidRPr="00D50069">
              <w:rPr>
                <w:rFonts w:ascii="Arial" w:hAnsi="Arial" w:cs="Arial"/>
                <w:color w:val="000000"/>
                <w:position w:val="0"/>
                <w:sz w:val="20"/>
                <w:szCs w:val="20"/>
              </w:rPr>
              <w:t>12</w:t>
            </w:r>
          </w:p>
        </w:tc>
        <w:tc>
          <w:tcPr>
            <w:tcW w:w="1227" w:type="dxa"/>
            <w:noWrap/>
            <w:hideMark/>
          </w:tcPr>
          <w:p w14:paraId="4CAB2CFC" w14:textId="77777777" w:rsidR="00D50069" w:rsidRPr="00D50069" w:rsidRDefault="00D50069" w:rsidP="00D50069">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position w:val="0"/>
                <w:sz w:val="20"/>
                <w:szCs w:val="20"/>
              </w:rPr>
            </w:pPr>
            <w:r w:rsidRPr="00D50069">
              <w:rPr>
                <w:rFonts w:ascii="Arial" w:hAnsi="Arial" w:cs="Arial"/>
                <w:color w:val="000000"/>
                <w:position w:val="0"/>
                <w:sz w:val="20"/>
                <w:szCs w:val="20"/>
              </w:rPr>
              <w:t>18</w:t>
            </w:r>
          </w:p>
        </w:tc>
        <w:tc>
          <w:tcPr>
            <w:tcW w:w="1349" w:type="dxa"/>
            <w:noWrap/>
            <w:hideMark/>
          </w:tcPr>
          <w:p w14:paraId="5DE99484" w14:textId="77777777" w:rsidR="00D50069" w:rsidRPr="00D50069" w:rsidRDefault="00D50069" w:rsidP="00D50069">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position w:val="0"/>
                <w:sz w:val="20"/>
                <w:szCs w:val="20"/>
              </w:rPr>
            </w:pPr>
            <w:r w:rsidRPr="00D50069">
              <w:rPr>
                <w:rFonts w:ascii="Arial" w:hAnsi="Arial" w:cs="Arial"/>
                <w:color w:val="000000"/>
                <w:position w:val="0"/>
                <w:sz w:val="20"/>
                <w:szCs w:val="20"/>
              </w:rPr>
              <w:t>37%</w:t>
            </w:r>
          </w:p>
        </w:tc>
      </w:tr>
      <w:tr w:rsidR="00D50069" w:rsidRPr="00D50069" w14:paraId="21F46787" w14:textId="77777777" w:rsidTr="00C141A1">
        <w:trPr>
          <w:trHeight w:val="250"/>
        </w:trPr>
        <w:tc>
          <w:tcPr>
            <w:cnfStyle w:val="001000000000" w:firstRow="0" w:lastRow="0" w:firstColumn="1" w:lastColumn="0" w:oddVBand="0" w:evenVBand="0" w:oddHBand="0" w:evenHBand="0" w:firstRowFirstColumn="0" w:firstRowLastColumn="0" w:lastRowFirstColumn="0" w:lastRowLastColumn="0"/>
            <w:tcW w:w="3256" w:type="dxa"/>
            <w:noWrap/>
            <w:hideMark/>
          </w:tcPr>
          <w:p w14:paraId="68782FB6" w14:textId="77777777" w:rsidR="00D50069" w:rsidRPr="00D50069" w:rsidRDefault="00D50069" w:rsidP="00D50069">
            <w:pPr>
              <w:spacing w:line="480" w:lineRule="auto"/>
              <w:rPr>
                <w:rFonts w:ascii="Arial" w:hAnsi="Arial" w:cs="Arial"/>
                <w:color w:val="000000"/>
                <w:position w:val="0"/>
                <w:sz w:val="20"/>
                <w:szCs w:val="20"/>
              </w:rPr>
            </w:pPr>
            <w:r w:rsidRPr="00D50069">
              <w:rPr>
                <w:rFonts w:ascii="Arial" w:hAnsi="Arial" w:cs="Arial"/>
                <w:color w:val="000000"/>
                <w:position w:val="0"/>
                <w:sz w:val="20"/>
                <w:szCs w:val="20"/>
              </w:rPr>
              <w:t>&lt;20 years</w:t>
            </w:r>
          </w:p>
        </w:tc>
        <w:tc>
          <w:tcPr>
            <w:tcW w:w="1275" w:type="dxa"/>
            <w:noWrap/>
            <w:hideMark/>
          </w:tcPr>
          <w:p w14:paraId="65CB355A" w14:textId="77777777" w:rsidR="00D50069" w:rsidRPr="00D50069" w:rsidRDefault="00D50069" w:rsidP="00D50069">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position w:val="0"/>
                <w:sz w:val="20"/>
                <w:szCs w:val="20"/>
              </w:rPr>
            </w:pPr>
            <w:r w:rsidRPr="00D50069">
              <w:rPr>
                <w:rFonts w:ascii="Arial" w:hAnsi="Arial" w:cs="Arial"/>
                <w:color w:val="000000"/>
                <w:position w:val="0"/>
                <w:sz w:val="20"/>
                <w:szCs w:val="20"/>
              </w:rPr>
              <w:t>0</w:t>
            </w:r>
          </w:p>
        </w:tc>
        <w:tc>
          <w:tcPr>
            <w:tcW w:w="1276" w:type="dxa"/>
            <w:noWrap/>
            <w:hideMark/>
          </w:tcPr>
          <w:p w14:paraId="3FCAAE8A" w14:textId="77777777" w:rsidR="00D50069" w:rsidRPr="00D50069" w:rsidRDefault="00D50069" w:rsidP="00D50069">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position w:val="0"/>
                <w:sz w:val="20"/>
                <w:szCs w:val="20"/>
              </w:rPr>
            </w:pPr>
            <w:r w:rsidRPr="00D50069">
              <w:rPr>
                <w:rFonts w:ascii="Arial" w:hAnsi="Arial" w:cs="Arial"/>
                <w:color w:val="000000"/>
                <w:position w:val="0"/>
                <w:sz w:val="20"/>
                <w:szCs w:val="20"/>
              </w:rPr>
              <w:t>1</w:t>
            </w:r>
          </w:p>
        </w:tc>
        <w:tc>
          <w:tcPr>
            <w:tcW w:w="1227" w:type="dxa"/>
            <w:noWrap/>
            <w:hideMark/>
          </w:tcPr>
          <w:p w14:paraId="5D96ACBD" w14:textId="77777777" w:rsidR="00D50069" w:rsidRPr="00D50069" w:rsidRDefault="00D50069" w:rsidP="00D50069">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position w:val="0"/>
                <w:sz w:val="20"/>
                <w:szCs w:val="20"/>
              </w:rPr>
            </w:pPr>
            <w:r w:rsidRPr="00D50069">
              <w:rPr>
                <w:rFonts w:ascii="Arial" w:hAnsi="Arial" w:cs="Arial"/>
                <w:color w:val="000000"/>
                <w:position w:val="0"/>
                <w:sz w:val="20"/>
                <w:szCs w:val="20"/>
              </w:rPr>
              <w:t>1</w:t>
            </w:r>
          </w:p>
        </w:tc>
        <w:tc>
          <w:tcPr>
            <w:tcW w:w="1349" w:type="dxa"/>
            <w:noWrap/>
            <w:hideMark/>
          </w:tcPr>
          <w:p w14:paraId="786DA8DF" w14:textId="77777777" w:rsidR="00D50069" w:rsidRPr="00D50069" w:rsidRDefault="00D50069" w:rsidP="00D50069">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position w:val="0"/>
                <w:sz w:val="20"/>
                <w:szCs w:val="20"/>
              </w:rPr>
            </w:pPr>
            <w:r w:rsidRPr="00D50069">
              <w:rPr>
                <w:rFonts w:ascii="Arial" w:hAnsi="Arial" w:cs="Arial"/>
                <w:color w:val="000000"/>
                <w:position w:val="0"/>
                <w:sz w:val="20"/>
                <w:szCs w:val="20"/>
              </w:rPr>
              <w:t>2%</w:t>
            </w:r>
          </w:p>
        </w:tc>
      </w:tr>
      <w:tr w:rsidR="00DF4B55" w:rsidRPr="00D50069" w14:paraId="11A3236E" w14:textId="77777777" w:rsidTr="00D50069">
        <w:trPr>
          <w:cnfStyle w:val="000000100000" w:firstRow="0" w:lastRow="0" w:firstColumn="0" w:lastColumn="0" w:oddVBand="0" w:evenVBand="0" w:oddHBand="1" w:evenHBand="0" w:firstRowFirstColumn="0" w:firstRowLastColumn="0" w:lastRowFirstColumn="0" w:lastRowLastColumn="0"/>
          <w:trHeight w:val="250"/>
        </w:trPr>
        <w:tc>
          <w:tcPr>
            <w:cnfStyle w:val="001000000000" w:firstRow="0" w:lastRow="0" w:firstColumn="1" w:lastColumn="0" w:oddVBand="0" w:evenVBand="0" w:oddHBand="0" w:evenHBand="0" w:firstRowFirstColumn="0" w:firstRowLastColumn="0" w:lastRowFirstColumn="0" w:lastRowLastColumn="0"/>
            <w:tcW w:w="3256" w:type="dxa"/>
            <w:noWrap/>
          </w:tcPr>
          <w:p w14:paraId="38346AE7" w14:textId="77777777" w:rsidR="00D50069" w:rsidRPr="00D50069" w:rsidRDefault="00D50069" w:rsidP="00D50069">
            <w:pPr>
              <w:spacing w:line="480" w:lineRule="auto"/>
              <w:rPr>
                <w:rFonts w:ascii="Arial" w:hAnsi="Arial" w:cs="Arial"/>
                <w:color w:val="000000"/>
                <w:position w:val="0"/>
                <w:sz w:val="20"/>
                <w:szCs w:val="20"/>
              </w:rPr>
            </w:pPr>
          </w:p>
        </w:tc>
        <w:tc>
          <w:tcPr>
            <w:tcW w:w="1275" w:type="dxa"/>
            <w:noWrap/>
          </w:tcPr>
          <w:p w14:paraId="4DF5F6FC" w14:textId="77777777" w:rsidR="00D50069" w:rsidRPr="00D50069" w:rsidRDefault="00D50069" w:rsidP="00D50069">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position w:val="0"/>
                <w:sz w:val="20"/>
                <w:szCs w:val="20"/>
              </w:rPr>
            </w:pPr>
            <w:r w:rsidRPr="00D50069">
              <w:rPr>
                <w:rFonts w:ascii="Arial" w:hAnsi="Arial" w:cs="Arial"/>
                <w:color w:val="000000"/>
                <w:position w:val="0"/>
                <w:sz w:val="20"/>
                <w:szCs w:val="20"/>
              </w:rPr>
              <w:t>20</w:t>
            </w:r>
          </w:p>
        </w:tc>
        <w:tc>
          <w:tcPr>
            <w:tcW w:w="1276" w:type="dxa"/>
            <w:noWrap/>
          </w:tcPr>
          <w:p w14:paraId="7010FDEE" w14:textId="77777777" w:rsidR="00D50069" w:rsidRPr="00D50069" w:rsidRDefault="00D50069" w:rsidP="00D50069">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position w:val="0"/>
                <w:sz w:val="20"/>
                <w:szCs w:val="20"/>
              </w:rPr>
            </w:pPr>
            <w:r w:rsidRPr="00D50069">
              <w:rPr>
                <w:rFonts w:ascii="Arial" w:hAnsi="Arial" w:cs="Arial"/>
                <w:color w:val="000000"/>
                <w:position w:val="0"/>
                <w:sz w:val="20"/>
                <w:szCs w:val="20"/>
              </w:rPr>
              <w:t>29</w:t>
            </w:r>
          </w:p>
        </w:tc>
        <w:tc>
          <w:tcPr>
            <w:tcW w:w="1227" w:type="dxa"/>
            <w:noWrap/>
          </w:tcPr>
          <w:p w14:paraId="56EA923D" w14:textId="77777777" w:rsidR="00D50069" w:rsidRPr="00D50069" w:rsidRDefault="00D50069" w:rsidP="00D50069">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position w:val="0"/>
                <w:sz w:val="20"/>
                <w:szCs w:val="20"/>
              </w:rPr>
            </w:pPr>
            <w:r w:rsidRPr="00D50069">
              <w:rPr>
                <w:rFonts w:ascii="Arial" w:hAnsi="Arial" w:cs="Arial"/>
                <w:color w:val="000000"/>
                <w:position w:val="0"/>
                <w:sz w:val="20"/>
                <w:szCs w:val="20"/>
              </w:rPr>
              <w:t>49</w:t>
            </w:r>
          </w:p>
        </w:tc>
        <w:tc>
          <w:tcPr>
            <w:tcW w:w="1349" w:type="dxa"/>
            <w:noWrap/>
          </w:tcPr>
          <w:p w14:paraId="7FF914E2" w14:textId="77777777" w:rsidR="00D50069" w:rsidRPr="00D50069" w:rsidRDefault="00D50069" w:rsidP="00D50069">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position w:val="0"/>
                <w:sz w:val="20"/>
                <w:szCs w:val="20"/>
              </w:rPr>
            </w:pPr>
            <w:r w:rsidRPr="00D50069">
              <w:rPr>
                <w:rFonts w:ascii="Arial" w:hAnsi="Arial" w:cs="Arial"/>
                <w:color w:val="000000"/>
                <w:position w:val="0"/>
                <w:sz w:val="20"/>
                <w:szCs w:val="20"/>
              </w:rPr>
              <w:t>100%</w:t>
            </w:r>
          </w:p>
        </w:tc>
      </w:tr>
    </w:tbl>
    <w:p w14:paraId="3A92FA38" w14:textId="77777777" w:rsidR="00D50069" w:rsidRPr="00D50069" w:rsidRDefault="00D50069" w:rsidP="00D50069">
      <w:pPr>
        <w:spacing w:after="160" w:line="480" w:lineRule="auto"/>
        <w:jc w:val="both"/>
        <w:rPr>
          <w:rFonts w:eastAsia="Calibri"/>
          <w:i/>
          <w:iCs/>
          <w:kern w:val="2"/>
          <w:position w:val="0"/>
          <w14:ligatures w14:val="standardContextual"/>
        </w:rPr>
      </w:pPr>
    </w:p>
    <w:p w14:paraId="33960638" w14:textId="1C030530" w:rsidR="00D50069" w:rsidRPr="00D50069" w:rsidRDefault="00967422" w:rsidP="00AA5DBF">
      <w:pPr>
        <w:pStyle w:val="Titre1"/>
        <w:rPr>
          <w:rFonts w:eastAsia="Calibri"/>
        </w:rPr>
      </w:pPr>
      <w:bookmarkStart w:id="160" w:name="_Toc200486066"/>
      <w:r>
        <w:rPr>
          <w:rFonts w:eastAsia="Calibri"/>
        </w:rPr>
        <w:t xml:space="preserve">2.1.3 </w:t>
      </w:r>
      <w:r w:rsidR="00D50069" w:rsidRPr="00D50069">
        <w:rPr>
          <w:rFonts w:eastAsia="Calibri"/>
        </w:rPr>
        <w:t>The Study Setting</w:t>
      </w:r>
      <w:bookmarkEnd w:id="160"/>
    </w:p>
    <w:p w14:paraId="08C88FB4" w14:textId="2F8DDA06" w:rsidR="00764879" w:rsidRDefault="00D50069" w:rsidP="00FF74CE">
      <w:pPr>
        <w:spacing w:after="160" w:line="480" w:lineRule="auto"/>
        <w:ind w:firstLine="567"/>
        <w:jc w:val="both"/>
        <w:rPr>
          <w:rFonts w:eastAsia="Calibri"/>
          <w:kern w:val="2"/>
          <w:position w:val="0"/>
          <w14:ligatures w14:val="standardContextual"/>
        </w:rPr>
      </w:pPr>
      <w:r w:rsidRPr="00D50069">
        <w:rPr>
          <w:rFonts w:eastAsia="Calibri"/>
          <w:kern w:val="2"/>
          <w:position w:val="0"/>
          <w14:ligatures w14:val="standardContextual"/>
        </w:rPr>
        <w:t xml:space="preserve">The study </w:t>
      </w:r>
      <w:proofErr w:type="gramStart"/>
      <w:r w:rsidRPr="00D50069">
        <w:rPr>
          <w:rFonts w:eastAsia="Calibri"/>
          <w:kern w:val="2"/>
          <w:position w:val="0"/>
          <w14:ligatures w14:val="standardContextual"/>
        </w:rPr>
        <w:t>was conducted</w:t>
      </w:r>
      <w:proofErr w:type="gramEnd"/>
      <w:r w:rsidRPr="00D50069">
        <w:rPr>
          <w:rFonts w:eastAsia="Calibri"/>
          <w:kern w:val="2"/>
          <w:position w:val="0"/>
          <w14:ligatures w14:val="standardContextual"/>
        </w:rPr>
        <w:t xml:space="preserve"> over a five-month period, from February to June 2025, with middle school teachers of English who are active members of District 4 Online Community in </w:t>
      </w:r>
      <w:proofErr w:type="spellStart"/>
      <w:r w:rsidRPr="00D50069">
        <w:rPr>
          <w:rFonts w:eastAsia="Calibri"/>
          <w:kern w:val="2"/>
          <w:position w:val="0"/>
          <w14:ligatures w14:val="standardContextual"/>
        </w:rPr>
        <w:t>M’sila</w:t>
      </w:r>
      <w:proofErr w:type="spellEnd"/>
      <w:r w:rsidRPr="00D50069">
        <w:rPr>
          <w:rFonts w:eastAsia="Calibri"/>
          <w:kern w:val="2"/>
          <w:position w:val="0"/>
          <w14:ligatures w14:val="standardContextual"/>
        </w:rPr>
        <w:t xml:space="preserve">, Algeria. Therefore, data </w:t>
      </w:r>
      <w:proofErr w:type="gramStart"/>
      <w:r w:rsidRPr="00D50069">
        <w:rPr>
          <w:rFonts w:eastAsia="Calibri"/>
          <w:kern w:val="2"/>
          <w:position w:val="0"/>
          <w14:ligatures w14:val="standardContextual"/>
        </w:rPr>
        <w:t>was collected</w:t>
      </w:r>
      <w:proofErr w:type="gramEnd"/>
      <w:r w:rsidRPr="00D50069">
        <w:rPr>
          <w:rFonts w:eastAsia="Calibri"/>
          <w:kern w:val="2"/>
          <w:position w:val="0"/>
          <w14:ligatures w14:val="standardContextual"/>
        </w:rPr>
        <w:t xml:space="preserve"> from both teachers and the inspector of English, Mr. O</w:t>
      </w:r>
      <w:r w:rsidR="00846EC8">
        <w:rPr>
          <w:rFonts w:eastAsia="Calibri"/>
          <w:kern w:val="2"/>
          <w:position w:val="0"/>
          <w14:ligatures w14:val="standardContextual"/>
        </w:rPr>
        <w:t>THMANI</w:t>
      </w:r>
      <w:r w:rsidRPr="00D50069">
        <w:rPr>
          <w:rFonts w:eastAsia="Calibri"/>
          <w:kern w:val="2"/>
          <w:position w:val="0"/>
          <w14:ligatures w14:val="standardContextual"/>
        </w:rPr>
        <w:t>.</w:t>
      </w:r>
      <w:r w:rsidR="006F3B27">
        <w:rPr>
          <w:rFonts w:eastAsia="Calibri"/>
          <w:kern w:val="2"/>
          <w:position w:val="0"/>
          <w14:ligatures w14:val="standardContextual"/>
        </w:rPr>
        <w:t xml:space="preserve"> </w:t>
      </w:r>
      <w:r w:rsidRPr="00D50069">
        <w:rPr>
          <w:rFonts w:eastAsia="Calibri"/>
          <w:kern w:val="2"/>
          <w:position w:val="0"/>
          <w14:ligatures w14:val="standardContextual"/>
        </w:rPr>
        <w:t xml:space="preserve">K, who is in charge of coordinating and leading this </w:t>
      </w:r>
      <w:proofErr w:type="gramStart"/>
      <w:r w:rsidRPr="00D50069">
        <w:rPr>
          <w:rFonts w:eastAsia="Calibri"/>
          <w:kern w:val="2"/>
          <w:position w:val="0"/>
          <w14:ligatures w14:val="standardContextual"/>
        </w:rPr>
        <w:t>community.</w:t>
      </w:r>
      <w:proofErr w:type="gramEnd"/>
      <w:r w:rsidRPr="00D50069">
        <w:rPr>
          <w:rFonts w:eastAsia="Calibri"/>
          <w:kern w:val="2"/>
          <w:position w:val="0"/>
          <w14:ligatures w14:val="standardContextual"/>
        </w:rPr>
        <w:t xml:space="preserve"> Compared to alternative settings, this </w:t>
      </w:r>
      <w:proofErr w:type="gramStart"/>
      <w:r w:rsidRPr="00D50069">
        <w:rPr>
          <w:rFonts w:eastAsia="Calibri"/>
          <w:kern w:val="2"/>
          <w:position w:val="0"/>
          <w14:ligatures w14:val="standardContextual"/>
        </w:rPr>
        <w:t>was selected</w:t>
      </w:r>
      <w:proofErr w:type="gramEnd"/>
      <w:r w:rsidRPr="00D50069">
        <w:rPr>
          <w:rFonts w:eastAsia="Calibri"/>
          <w:kern w:val="2"/>
          <w:position w:val="0"/>
          <w14:ligatures w14:val="standardContextual"/>
        </w:rPr>
        <w:t xml:space="preserve"> due to its relevance to research objectives, accessibility of participants and the richness of data provided. Further, key stakeholders’ support, particularly the inspector’s, facilitated access to participants, timely data collection and adherence to ethical considerations throughout the research process. </w:t>
      </w:r>
    </w:p>
    <w:p w14:paraId="1D795DF3" w14:textId="59A16B73" w:rsidR="00D50069" w:rsidRPr="00D50069" w:rsidRDefault="00764879" w:rsidP="00FF74CE">
      <w:pPr>
        <w:spacing w:after="160" w:line="480" w:lineRule="auto"/>
        <w:ind w:firstLine="567"/>
        <w:jc w:val="both"/>
        <w:rPr>
          <w:rFonts w:eastAsia="Calibri"/>
          <w:kern w:val="2"/>
          <w:position w:val="0"/>
          <w14:ligatures w14:val="standardContextual"/>
        </w:rPr>
      </w:pPr>
      <w:r>
        <w:rPr>
          <w:rFonts w:eastAsia="Calibri"/>
          <w:kern w:val="2"/>
          <w:position w:val="0"/>
          <w14:ligatures w14:val="standardContextual"/>
        </w:rPr>
        <w:t xml:space="preserve">It is worth mentioning that joining District 4 Online Teacher Community is restricted due to some ethical considerations. </w:t>
      </w:r>
      <w:r w:rsidR="008A76C9">
        <w:rPr>
          <w:rFonts w:eastAsia="Calibri"/>
          <w:kern w:val="2"/>
          <w:position w:val="0"/>
          <w14:ligatures w14:val="standardContextual"/>
        </w:rPr>
        <w:t>It is mandatory for newcomers to answer some questions</w:t>
      </w:r>
      <w:r w:rsidR="00C37609">
        <w:rPr>
          <w:rFonts w:eastAsia="Calibri"/>
          <w:kern w:val="2"/>
          <w:position w:val="0"/>
          <w14:ligatures w14:val="standardContextual"/>
        </w:rPr>
        <w:t xml:space="preserve"> related </w:t>
      </w:r>
      <w:r w:rsidR="00C37609">
        <w:rPr>
          <w:rFonts w:eastAsia="Calibri"/>
          <w:kern w:val="2"/>
          <w:position w:val="0"/>
          <w14:ligatures w14:val="standardContextual"/>
        </w:rPr>
        <w:lastRenderedPageBreak/>
        <w:t>to being</w:t>
      </w:r>
      <w:r w:rsidR="006C0FFA">
        <w:rPr>
          <w:rFonts w:eastAsia="Calibri"/>
          <w:kern w:val="2"/>
          <w:position w:val="0"/>
          <w14:ligatures w14:val="standardContextual"/>
        </w:rPr>
        <w:t xml:space="preserve"> a teacher or not, the grade for teaching and the district this teacher belongs </w:t>
      </w:r>
      <w:proofErr w:type="gramStart"/>
      <w:r w:rsidR="006C0FFA">
        <w:rPr>
          <w:rFonts w:eastAsia="Calibri"/>
          <w:kern w:val="2"/>
          <w:position w:val="0"/>
          <w14:ligatures w14:val="standardContextual"/>
        </w:rPr>
        <w:t>to</w:t>
      </w:r>
      <w:proofErr w:type="gramEnd"/>
      <w:r w:rsidR="006C0FFA">
        <w:rPr>
          <w:rFonts w:eastAsia="Calibri"/>
          <w:kern w:val="2"/>
          <w:position w:val="0"/>
          <w14:ligatures w14:val="standardContextual"/>
        </w:rPr>
        <w:t xml:space="preserve">. Additionally, the admin set some rules to this Facebook group regarding respect and openness. All members </w:t>
      </w:r>
      <w:proofErr w:type="gramStart"/>
      <w:r w:rsidR="006C0FFA">
        <w:rPr>
          <w:rFonts w:eastAsia="Calibri"/>
          <w:kern w:val="2"/>
          <w:position w:val="0"/>
          <w14:ligatures w14:val="standardContextual"/>
        </w:rPr>
        <w:t>are advised</w:t>
      </w:r>
      <w:proofErr w:type="gramEnd"/>
      <w:r w:rsidR="006C0FFA">
        <w:rPr>
          <w:rFonts w:eastAsia="Calibri"/>
          <w:kern w:val="2"/>
          <w:position w:val="0"/>
          <w14:ligatures w14:val="standardContextual"/>
        </w:rPr>
        <w:t xml:space="preserve"> to treat each other with mutual respect of one’s privacy. </w:t>
      </w:r>
      <w:r w:rsidR="00D50069" w:rsidRPr="00D50069">
        <w:rPr>
          <w:rFonts w:eastAsia="Calibri"/>
          <w:kern w:val="2"/>
          <w:position w:val="0"/>
          <w14:ligatures w14:val="standardContextual"/>
        </w:rPr>
        <w:t>This offered reliable data from a more representative sample, feasible within the available timeframe and resources.</w:t>
      </w:r>
    </w:p>
    <w:p w14:paraId="5415F151" w14:textId="223F422B" w:rsidR="00D50069" w:rsidRPr="00D50069" w:rsidRDefault="001A514E" w:rsidP="00AA5DBF">
      <w:pPr>
        <w:pStyle w:val="Titre1"/>
        <w:rPr>
          <w:rFonts w:eastAsia="Calibri"/>
        </w:rPr>
      </w:pPr>
      <w:bookmarkStart w:id="161" w:name="_Toc200486067"/>
      <w:r>
        <w:rPr>
          <w:rFonts w:eastAsia="Calibri"/>
        </w:rPr>
        <w:t xml:space="preserve">2.1.4 </w:t>
      </w:r>
      <w:r w:rsidR="00D50069" w:rsidRPr="00D50069">
        <w:rPr>
          <w:rFonts w:eastAsia="Calibri"/>
        </w:rPr>
        <w:t>Data Collection Tools</w:t>
      </w:r>
      <w:bookmarkEnd w:id="161"/>
    </w:p>
    <w:p w14:paraId="68D7998C" w14:textId="2EF6A1E6" w:rsidR="00D50069" w:rsidRPr="00D50069" w:rsidRDefault="00D50069" w:rsidP="001A514E">
      <w:pPr>
        <w:spacing w:after="160" w:line="480" w:lineRule="auto"/>
        <w:ind w:firstLine="567"/>
        <w:jc w:val="both"/>
        <w:rPr>
          <w:rFonts w:eastAsia="Calibri"/>
          <w:kern w:val="2"/>
          <w:position w:val="0"/>
          <w14:ligatures w14:val="standardContextual"/>
        </w:rPr>
      </w:pPr>
      <w:r w:rsidRPr="00D50069">
        <w:rPr>
          <w:rFonts w:eastAsia="Calibri"/>
          <w:kern w:val="2"/>
          <w:position w:val="0"/>
          <w14:ligatures w14:val="standardContextual"/>
        </w:rPr>
        <w:t xml:space="preserve">To collect data relevant for investigating teachers’ perspectives on summative assessment literacy within online professional communities, three complementary and carefully selected tools </w:t>
      </w:r>
      <w:proofErr w:type="gramStart"/>
      <w:r w:rsidRPr="00D50069">
        <w:rPr>
          <w:rFonts w:eastAsia="Calibri"/>
          <w:kern w:val="2"/>
          <w:position w:val="0"/>
          <w14:ligatures w14:val="standardContextual"/>
        </w:rPr>
        <w:t>were employed</w:t>
      </w:r>
      <w:proofErr w:type="gramEnd"/>
      <w:r w:rsidRPr="00D50069">
        <w:rPr>
          <w:rFonts w:eastAsia="Calibri"/>
          <w:kern w:val="2"/>
          <w:position w:val="0"/>
          <w14:ligatures w14:val="standardContextual"/>
        </w:rPr>
        <w:t xml:space="preserve">. Platform observation served obtaining firsthand insights about how teachers engage in online professional </w:t>
      </w:r>
      <w:proofErr w:type="gramStart"/>
      <w:r w:rsidRPr="00D50069">
        <w:rPr>
          <w:rFonts w:eastAsia="Calibri"/>
          <w:kern w:val="2"/>
          <w:position w:val="0"/>
          <w14:ligatures w14:val="standardContextual"/>
        </w:rPr>
        <w:t>communities,</w:t>
      </w:r>
      <w:proofErr w:type="gramEnd"/>
      <w:r w:rsidRPr="00D50069">
        <w:rPr>
          <w:rFonts w:eastAsia="Calibri"/>
          <w:kern w:val="2"/>
          <w:position w:val="0"/>
          <w14:ligatures w14:val="standardContextual"/>
        </w:rPr>
        <w:t xml:space="preserve"> a participant observation was conducted on District 4 Teacher Corner community. A semi-structured interview </w:t>
      </w:r>
      <w:proofErr w:type="gramStart"/>
      <w:r w:rsidRPr="00D50069">
        <w:rPr>
          <w:rFonts w:eastAsia="Calibri"/>
          <w:kern w:val="2"/>
          <w:position w:val="0"/>
          <w14:ligatures w14:val="standardContextual"/>
        </w:rPr>
        <w:t>was conducted</w:t>
      </w:r>
      <w:proofErr w:type="gramEnd"/>
      <w:r w:rsidRPr="00D50069">
        <w:rPr>
          <w:rFonts w:eastAsia="Calibri"/>
          <w:kern w:val="2"/>
          <w:position w:val="0"/>
          <w14:ligatures w14:val="standardContextual"/>
        </w:rPr>
        <w:t xml:space="preserve"> with some teachers who are active members in this community. Insights from these two initial instruments served as a foundation for constructing the questionnaire highlighting key themes relevant to the study. Both tools </w:t>
      </w:r>
      <w:proofErr w:type="gramStart"/>
      <w:r w:rsidRPr="00D50069">
        <w:rPr>
          <w:rFonts w:eastAsia="Calibri"/>
          <w:kern w:val="2"/>
          <w:position w:val="0"/>
          <w14:ligatures w14:val="standardContextual"/>
        </w:rPr>
        <w:t>were piloted</w:t>
      </w:r>
      <w:proofErr w:type="gramEnd"/>
      <w:r w:rsidRPr="00D50069">
        <w:rPr>
          <w:rFonts w:eastAsia="Calibri"/>
          <w:kern w:val="2"/>
          <w:position w:val="0"/>
          <w14:ligatures w14:val="standardContextual"/>
        </w:rPr>
        <w:t xml:space="preserve"> prior to their official use to detect clarity, appropriateness and relevance issues. In addition, a follow-up interview with the inspector provided richer and more detailed accounts. </w:t>
      </w:r>
    </w:p>
    <w:p w14:paraId="322A89FE" w14:textId="21EEE32C" w:rsidR="00D50069" w:rsidRPr="00D50069" w:rsidRDefault="006139BE" w:rsidP="00AA5DBF">
      <w:pPr>
        <w:pStyle w:val="Titre1"/>
        <w:rPr>
          <w:rFonts w:eastAsia="Calibri"/>
        </w:rPr>
      </w:pPr>
      <w:bookmarkStart w:id="162" w:name="_Toc200486068"/>
      <w:r>
        <w:rPr>
          <w:rFonts w:eastAsia="Calibri"/>
        </w:rPr>
        <w:t xml:space="preserve">2.1.4.1 </w:t>
      </w:r>
      <w:r w:rsidR="00D50069" w:rsidRPr="00D50069">
        <w:rPr>
          <w:rFonts w:eastAsia="Calibri"/>
        </w:rPr>
        <w:t>Platform Observation</w:t>
      </w:r>
      <w:bookmarkEnd w:id="162"/>
    </w:p>
    <w:p w14:paraId="467C711B" w14:textId="3FFF6C6A" w:rsidR="00045563" w:rsidRDefault="00D2405B" w:rsidP="00045563">
      <w:pPr>
        <w:spacing w:after="160" w:line="480" w:lineRule="auto"/>
        <w:ind w:firstLine="567"/>
        <w:contextualSpacing/>
        <w:jc w:val="both"/>
        <w:rPr>
          <w:rFonts w:eastAsia="Calibri"/>
          <w:kern w:val="2"/>
          <w:position w:val="0"/>
          <w14:ligatures w14:val="standardContextual"/>
        </w:rPr>
      </w:pPr>
      <w:r w:rsidRPr="00D2405B">
        <w:rPr>
          <w:rFonts w:eastAsia="Calibri"/>
          <w:kern w:val="2"/>
          <w:position w:val="0"/>
          <w14:ligatures w14:val="standardContextual"/>
        </w:rPr>
        <w:t xml:space="preserve">The Facebook group “District 4 Teacher Corner” </w:t>
      </w:r>
      <w:proofErr w:type="gramStart"/>
      <w:r w:rsidRPr="00D2405B">
        <w:rPr>
          <w:rFonts w:eastAsia="Calibri"/>
          <w:kern w:val="2"/>
          <w:position w:val="0"/>
          <w14:ligatures w14:val="standardContextual"/>
        </w:rPr>
        <w:t>was established</w:t>
      </w:r>
      <w:proofErr w:type="gramEnd"/>
      <w:r w:rsidRPr="00D2405B">
        <w:rPr>
          <w:rFonts w:eastAsia="Calibri"/>
          <w:kern w:val="2"/>
          <w:position w:val="0"/>
          <w14:ligatures w14:val="standardContextual"/>
        </w:rPr>
        <w:t xml:space="preserve"> approximately four years prior, evolving into a significant collaborative digital platform for educators to engage in continuous professional development (CPD). </w:t>
      </w:r>
      <w:proofErr w:type="gramStart"/>
      <w:r w:rsidRPr="00D2405B">
        <w:rPr>
          <w:rFonts w:eastAsia="Calibri"/>
          <w:kern w:val="2"/>
          <w:position w:val="0"/>
          <w14:ligatures w14:val="standardContextual"/>
        </w:rPr>
        <w:t>As member-observers since 2021,</w:t>
      </w:r>
      <w:proofErr w:type="gramEnd"/>
      <w:r w:rsidRPr="00D2405B">
        <w:rPr>
          <w:rFonts w:eastAsia="Calibri"/>
          <w:kern w:val="2"/>
          <w:position w:val="0"/>
          <w14:ligatures w14:val="standardContextual"/>
        </w:rPr>
        <w:t xml:space="preserve"> </w:t>
      </w:r>
      <w:proofErr w:type="gramStart"/>
      <w:r w:rsidRPr="00D2405B">
        <w:rPr>
          <w:rFonts w:eastAsia="Calibri"/>
          <w:kern w:val="2"/>
          <w:position w:val="0"/>
          <w14:ligatures w14:val="standardContextual"/>
        </w:rPr>
        <w:t>the researchers’ observation</w:t>
      </w:r>
      <w:proofErr w:type="gramEnd"/>
      <w:r w:rsidRPr="00D2405B">
        <w:rPr>
          <w:rFonts w:eastAsia="Calibri"/>
          <w:kern w:val="2"/>
          <w:position w:val="0"/>
          <w14:ligatures w14:val="standardContextual"/>
        </w:rPr>
        <w:t xml:space="preserve"> focuses on how teachers exchange knowledge on CPD and assessment practices within the platform's dynamics and shared content. The </w:t>
      </w:r>
      <w:r w:rsidR="00CE2918">
        <w:rPr>
          <w:rFonts w:eastAsia="Calibri"/>
          <w:kern w:val="2"/>
          <w:position w:val="0"/>
          <w14:ligatures w14:val="standardContextual"/>
        </w:rPr>
        <w:t xml:space="preserve">unstructured </w:t>
      </w:r>
      <w:r w:rsidRPr="00D2405B">
        <w:rPr>
          <w:rFonts w:eastAsia="Calibri"/>
          <w:kern w:val="2"/>
          <w:position w:val="0"/>
          <w14:ligatures w14:val="standardContextual"/>
        </w:rPr>
        <w:t xml:space="preserve">observation period </w:t>
      </w:r>
      <w:proofErr w:type="gramStart"/>
      <w:r w:rsidRPr="00D2405B">
        <w:rPr>
          <w:rFonts w:eastAsia="Calibri"/>
          <w:kern w:val="2"/>
          <w:position w:val="0"/>
          <w14:ligatures w14:val="standardContextual"/>
        </w:rPr>
        <w:t>was dedicated</w:t>
      </w:r>
      <w:proofErr w:type="gramEnd"/>
      <w:r w:rsidRPr="00D2405B">
        <w:rPr>
          <w:rFonts w:eastAsia="Calibri"/>
          <w:kern w:val="2"/>
          <w:position w:val="0"/>
          <w14:ligatures w14:val="standardContextual"/>
        </w:rPr>
        <w:t xml:space="preserve"> to examine the dynamics of the group’s activity, post content, and interactions. </w:t>
      </w:r>
    </w:p>
    <w:p w14:paraId="3247CA4E" w14:textId="0EBE4D35" w:rsidR="00045563" w:rsidRDefault="00D50069" w:rsidP="00045563">
      <w:pPr>
        <w:spacing w:after="160" w:line="480" w:lineRule="auto"/>
        <w:ind w:firstLine="567"/>
        <w:contextualSpacing/>
        <w:jc w:val="both"/>
        <w:rPr>
          <w:rFonts w:eastAsia="Calibri"/>
          <w:kern w:val="2"/>
          <w:position w:val="0"/>
          <w14:ligatures w14:val="standardContextual"/>
        </w:rPr>
      </w:pPr>
      <w:r w:rsidRPr="00D50069">
        <w:rPr>
          <w:rFonts w:eastAsia="Calibri"/>
          <w:kern w:val="2"/>
          <w:position w:val="0"/>
          <w14:ligatures w14:val="standardContextual"/>
        </w:rPr>
        <w:lastRenderedPageBreak/>
        <w:t xml:space="preserve"> Initially, </w:t>
      </w:r>
      <w:proofErr w:type="gramStart"/>
      <w:r w:rsidRPr="00D50069">
        <w:rPr>
          <w:rFonts w:eastAsia="Calibri"/>
          <w:kern w:val="2"/>
          <w:position w:val="0"/>
          <w14:ligatures w14:val="standardContextual"/>
        </w:rPr>
        <w:t xml:space="preserve">this group was primarily administered by the inspector, </w:t>
      </w:r>
      <w:r w:rsidR="00A233DD">
        <w:rPr>
          <w:rFonts w:eastAsia="Calibri"/>
          <w:kern w:val="2"/>
          <w:position w:val="0"/>
          <w14:ligatures w14:val="standardContextual"/>
        </w:rPr>
        <w:t xml:space="preserve">Mr. </w:t>
      </w:r>
      <w:proofErr w:type="spellStart"/>
      <w:r w:rsidRPr="00D50069">
        <w:rPr>
          <w:rFonts w:eastAsia="Calibri"/>
          <w:kern w:val="2"/>
          <w:position w:val="0"/>
          <w14:ligatures w14:val="standardContextual"/>
        </w:rPr>
        <w:t>Kamel</w:t>
      </w:r>
      <w:proofErr w:type="spellEnd"/>
      <w:r w:rsidRPr="00D50069">
        <w:rPr>
          <w:rFonts w:eastAsia="Calibri"/>
          <w:kern w:val="2"/>
          <w:position w:val="0"/>
          <w14:ligatures w14:val="standardContextual"/>
        </w:rPr>
        <w:t xml:space="preserve"> </w:t>
      </w:r>
      <w:proofErr w:type="spellStart"/>
      <w:r w:rsidRPr="00D50069">
        <w:rPr>
          <w:rFonts w:eastAsia="Calibri"/>
          <w:kern w:val="2"/>
          <w:position w:val="0"/>
          <w14:ligatures w14:val="standardContextual"/>
        </w:rPr>
        <w:t>Othmani</w:t>
      </w:r>
      <w:proofErr w:type="spellEnd"/>
      <w:proofErr w:type="gramEnd"/>
      <w:r w:rsidRPr="00D50069">
        <w:rPr>
          <w:rFonts w:eastAsia="Calibri"/>
          <w:kern w:val="2"/>
          <w:position w:val="0"/>
          <w14:ligatures w14:val="standardContextual"/>
        </w:rPr>
        <w:t xml:space="preserve">. Membership had grown to over 215 middle school teachers by the end of the 2024-2025 school year. Examination of the administrator's posts reveals a focus on two main areas: teachers' training programs and their assessment practices. The administrator's posts vary in style, ranging from official announcements or requests accompanied by deadlines (e.g., workshops, syllabus check-ins, </w:t>
      </w:r>
      <w:proofErr w:type="gramStart"/>
      <w:r w:rsidRPr="00D50069">
        <w:rPr>
          <w:rFonts w:eastAsia="Calibri"/>
          <w:kern w:val="2"/>
          <w:position w:val="0"/>
          <w14:ligatures w14:val="standardContextual"/>
        </w:rPr>
        <w:t>exam</w:t>
      </w:r>
      <w:proofErr w:type="gramEnd"/>
      <w:r w:rsidRPr="00D50069">
        <w:rPr>
          <w:rFonts w:eastAsia="Calibri"/>
          <w:kern w:val="2"/>
          <w:position w:val="0"/>
          <w14:ligatures w14:val="standardContextual"/>
        </w:rPr>
        <w:t xml:space="preserve"> paper submissions) to motivational messages and positive or constructive feedback. </w:t>
      </w:r>
    </w:p>
    <w:p w14:paraId="262636E0" w14:textId="0AAD37F1" w:rsidR="00D50069" w:rsidRPr="00045563" w:rsidRDefault="00D50069" w:rsidP="00045563">
      <w:pPr>
        <w:spacing w:after="160" w:line="480" w:lineRule="auto"/>
        <w:ind w:firstLine="567"/>
        <w:contextualSpacing/>
        <w:jc w:val="both"/>
        <w:rPr>
          <w:rFonts w:eastAsia="Calibri"/>
          <w:kern w:val="2"/>
          <w:position w:val="0"/>
          <w14:ligatures w14:val="standardContextual"/>
        </w:rPr>
      </w:pPr>
      <w:r w:rsidRPr="00D50069">
        <w:rPr>
          <w:rFonts w:eastAsia="Calibri"/>
          <w:kern w:val="2"/>
          <w:position w:val="0"/>
          <w14:ligatures w14:val="standardContextual"/>
        </w:rPr>
        <w:t xml:space="preserve"> Moreover, several posts frequently solicit teachers’ input, feedback, and participation in surveys or tasks. Notably, there is a recurring theme focusing on providing specific guidance related to lesson planning and aligning sub-learning objectives with related assessment, often informed by observations made during school visits where the administrator (the inspector) actively directs teachers on structuring their lesson plans and understanding students through summative assessment outcomes. In summary, the administrator has a significant role in providing instructional guidance, ensuring administrative compliance, and promoting reflective practice among teachers. The content of shared posts emphasizes a structured approach to improving teaching quality through assessment for learning and fostering ongoing professional growth.</w:t>
      </w:r>
    </w:p>
    <w:p w14:paraId="5E6BFD99" w14:textId="4FA5976F" w:rsidR="00250B23" w:rsidRPr="00250B23" w:rsidRDefault="00137A8B" w:rsidP="00AA5DBF">
      <w:pPr>
        <w:pStyle w:val="Titre1"/>
        <w:rPr>
          <w:rFonts w:eastAsia="Calibri"/>
        </w:rPr>
      </w:pPr>
      <w:bookmarkStart w:id="163" w:name="_Toc200486069"/>
      <w:r>
        <w:rPr>
          <w:rFonts w:eastAsia="Calibri"/>
        </w:rPr>
        <w:t xml:space="preserve">2.1.4.2 </w:t>
      </w:r>
      <w:r w:rsidR="00D50069" w:rsidRPr="00D50069">
        <w:rPr>
          <w:rFonts w:eastAsia="Calibri"/>
        </w:rPr>
        <w:t>The Interviews</w:t>
      </w:r>
      <w:bookmarkEnd w:id="163"/>
    </w:p>
    <w:p w14:paraId="298E8419" w14:textId="77777777" w:rsidR="006632F0" w:rsidRDefault="00D50069" w:rsidP="006632F0">
      <w:pPr>
        <w:spacing w:after="160" w:line="480" w:lineRule="auto"/>
        <w:ind w:firstLine="567"/>
        <w:contextualSpacing/>
        <w:jc w:val="both"/>
        <w:rPr>
          <w:rFonts w:eastAsia="Calibri"/>
          <w:kern w:val="2"/>
          <w:position w:val="0"/>
          <w14:ligatures w14:val="standardContextual"/>
        </w:rPr>
      </w:pPr>
      <w:r w:rsidRPr="00D50069">
        <w:rPr>
          <w:rFonts w:eastAsia="Calibri"/>
          <w:kern w:val="2"/>
          <w:position w:val="0"/>
          <w14:ligatures w14:val="standardContextual"/>
        </w:rPr>
        <w:t xml:space="preserve"> In this study, interviews served as the qualitative method of data collection. Researchers utilized semi-structured interviews to explore the perspectives of six EFL middle school teachers and their supervising inspector. Participation was voluntary, with each individual providing informed consent to share their experiences, thereby contributing to the accuracy of the study. Data collection involved both in-person and digital channels: teachers were interviewed either face-to-face or via social media chat (e.g., Telegram, Messenger), while the </w:t>
      </w:r>
      <w:r w:rsidRPr="00D50069">
        <w:rPr>
          <w:rFonts w:eastAsia="Calibri"/>
          <w:kern w:val="2"/>
          <w:position w:val="0"/>
          <w14:ligatures w14:val="standardContextual"/>
        </w:rPr>
        <w:lastRenderedPageBreak/>
        <w:t xml:space="preserve">inspector, who administered the Facebook group “District 4 Teacher Corner,” was interviewed via Google Meet. </w:t>
      </w:r>
    </w:p>
    <w:p w14:paraId="4DC74D4C" w14:textId="68BCAEE5" w:rsidR="00D50069" w:rsidRPr="00D50069" w:rsidRDefault="00D50069" w:rsidP="006632F0">
      <w:pPr>
        <w:spacing w:after="160" w:line="480" w:lineRule="auto"/>
        <w:ind w:firstLine="567"/>
        <w:contextualSpacing/>
        <w:jc w:val="both"/>
        <w:rPr>
          <w:rFonts w:eastAsia="Calibri"/>
          <w:kern w:val="2"/>
          <w:position w:val="0"/>
          <w14:ligatures w14:val="standardContextual"/>
        </w:rPr>
      </w:pPr>
      <w:r w:rsidRPr="00D50069">
        <w:rPr>
          <w:rFonts w:eastAsia="Calibri"/>
          <w:kern w:val="2"/>
          <w:position w:val="0"/>
          <w14:ligatures w14:val="standardContextual"/>
        </w:rPr>
        <w:t xml:space="preserve">All interviews </w:t>
      </w:r>
      <w:proofErr w:type="gramStart"/>
      <w:r w:rsidRPr="00D50069">
        <w:rPr>
          <w:rFonts w:eastAsia="Calibri"/>
          <w:kern w:val="2"/>
          <w:position w:val="0"/>
          <w14:ligatures w14:val="standardContextual"/>
        </w:rPr>
        <w:t>were recorded and subsequently transcribed</w:t>
      </w:r>
      <w:proofErr w:type="gramEnd"/>
      <w:r w:rsidRPr="00D50069">
        <w:rPr>
          <w:rFonts w:eastAsia="Calibri"/>
          <w:kern w:val="2"/>
          <w:position w:val="0"/>
          <w14:ligatures w14:val="standardContextual"/>
        </w:rPr>
        <w:t xml:space="preserve">. The interview guide </w:t>
      </w:r>
      <w:r w:rsidRPr="00D50069">
        <w:rPr>
          <w:rFonts w:eastAsia="Calibri"/>
          <w:b/>
          <w:bCs/>
          <w:kern w:val="2"/>
          <w:position w:val="0"/>
          <w14:ligatures w14:val="standardContextual"/>
        </w:rPr>
        <w:t>(see append</w:t>
      </w:r>
      <w:r w:rsidR="00B7088C">
        <w:rPr>
          <w:rFonts w:eastAsia="Calibri"/>
          <w:b/>
          <w:bCs/>
          <w:kern w:val="2"/>
          <w:position w:val="0"/>
          <w14:ligatures w14:val="standardContextual"/>
        </w:rPr>
        <w:t xml:space="preserve">ices B </w:t>
      </w:r>
      <w:r w:rsidR="00B7088C" w:rsidRPr="00B7088C">
        <w:rPr>
          <w:rFonts w:eastAsia="Calibri"/>
          <w:kern w:val="2"/>
          <w:position w:val="0"/>
          <w14:ligatures w14:val="standardContextual"/>
        </w:rPr>
        <w:t>and</w:t>
      </w:r>
      <w:r w:rsidR="00B7088C">
        <w:rPr>
          <w:rFonts w:eastAsia="Calibri"/>
          <w:b/>
          <w:bCs/>
          <w:kern w:val="2"/>
          <w:position w:val="0"/>
          <w14:ligatures w14:val="standardContextual"/>
        </w:rPr>
        <w:t xml:space="preserve"> C</w:t>
      </w:r>
      <w:r w:rsidRPr="00D50069">
        <w:rPr>
          <w:rFonts w:eastAsia="Calibri"/>
          <w:b/>
          <w:bCs/>
          <w:kern w:val="2"/>
          <w:position w:val="0"/>
          <w14:ligatures w14:val="standardContextual"/>
        </w:rPr>
        <w:t>)</w:t>
      </w:r>
      <w:r w:rsidRPr="00D50069">
        <w:rPr>
          <w:rFonts w:eastAsia="Calibri"/>
          <w:kern w:val="2"/>
          <w:position w:val="0"/>
          <w14:ligatures w14:val="standardContextual"/>
        </w:rPr>
        <w:t xml:space="preserve"> used open-ended questions related to our research questions and designed to elicit rich answers concerning significant domains, including summative assessment methods, engagement in continuous professional development within online teacher communities, and the process of reflection and evaluation of EFL teaching practices. During the interview, participants were encouraged to provide supplementary insights and perspectives, </w:t>
      </w:r>
      <w:r w:rsidR="00976390" w:rsidRPr="00976390">
        <w:rPr>
          <w:rFonts w:eastAsia="Calibri"/>
          <w:kern w:val="2"/>
          <w:position w:val="0"/>
          <w14:ligatures w14:val="standardContextual"/>
        </w:rPr>
        <w:t xml:space="preserve">which facilitated understanding their teaching experiences. The resulting transcripts </w:t>
      </w:r>
      <w:proofErr w:type="gramStart"/>
      <w:r w:rsidR="00976390" w:rsidRPr="00976390">
        <w:rPr>
          <w:rFonts w:eastAsia="Calibri"/>
          <w:kern w:val="2"/>
          <w:position w:val="0"/>
          <w14:ligatures w14:val="standardContextual"/>
        </w:rPr>
        <w:t>were subjected</w:t>
      </w:r>
      <w:proofErr w:type="gramEnd"/>
      <w:r w:rsidR="00976390" w:rsidRPr="00976390">
        <w:rPr>
          <w:rFonts w:eastAsia="Calibri"/>
          <w:kern w:val="2"/>
          <w:position w:val="0"/>
          <w14:ligatures w14:val="standardContextual"/>
        </w:rPr>
        <w:t xml:space="preserve"> to a rigorous, iterative process of content analysis.</w:t>
      </w:r>
    </w:p>
    <w:p w14:paraId="71ED37F2" w14:textId="0FA7F4A8" w:rsidR="00D50069" w:rsidRPr="00D50069" w:rsidRDefault="00256226" w:rsidP="00AA5DBF">
      <w:pPr>
        <w:pStyle w:val="Titre1"/>
        <w:rPr>
          <w:rFonts w:eastAsia="Calibri"/>
        </w:rPr>
      </w:pPr>
      <w:bookmarkStart w:id="164" w:name="_Toc200486070"/>
      <w:r>
        <w:rPr>
          <w:rFonts w:eastAsia="Calibri"/>
        </w:rPr>
        <w:t xml:space="preserve">2.1.4.3 </w:t>
      </w:r>
      <w:r w:rsidR="00D50069" w:rsidRPr="00D50069">
        <w:rPr>
          <w:rFonts w:eastAsia="Calibri"/>
        </w:rPr>
        <w:t>The Teachers’ Questionnaire</w:t>
      </w:r>
      <w:bookmarkEnd w:id="164"/>
    </w:p>
    <w:p w14:paraId="348828DD" w14:textId="7E27EE31" w:rsidR="00D50069" w:rsidRPr="00D50069" w:rsidRDefault="00256226" w:rsidP="00AA5DBF">
      <w:pPr>
        <w:pStyle w:val="Titre1"/>
        <w:rPr>
          <w:rFonts w:eastAsia="Calibri"/>
        </w:rPr>
      </w:pPr>
      <w:bookmarkStart w:id="165" w:name="_Toc200486071"/>
      <w:r>
        <w:rPr>
          <w:rFonts w:eastAsia="Calibri"/>
        </w:rPr>
        <w:t xml:space="preserve">    2.1.4.3.1 </w:t>
      </w:r>
      <w:r w:rsidR="00D50069" w:rsidRPr="00D50069">
        <w:rPr>
          <w:rFonts w:eastAsia="Calibri"/>
        </w:rPr>
        <w:t>Description of the Questionnaire</w:t>
      </w:r>
      <w:bookmarkEnd w:id="165"/>
    </w:p>
    <w:p w14:paraId="11E15811" w14:textId="77777777" w:rsidR="007700A4" w:rsidRDefault="00D50069" w:rsidP="00256226">
      <w:pPr>
        <w:spacing w:after="160" w:line="480" w:lineRule="auto"/>
        <w:ind w:firstLine="567"/>
        <w:jc w:val="both"/>
        <w:rPr>
          <w:rFonts w:eastAsia="Calibri"/>
          <w:kern w:val="2"/>
          <w:position w:val="0"/>
          <w14:ligatures w14:val="standardContextual"/>
        </w:rPr>
      </w:pPr>
      <w:r w:rsidRPr="00D50069">
        <w:rPr>
          <w:rFonts w:eastAsia="Calibri"/>
          <w:kern w:val="2"/>
          <w:position w:val="0"/>
          <w14:ligatures w14:val="standardContextual"/>
        </w:rPr>
        <w:t xml:space="preserve">The questionnaire is a widely recognized research tool that provides researchers with measurable data. The current study’s questionnaire </w:t>
      </w:r>
      <w:proofErr w:type="gramStart"/>
      <w:r w:rsidRPr="00D50069">
        <w:rPr>
          <w:rFonts w:eastAsia="Calibri"/>
          <w:kern w:val="2"/>
          <w:position w:val="0"/>
          <w14:ligatures w14:val="standardContextual"/>
        </w:rPr>
        <w:t>was designed</w:t>
      </w:r>
      <w:proofErr w:type="gramEnd"/>
      <w:r w:rsidRPr="00D50069">
        <w:rPr>
          <w:rFonts w:eastAsia="Calibri"/>
          <w:kern w:val="2"/>
          <w:position w:val="0"/>
          <w14:ligatures w14:val="standardContextual"/>
        </w:rPr>
        <w:t xml:space="preserve"> to gather quantitative data regarding teachers’ perceptions about online teacher professional communities and summative assessment practices. A careful analysis of platform observation, a thorough reading of both literature and interviewees’ responses and a validated pool of items were enough for developing the questionnaire. It consists of 35 questions divided into four main carefully structured sections that align with the specific research questions and objectives. The first section emphasizes general respondents’ demographic information, the frequency of engaging in and effectiveness of OTCs. </w:t>
      </w:r>
    </w:p>
    <w:p w14:paraId="66947A21" w14:textId="670DA78A" w:rsidR="00D50069" w:rsidRPr="00D50069" w:rsidRDefault="00D50069" w:rsidP="00256226">
      <w:pPr>
        <w:spacing w:after="160" w:line="480" w:lineRule="auto"/>
        <w:ind w:firstLine="567"/>
        <w:jc w:val="both"/>
        <w:rPr>
          <w:rFonts w:eastAsia="Calibri"/>
          <w:kern w:val="2"/>
          <w:position w:val="0"/>
          <w14:ligatures w14:val="standardContextual"/>
        </w:rPr>
      </w:pPr>
      <w:r w:rsidRPr="00D50069">
        <w:rPr>
          <w:rFonts w:eastAsia="Calibri"/>
          <w:kern w:val="2"/>
          <w:position w:val="0"/>
          <w14:ligatures w14:val="standardContextual"/>
        </w:rPr>
        <w:t xml:space="preserve">Section </w:t>
      </w:r>
      <w:proofErr w:type="gramStart"/>
      <w:r w:rsidRPr="00D50069">
        <w:rPr>
          <w:rFonts w:eastAsia="Calibri"/>
          <w:kern w:val="2"/>
          <w:position w:val="0"/>
          <w14:ligatures w14:val="standardContextual"/>
        </w:rPr>
        <w:t>two</w:t>
      </w:r>
      <w:proofErr w:type="gramEnd"/>
      <w:r w:rsidRPr="00D50069">
        <w:rPr>
          <w:rFonts w:eastAsia="Calibri"/>
          <w:kern w:val="2"/>
          <w:position w:val="0"/>
          <w14:ligatures w14:val="standardContextual"/>
        </w:rPr>
        <w:t xml:space="preserve"> comprises 10 closed-ended questions aim to test teachers’ summative assessment overall knowledge within OTCs. The third section entitled “skills” focuses on the ability to design and critically evaluate summative assessment tools through collaborative work. The items include both closed-ended questions using Likert scale, ranging from </w:t>
      </w:r>
      <w:r w:rsidRPr="00D50069">
        <w:rPr>
          <w:rFonts w:eastAsia="Calibri"/>
          <w:kern w:val="2"/>
          <w:position w:val="0"/>
          <w14:ligatures w14:val="standardContextual"/>
        </w:rPr>
        <w:lastRenderedPageBreak/>
        <w:t xml:space="preserve">“strongly disagree” to “strongly agree”, open-ended and other multiple-choice questions.  Lastly, four questions </w:t>
      </w:r>
      <w:proofErr w:type="gramStart"/>
      <w:r w:rsidRPr="00D50069">
        <w:rPr>
          <w:rFonts w:eastAsia="Calibri"/>
          <w:kern w:val="2"/>
          <w:position w:val="0"/>
          <w14:ligatures w14:val="standardContextual"/>
        </w:rPr>
        <w:t>were meant</w:t>
      </w:r>
      <w:proofErr w:type="gramEnd"/>
      <w:r w:rsidRPr="00D50069">
        <w:rPr>
          <w:rFonts w:eastAsia="Calibri"/>
          <w:kern w:val="2"/>
          <w:position w:val="0"/>
          <w14:ligatures w14:val="standardContextual"/>
        </w:rPr>
        <w:t xml:space="preserve"> to depict challenges faced with respect to OTCs and participants’ reflective practices </w:t>
      </w:r>
      <w:r w:rsidRPr="00D50069">
        <w:rPr>
          <w:rFonts w:eastAsia="Calibri"/>
          <w:b/>
          <w:bCs/>
          <w:kern w:val="2"/>
          <w:position w:val="0"/>
          <w14:ligatures w14:val="standardContextual"/>
        </w:rPr>
        <w:t xml:space="preserve">(See Appendix </w:t>
      </w:r>
      <w:r w:rsidR="00440E8B">
        <w:rPr>
          <w:rFonts w:eastAsia="Calibri"/>
          <w:b/>
          <w:bCs/>
          <w:kern w:val="2"/>
          <w:position w:val="0"/>
          <w14:ligatures w14:val="standardContextual"/>
        </w:rPr>
        <w:t>D</w:t>
      </w:r>
      <w:r w:rsidRPr="00D50069">
        <w:rPr>
          <w:rFonts w:eastAsia="Calibri"/>
          <w:b/>
          <w:bCs/>
          <w:kern w:val="2"/>
          <w:position w:val="0"/>
          <w14:ligatures w14:val="standardContextual"/>
        </w:rPr>
        <w:t>)</w:t>
      </w:r>
      <w:r w:rsidRPr="00D50069">
        <w:rPr>
          <w:rFonts w:eastAsia="Calibri"/>
          <w:kern w:val="2"/>
          <w:position w:val="0"/>
          <w14:ligatures w14:val="standardContextual"/>
        </w:rPr>
        <w:t xml:space="preserve">. Key ethical issues such as informed consent, confidentiality, anonymity and the volitional nature of the task </w:t>
      </w:r>
      <w:proofErr w:type="gramStart"/>
      <w:r w:rsidRPr="00D50069">
        <w:rPr>
          <w:rFonts w:eastAsia="Calibri"/>
          <w:kern w:val="2"/>
          <w:position w:val="0"/>
          <w14:ligatures w14:val="standardContextual"/>
        </w:rPr>
        <w:t>were thoughtfully incorporated</w:t>
      </w:r>
      <w:proofErr w:type="gramEnd"/>
      <w:r w:rsidRPr="00D50069">
        <w:rPr>
          <w:rFonts w:eastAsia="Calibri"/>
          <w:kern w:val="2"/>
          <w:position w:val="0"/>
          <w14:ligatures w14:val="standardContextual"/>
        </w:rPr>
        <w:t xml:space="preserve"> into the study. </w:t>
      </w:r>
      <w:r w:rsidRPr="00D50069">
        <w:rPr>
          <w:rFonts w:eastAsia="Calibri"/>
          <w:b/>
          <w:bCs/>
          <w:kern w:val="2"/>
          <w:position w:val="0"/>
          <w14:ligatures w14:val="standardContextual"/>
        </w:rPr>
        <w:t>Table 0</w:t>
      </w:r>
      <w:r w:rsidR="00263308">
        <w:rPr>
          <w:rFonts w:eastAsia="Calibri"/>
          <w:b/>
          <w:bCs/>
          <w:kern w:val="2"/>
          <w:position w:val="0"/>
          <w14:ligatures w14:val="standardContextual"/>
        </w:rPr>
        <w:t>4</w:t>
      </w:r>
      <w:r w:rsidRPr="00D50069">
        <w:rPr>
          <w:rFonts w:eastAsia="Calibri"/>
          <w:kern w:val="2"/>
          <w:position w:val="0"/>
          <w14:ligatures w14:val="standardContextual"/>
        </w:rPr>
        <w:t xml:space="preserve"> below demonstrates the questionnaire’s sections and items.</w:t>
      </w:r>
    </w:p>
    <w:p w14:paraId="7668B13A" w14:textId="45953D5E" w:rsidR="00090211" w:rsidRDefault="00D50069" w:rsidP="00090211">
      <w:pPr>
        <w:keepNext/>
        <w:spacing w:after="200" w:line="276" w:lineRule="auto"/>
        <w:rPr>
          <w:rFonts w:eastAsia="Calibri"/>
          <w:b/>
          <w:bCs/>
          <w:kern w:val="2"/>
          <w:position w:val="0"/>
          <w14:ligatures w14:val="standardContextual"/>
        </w:rPr>
      </w:pPr>
      <w:bookmarkStart w:id="166" w:name="_Toc199832001"/>
      <w:bookmarkStart w:id="167" w:name="_Toc199832370"/>
      <w:bookmarkStart w:id="168" w:name="_Toc200446652"/>
      <w:r w:rsidRPr="00D50069">
        <w:rPr>
          <w:rFonts w:eastAsia="Calibri"/>
          <w:b/>
          <w:bCs/>
          <w:kern w:val="2"/>
          <w:position w:val="0"/>
          <w14:ligatures w14:val="standardContextual"/>
        </w:rPr>
        <w:t xml:space="preserve">Table </w:t>
      </w:r>
      <w:r w:rsidR="00274F6F" w:rsidRPr="00F57FBA">
        <w:rPr>
          <w:rFonts w:eastAsia="Calibri"/>
          <w:b/>
          <w:bCs/>
          <w:kern w:val="2"/>
          <w:position w:val="0"/>
          <w14:ligatures w14:val="standardContextual"/>
        </w:rPr>
        <w:fldChar w:fldCharType="begin"/>
      </w:r>
      <w:r w:rsidR="00274F6F" w:rsidRPr="00F57FBA">
        <w:rPr>
          <w:rFonts w:eastAsia="Calibri"/>
          <w:b/>
          <w:bCs/>
          <w:kern w:val="2"/>
          <w:position w:val="0"/>
          <w14:ligatures w14:val="standardContextual"/>
        </w:rPr>
        <w:instrText xml:space="preserve"> SEQ Table \* ARABIC </w:instrText>
      </w:r>
      <w:r w:rsidR="00274F6F" w:rsidRPr="00F57FBA">
        <w:rPr>
          <w:rFonts w:eastAsia="Calibri"/>
          <w:b/>
          <w:bCs/>
          <w:kern w:val="2"/>
          <w:position w:val="0"/>
          <w14:ligatures w14:val="standardContextual"/>
        </w:rPr>
        <w:fldChar w:fldCharType="separate"/>
      </w:r>
      <w:r w:rsidR="00DC3231">
        <w:rPr>
          <w:rFonts w:eastAsia="Calibri"/>
          <w:b/>
          <w:bCs/>
          <w:noProof/>
          <w:kern w:val="2"/>
          <w:position w:val="0"/>
          <w14:ligatures w14:val="standardContextual"/>
        </w:rPr>
        <w:t>4</w:t>
      </w:r>
      <w:r w:rsidR="00274F6F" w:rsidRPr="00F57FBA">
        <w:rPr>
          <w:rFonts w:eastAsia="Calibri"/>
          <w:b/>
          <w:bCs/>
          <w:kern w:val="2"/>
          <w:position w:val="0"/>
          <w14:ligatures w14:val="standardContextual"/>
        </w:rPr>
        <w:fldChar w:fldCharType="end"/>
      </w:r>
    </w:p>
    <w:p w14:paraId="691E27A4" w14:textId="6FD5C162" w:rsidR="00D50069" w:rsidRPr="00D50069" w:rsidRDefault="00D50069" w:rsidP="00090211">
      <w:pPr>
        <w:keepNext/>
        <w:spacing w:after="200" w:line="276" w:lineRule="auto"/>
        <w:rPr>
          <w:rFonts w:eastAsia="Calibri"/>
          <w:b/>
          <w:bCs/>
          <w:i/>
          <w:iCs/>
          <w:kern w:val="2"/>
          <w:position w:val="0"/>
          <w14:ligatures w14:val="standardContextual"/>
        </w:rPr>
      </w:pPr>
      <w:r w:rsidRPr="00D50069">
        <w:rPr>
          <w:rFonts w:eastAsia="Calibri"/>
          <w:b/>
          <w:bCs/>
          <w:i/>
          <w:iCs/>
          <w:kern w:val="2"/>
          <w:position w:val="0"/>
          <w14:ligatures w14:val="standardContextual"/>
        </w:rPr>
        <w:t xml:space="preserve"> </w:t>
      </w:r>
      <w:r w:rsidRPr="00176D95">
        <w:rPr>
          <w:rFonts w:eastAsia="Calibri"/>
          <w:kern w:val="2"/>
          <w:position w:val="0"/>
          <w14:ligatures w14:val="standardContextual"/>
        </w:rPr>
        <w:t>Description of the Questionnaire</w:t>
      </w:r>
      <w:bookmarkEnd w:id="166"/>
      <w:bookmarkEnd w:id="167"/>
      <w:bookmarkEnd w:id="168"/>
    </w:p>
    <w:tbl>
      <w:tblPr>
        <w:tblStyle w:val="TableGrid4"/>
        <w:tblW w:w="0" w:type="auto"/>
        <w:tblLook w:val="04A0" w:firstRow="1" w:lastRow="0" w:firstColumn="1" w:lastColumn="0" w:noHBand="0" w:noVBand="1"/>
      </w:tblPr>
      <w:tblGrid>
        <w:gridCol w:w="901"/>
        <w:gridCol w:w="336"/>
        <w:gridCol w:w="2432"/>
        <w:gridCol w:w="1183"/>
        <w:gridCol w:w="1807"/>
        <w:gridCol w:w="2358"/>
      </w:tblGrid>
      <w:tr w:rsidR="00D50069" w:rsidRPr="00D50069" w14:paraId="4108F039" w14:textId="77777777" w:rsidTr="00C141A1">
        <w:tc>
          <w:tcPr>
            <w:tcW w:w="1242" w:type="dxa"/>
            <w:gridSpan w:val="2"/>
          </w:tcPr>
          <w:p w14:paraId="44E3AEBF" w14:textId="77777777" w:rsidR="00D50069" w:rsidRPr="00D50069" w:rsidRDefault="00D50069" w:rsidP="00090211">
            <w:pPr>
              <w:spacing w:line="360" w:lineRule="auto"/>
              <w:jc w:val="both"/>
              <w:rPr>
                <w:rFonts w:ascii="Times New Roman" w:hAnsi="Times New Roman" w:cs="Times New Roman"/>
                <w:b/>
                <w:bCs/>
                <w:position w:val="0"/>
              </w:rPr>
            </w:pPr>
            <w:r w:rsidRPr="00D50069">
              <w:rPr>
                <w:rFonts w:ascii="Times New Roman" w:hAnsi="Times New Roman" w:cs="Times New Roman"/>
                <w:b/>
                <w:bCs/>
                <w:position w:val="0"/>
              </w:rPr>
              <w:t>Section</w:t>
            </w:r>
          </w:p>
        </w:tc>
        <w:tc>
          <w:tcPr>
            <w:tcW w:w="2446" w:type="dxa"/>
          </w:tcPr>
          <w:p w14:paraId="6DB3AC00" w14:textId="77777777" w:rsidR="00D50069" w:rsidRPr="00D50069" w:rsidRDefault="00D50069" w:rsidP="00090211">
            <w:pPr>
              <w:spacing w:line="360" w:lineRule="auto"/>
              <w:jc w:val="both"/>
              <w:rPr>
                <w:rFonts w:ascii="Times New Roman" w:hAnsi="Times New Roman" w:cs="Times New Roman"/>
                <w:b/>
                <w:bCs/>
                <w:position w:val="0"/>
              </w:rPr>
            </w:pPr>
            <w:r w:rsidRPr="00D50069">
              <w:rPr>
                <w:rFonts w:ascii="Times New Roman" w:hAnsi="Times New Roman" w:cs="Times New Roman"/>
                <w:b/>
                <w:bCs/>
                <w:position w:val="0"/>
              </w:rPr>
              <w:t>Focus</w:t>
            </w:r>
          </w:p>
        </w:tc>
        <w:tc>
          <w:tcPr>
            <w:tcW w:w="1186" w:type="dxa"/>
          </w:tcPr>
          <w:p w14:paraId="20DA7B4E" w14:textId="77777777" w:rsidR="00D50069" w:rsidRPr="00D50069" w:rsidRDefault="00D50069" w:rsidP="00090211">
            <w:pPr>
              <w:spacing w:line="360" w:lineRule="auto"/>
              <w:rPr>
                <w:rFonts w:ascii="Times New Roman" w:hAnsi="Times New Roman" w:cs="Times New Roman"/>
                <w:b/>
                <w:bCs/>
                <w:position w:val="0"/>
              </w:rPr>
            </w:pPr>
            <w:r w:rsidRPr="00D50069">
              <w:rPr>
                <w:rFonts w:ascii="Times New Roman" w:hAnsi="Times New Roman" w:cs="Times New Roman"/>
                <w:b/>
                <w:bCs/>
                <w:position w:val="0"/>
              </w:rPr>
              <w:t>Number of Items</w:t>
            </w:r>
          </w:p>
        </w:tc>
        <w:tc>
          <w:tcPr>
            <w:tcW w:w="1817" w:type="dxa"/>
          </w:tcPr>
          <w:p w14:paraId="78B92A30" w14:textId="77777777" w:rsidR="00D50069" w:rsidRPr="00D50069" w:rsidRDefault="00D50069" w:rsidP="00090211">
            <w:pPr>
              <w:spacing w:line="360" w:lineRule="auto"/>
              <w:jc w:val="both"/>
              <w:rPr>
                <w:rFonts w:ascii="Times New Roman" w:hAnsi="Times New Roman" w:cs="Times New Roman"/>
                <w:b/>
                <w:bCs/>
                <w:position w:val="0"/>
              </w:rPr>
            </w:pPr>
            <w:r w:rsidRPr="00D50069">
              <w:rPr>
                <w:rFonts w:ascii="Times New Roman" w:hAnsi="Times New Roman" w:cs="Times New Roman"/>
                <w:b/>
                <w:bCs/>
                <w:position w:val="0"/>
              </w:rPr>
              <w:t>Question Types</w:t>
            </w:r>
          </w:p>
        </w:tc>
        <w:tc>
          <w:tcPr>
            <w:tcW w:w="2371" w:type="dxa"/>
          </w:tcPr>
          <w:p w14:paraId="72945EE2" w14:textId="77777777" w:rsidR="00D50069" w:rsidRPr="00D50069" w:rsidRDefault="00D50069" w:rsidP="00090211">
            <w:pPr>
              <w:spacing w:line="360" w:lineRule="auto"/>
              <w:jc w:val="both"/>
              <w:rPr>
                <w:rFonts w:ascii="Times New Roman" w:hAnsi="Times New Roman" w:cs="Times New Roman"/>
                <w:b/>
                <w:bCs/>
                <w:position w:val="0"/>
              </w:rPr>
            </w:pPr>
            <w:r w:rsidRPr="00D50069">
              <w:rPr>
                <w:rFonts w:ascii="Times New Roman" w:hAnsi="Times New Roman" w:cs="Times New Roman"/>
                <w:b/>
                <w:bCs/>
                <w:position w:val="0"/>
              </w:rPr>
              <w:t>Objective</w:t>
            </w:r>
          </w:p>
        </w:tc>
      </w:tr>
      <w:tr w:rsidR="00D50069" w:rsidRPr="00D50069" w14:paraId="237CE55B" w14:textId="77777777" w:rsidTr="00C141A1">
        <w:tc>
          <w:tcPr>
            <w:tcW w:w="1242" w:type="dxa"/>
            <w:gridSpan w:val="2"/>
          </w:tcPr>
          <w:p w14:paraId="0EF498BF" w14:textId="77777777" w:rsidR="00D50069" w:rsidRPr="00D50069" w:rsidRDefault="00D50069" w:rsidP="00090211">
            <w:pPr>
              <w:spacing w:line="360" w:lineRule="auto"/>
              <w:jc w:val="center"/>
              <w:rPr>
                <w:rFonts w:ascii="Times New Roman" w:hAnsi="Times New Roman" w:cs="Times New Roman"/>
                <w:b/>
                <w:bCs/>
                <w:position w:val="0"/>
              </w:rPr>
            </w:pPr>
            <w:r w:rsidRPr="00D50069">
              <w:rPr>
                <w:rFonts w:ascii="Times New Roman" w:hAnsi="Times New Roman" w:cs="Times New Roman"/>
                <w:b/>
                <w:bCs/>
                <w:position w:val="0"/>
              </w:rPr>
              <w:t>A</w:t>
            </w:r>
          </w:p>
        </w:tc>
        <w:tc>
          <w:tcPr>
            <w:tcW w:w="2446" w:type="dxa"/>
          </w:tcPr>
          <w:p w14:paraId="5894894A" w14:textId="77777777" w:rsidR="00D50069" w:rsidRPr="00D50069" w:rsidRDefault="00D50069" w:rsidP="00090211">
            <w:pPr>
              <w:spacing w:line="360" w:lineRule="auto"/>
              <w:rPr>
                <w:rFonts w:ascii="Times New Roman" w:hAnsi="Times New Roman" w:cs="Times New Roman"/>
                <w:position w:val="0"/>
              </w:rPr>
            </w:pPr>
            <w:r w:rsidRPr="00D50069">
              <w:rPr>
                <w:rFonts w:ascii="Times New Roman" w:hAnsi="Times New Roman" w:cs="Times New Roman"/>
                <w:position w:val="0"/>
              </w:rPr>
              <w:t>Demographic information</w:t>
            </w:r>
          </w:p>
          <w:p w14:paraId="5563B4AC" w14:textId="77777777" w:rsidR="00D50069" w:rsidRPr="00D50069" w:rsidRDefault="00D50069" w:rsidP="00090211">
            <w:pPr>
              <w:spacing w:line="360" w:lineRule="auto"/>
              <w:rPr>
                <w:rFonts w:ascii="Times New Roman" w:hAnsi="Times New Roman" w:cs="Times New Roman"/>
                <w:position w:val="0"/>
              </w:rPr>
            </w:pPr>
            <w:r w:rsidRPr="00D50069">
              <w:rPr>
                <w:rFonts w:ascii="Times New Roman" w:hAnsi="Times New Roman" w:cs="Times New Roman"/>
                <w:position w:val="0"/>
              </w:rPr>
              <w:t>and attitude, frequency and aim of engagement in OTCs</w:t>
            </w:r>
          </w:p>
        </w:tc>
        <w:tc>
          <w:tcPr>
            <w:tcW w:w="1186" w:type="dxa"/>
          </w:tcPr>
          <w:p w14:paraId="6D170DB0" w14:textId="77777777" w:rsidR="00D50069" w:rsidRPr="00D50069" w:rsidRDefault="00D50069" w:rsidP="00090211">
            <w:pPr>
              <w:spacing w:line="360" w:lineRule="auto"/>
              <w:jc w:val="center"/>
              <w:rPr>
                <w:rFonts w:ascii="Times New Roman" w:hAnsi="Times New Roman" w:cs="Times New Roman"/>
                <w:position w:val="0"/>
              </w:rPr>
            </w:pPr>
            <w:r w:rsidRPr="00D50069">
              <w:rPr>
                <w:rFonts w:ascii="Times New Roman" w:hAnsi="Times New Roman" w:cs="Times New Roman"/>
                <w:position w:val="0"/>
              </w:rPr>
              <w:t>07 items</w:t>
            </w:r>
          </w:p>
        </w:tc>
        <w:tc>
          <w:tcPr>
            <w:tcW w:w="1817" w:type="dxa"/>
          </w:tcPr>
          <w:p w14:paraId="287505A9" w14:textId="77777777" w:rsidR="00D50069" w:rsidRPr="00D50069" w:rsidRDefault="00D50069" w:rsidP="00090211">
            <w:pPr>
              <w:spacing w:line="360" w:lineRule="auto"/>
              <w:rPr>
                <w:rFonts w:ascii="Times New Roman" w:hAnsi="Times New Roman" w:cs="Times New Roman"/>
                <w:position w:val="0"/>
              </w:rPr>
            </w:pPr>
            <w:r w:rsidRPr="00D50069">
              <w:rPr>
                <w:rFonts w:ascii="Times New Roman" w:hAnsi="Times New Roman" w:cs="Times New Roman"/>
                <w:position w:val="0"/>
              </w:rPr>
              <w:t>Closed ended</w:t>
            </w:r>
          </w:p>
          <w:p w14:paraId="2C66ED73" w14:textId="77777777" w:rsidR="00D50069" w:rsidRPr="00D50069" w:rsidRDefault="00D50069" w:rsidP="00090211">
            <w:pPr>
              <w:spacing w:line="360" w:lineRule="auto"/>
              <w:rPr>
                <w:rFonts w:ascii="Times New Roman" w:hAnsi="Times New Roman" w:cs="Times New Roman"/>
                <w:position w:val="0"/>
              </w:rPr>
            </w:pPr>
            <w:r w:rsidRPr="00D50069">
              <w:rPr>
                <w:rFonts w:ascii="Times New Roman" w:hAnsi="Times New Roman" w:cs="Times New Roman"/>
                <w:position w:val="0"/>
              </w:rPr>
              <w:t>Open ended</w:t>
            </w:r>
          </w:p>
          <w:p w14:paraId="03B03271" w14:textId="77777777" w:rsidR="00D50069" w:rsidRPr="00D50069" w:rsidRDefault="00D50069" w:rsidP="00090211">
            <w:pPr>
              <w:spacing w:line="360" w:lineRule="auto"/>
              <w:rPr>
                <w:rFonts w:ascii="Times New Roman" w:hAnsi="Times New Roman" w:cs="Times New Roman"/>
                <w:position w:val="0"/>
              </w:rPr>
            </w:pPr>
            <w:r w:rsidRPr="00D50069">
              <w:rPr>
                <w:rFonts w:ascii="Times New Roman" w:hAnsi="Times New Roman" w:cs="Times New Roman"/>
                <w:position w:val="0"/>
              </w:rPr>
              <w:t>Multiple choice</w:t>
            </w:r>
          </w:p>
        </w:tc>
        <w:tc>
          <w:tcPr>
            <w:tcW w:w="2371" w:type="dxa"/>
          </w:tcPr>
          <w:p w14:paraId="198BCE7A" w14:textId="77777777" w:rsidR="00D50069" w:rsidRPr="00D50069" w:rsidRDefault="00D50069" w:rsidP="00090211">
            <w:pPr>
              <w:spacing w:line="360" w:lineRule="auto"/>
              <w:rPr>
                <w:rFonts w:ascii="Times New Roman" w:hAnsi="Times New Roman" w:cs="Times New Roman"/>
                <w:position w:val="0"/>
              </w:rPr>
            </w:pPr>
            <w:r w:rsidRPr="00D50069">
              <w:rPr>
                <w:rFonts w:ascii="Times New Roman" w:hAnsi="Times New Roman" w:cs="Times New Roman"/>
                <w:position w:val="0"/>
              </w:rPr>
              <w:t xml:space="preserve">To gather background information necessary for interpretation and discussion </w:t>
            </w:r>
          </w:p>
        </w:tc>
      </w:tr>
      <w:tr w:rsidR="00D50069" w:rsidRPr="00D50069" w14:paraId="189D2D7C" w14:textId="77777777" w:rsidTr="00C141A1">
        <w:tc>
          <w:tcPr>
            <w:tcW w:w="1242" w:type="dxa"/>
            <w:gridSpan w:val="2"/>
          </w:tcPr>
          <w:p w14:paraId="09778F08" w14:textId="77777777" w:rsidR="00D50069" w:rsidRPr="00D50069" w:rsidRDefault="00D50069" w:rsidP="00090211">
            <w:pPr>
              <w:spacing w:line="360" w:lineRule="auto"/>
              <w:jc w:val="center"/>
              <w:rPr>
                <w:rFonts w:ascii="Times New Roman" w:hAnsi="Times New Roman" w:cs="Times New Roman"/>
                <w:b/>
                <w:bCs/>
                <w:position w:val="0"/>
              </w:rPr>
            </w:pPr>
            <w:r w:rsidRPr="00D50069">
              <w:rPr>
                <w:rFonts w:ascii="Times New Roman" w:hAnsi="Times New Roman" w:cs="Times New Roman"/>
                <w:b/>
                <w:bCs/>
                <w:position w:val="0"/>
              </w:rPr>
              <w:t>B</w:t>
            </w:r>
          </w:p>
        </w:tc>
        <w:tc>
          <w:tcPr>
            <w:tcW w:w="2446" w:type="dxa"/>
          </w:tcPr>
          <w:p w14:paraId="4AB6D782" w14:textId="77777777" w:rsidR="00D50069" w:rsidRPr="00D50069" w:rsidRDefault="00D50069" w:rsidP="00090211">
            <w:pPr>
              <w:spacing w:line="360" w:lineRule="auto"/>
              <w:jc w:val="both"/>
              <w:rPr>
                <w:rFonts w:ascii="Times New Roman" w:hAnsi="Times New Roman" w:cs="Times New Roman"/>
                <w:position w:val="0"/>
              </w:rPr>
            </w:pPr>
            <w:r w:rsidRPr="00D50069">
              <w:rPr>
                <w:rFonts w:ascii="Times New Roman" w:hAnsi="Times New Roman" w:cs="Times New Roman"/>
                <w:position w:val="0"/>
              </w:rPr>
              <w:t>Knowledge about summative assessment</w:t>
            </w:r>
          </w:p>
        </w:tc>
        <w:tc>
          <w:tcPr>
            <w:tcW w:w="1186" w:type="dxa"/>
          </w:tcPr>
          <w:p w14:paraId="63767981" w14:textId="77777777" w:rsidR="00D50069" w:rsidRPr="00D50069" w:rsidRDefault="00D50069" w:rsidP="00090211">
            <w:pPr>
              <w:spacing w:line="360" w:lineRule="auto"/>
              <w:jc w:val="center"/>
              <w:rPr>
                <w:rFonts w:ascii="Times New Roman" w:hAnsi="Times New Roman" w:cs="Times New Roman"/>
                <w:position w:val="0"/>
              </w:rPr>
            </w:pPr>
            <w:r w:rsidRPr="00D50069">
              <w:rPr>
                <w:rFonts w:ascii="Times New Roman" w:hAnsi="Times New Roman" w:cs="Times New Roman"/>
                <w:position w:val="0"/>
              </w:rPr>
              <w:t>10 items</w:t>
            </w:r>
          </w:p>
        </w:tc>
        <w:tc>
          <w:tcPr>
            <w:tcW w:w="1817" w:type="dxa"/>
          </w:tcPr>
          <w:p w14:paraId="53203D8D" w14:textId="77777777" w:rsidR="00D50069" w:rsidRPr="00D50069" w:rsidRDefault="00D50069" w:rsidP="00090211">
            <w:pPr>
              <w:spacing w:line="360" w:lineRule="auto"/>
              <w:rPr>
                <w:rFonts w:ascii="Times New Roman" w:hAnsi="Times New Roman" w:cs="Times New Roman"/>
                <w:position w:val="0"/>
              </w:rPr>
            </w:pPr>
            <w:r w:rsidRPr="00D50069">
              <w:rPr>
                <w:rFonts w:ascii="Times New Roman" w:hAnsi="Times New Roman" w:cs="Times New Roman"/>
                <w:position w:val="0"/>
              </w:rPr>
              <w:t>Likert Scale</w:t>
            </w:r>
          </w:p>
        </w:tc>
        <w:tc>
          <w:tcPr>
            <w:tcW w:w="2371" w:type="dxa"/>
          </w:tcPr>
          <w:p w14:paraId="16E63573" w14:textId="77777777" w:rsidR="00D50069" w:rsidRPr="00D50069" w:rsidRDefault="00D50069" w:rsidP="00090211">
            <w:pPr>
              <w:spacing w:line="360" w:lineRule="auto"/>
              <w:rPr>
                <w:rFonts w:ascii="Times New Roman" w:hAnsi="Times New Roman" w:cs="Times New Roman"/>
                <w:position w:val="0"/>
              </w:rPr>
            </w:pPr>
            <w:r w:rsidRPr="00D50069">
              <w:rPr>
                <w:rFonts w:ascii="Times New Roman" w:hAnsi="Times New Roman" w:cs="Times New Roman"/>
                <w:position w:val="0"/>
              </w:rPr>
              <w:t xml:space="preserve">To explore the impact of OTCs on teachers’ knowledge about summative assessment </w:t>
            </w:r>
          </w:p>
        </w:tc>
      </w:tr>
      <w:tr w:rsidR="00D50069" w:rsidRPr="00D50069" w14:paraId="30671EEF" w14:textId="77777777" w:rsidTr="00C141A1">
        <w:trPr>
          <w:trHeight w:val="205"/>
        </w:trPr>
        <w:tc>
          <w:tcPr>
            <w:tcW w:w="906" w:type="dxa"/>
            <w:vMerge w:val="restart"/>
          </w:tcPr>
          <w:p w14:paraId="60E6A412" w14:textId="77777777" w:rsidR="00D50069" w:rsidRPr="00D50069" w:rsidRDefault="00D50069" w:rsidP="00090211">
            <w:pPr>
              <w:spacing w:line="360" w:lineRule="auto"/>
              <w:rPr>
                <w:rFonts w:ascii="Times New Roman" w:hAnsi="Times New Roman" w:cs="Times New Roman"/>
                <w:b/>
                <w:bCs/>
                <w:position w:val="0"/>
              </w:rPr>
            </w:pPr>
          </w:p>
          <w:p w14:paraId="0B311EF5" w14:textId="77777777" w:rsidR="00D50069" w:rsidRPr="00D50069" w:rsidRDefault="00D50069" w:rsidP="00090211">
            <w:pPr>
              <w:spacing w:line="360" w:lineRule="auto"/>
              <w:jc w:val="center"/>
              <w:rPr>
                <w:rFonts w:ascii="Times New Roman" w:hAnsi="Times New Roman" w:cs="Times New Roman"/>
                <w:b/>
                <w:bCs/>
                <w:position w:val="0"/>
              </w:rPr>
            </w:pPr>
            <w:r w:rsidRPr="00D50069">
              <w:rPr>
                <w:rFonts w:ascii="Times New Roman" w:hAnsi="Times New Roman" w:cs="Times New Roman"/>
                <w:b/>
                <w:bCs/>
                <w:position w:val="0"/>
              </w:rPr>
              <w:t>C</w:t>
            </w:r>
          </w:p>
        </w:tc>
        <w:tc>
          <w:tcPr>
            <w:tcW w:w="336" w:type="dxa"/>
          </w:tcPr>
          <w:p w14:paraId="767D5D5D" w14:textId="77777777" w:rsidR="00D50069" w:rsidRPr="00D50069" w:rsidRDefault="00D50069" w:rsidP="00090211">
            <w:pPr>
              <w:spacing w:line="360" w:lineRule="auto"/>
              <w:jc w:val="center"/>
              <w:rPr>
                <w:rFonts w:ascii="Times New Roman" w:hAnsi="Times New Roman" w:cs="Times New Roman"/>
                <w:b/>
                <w:bCs/>
                <w:position w:val="0"/>
              </w:rPr>
            </w:pPr>
            <w:r w:rsidRPr="00D50069">
              <w:rPr>
                <w:rFonts w:ascii="Times New Roman" w:hAnsi="Times New Roman" w:cs="Times New Roman"/>
                <w:b/>
                <w:bCs/>
                <w:position w:val="0"/>
              </w:rPr>
              <w:t>1</w:t>
            </w:r>
          </w:p>
        </w:tc>
        <w:tc>
          <w:tcPr>
            <w:tcW w:w="2446" w:type="dxa"/>
          </w:tcPr>
          <w:p w14:paraId="4273BA1D" w14:textId="77777777" w:rsidR="00D50069" w:rsidRPr="00D50069" w:rsidRDefault="00D50069" w:rsidP="00090211">
            <w:pPr>
              <w:spacing w:line="360" w:lineRule="auto"/>
              <w:rPr>
                <w:rFonts w:ascii="Times New Roman" w:hAnsi="Times New Roman" w:cs="Times New Roman"/>
                <w:position w:val="0"/>
              </w:rPr>
            </w:pPr>
            <w:r w:rsidRPr="00D50069">
              <w:rPr>
                <w:rFonts w:ascii="Times New Roman" w:hAnsi="Times New Roman" w:cs="Times New Roman"/>
                <w:position w:val="0"/>
              </w:rPr>
              <w:t>Skill 01: Designing summative assessment tools</w:t>
            </w:r>
          </w:p>
        </w:tc>
        <w:tc>
          <w:tcPr>
            <w:tcW w:w="1186" w:type="dxa"/>
          </w:tcPr>
          <w:p w14:paraId="6CB7B1CA" w14:textId="77777777" w:rsidR="00D50069" w:rsidRPr="00D50069" w:rsidRDefault="00D50069" w:rsidP="00090211">
            <w:pPr>
              <w:spacing w:line="360" w:lineRule="auto"/>
              <w:jc w:val="center"/>
              <w:rPr>
                <w:rFonts w:ascii="Times New Roman" w:hAnsi="Times New Roman" w:cs="Times New Roman"/>
                <w:position w:val="0"/>
              </w:rPr>
            </w:pPr>
            <w:r w:rsidRPr="00D50069">
              <w:rPr>
                <w:rFonts w:ascii="Times New Roman" w:hAnsi="Times New Roman" w:cs="Times New Roman"/>
                <w:position w:val="0"/>
              </w:rPr>
              <w:t>06 items</w:t>
            </w:r>
          </w:p>
        </w:tc>
        <w:tc>
          <w:tcPr>
            <w:tcW w:w="1817" w:type="dxa"/>
          </w:tcPr>
          <w:p w14:paraId="5E2C889E" w14:textId="77777777" w:rsidR="00D50069" w:rsidRPr="00D50069" w:rsidRDefault="00D50069" w:rsidP="00090211">
            <w:pPr>
              <w:spacing w:line="360" w:lineRule="auto"/>
              <w:rPr>
                <w:rFonts w:ascii="Times New Roman" w:hAnsi="Times New Roman" w:cs="Times New Roman"/>
                <w:position w:val="0"/>
              </w:rPr>
            </w:pPr>
            <w:r w:rsidRPr="00D50069">
              <w:rPr>
                <w:rFonts w:ascii="Times New Roman" w:hAnsi="Times New Roman" w:cs="Times New Roman"/>
                <w:position w:val="0"/>
              </w:rPr>
              <w:t>Likert Scale</w:t>
            </w:r>
          </w:p>
        </w:tc>
        <w:tc>
          <w:tcPr>
            <w:tcW w:w="2371" w:type="dxa"/>
          </w:tcPr>
          <w:p w14:paraId="6D820783" w14:textId="77777777" w:rsidR="00D50069" w:rsidRPr="00D50069" w:rsidRDefault="00D50069" w:rsidP="00090211">
            <w:pPr>
              <w:spacing w:line="360" w:lineRule="auto"/>
              <w:rPr>
                <w:rFonts w:ascii="Times New Roman" w:hAnsi="Times New Roman" w:cs="Times New Roman"/>
                <w:position w:val="0"/>
              </w:rPr>
            </w:pPr>
            <w:r w:rsidRPr="00D50069">
              <w:rPr>
                <w:rFonts w:ascii="Times New Roman" w:hAnsi="Times New Roman" w:cs="Times New Roman"/>
                <w:position w:val="0"/>
              </w:rPr>
              <w:t>To test teachers’ ability to design valid and reliable tools</w:t>
            </w:r>
          </w:p>
        </w:tc>
      </w:tr>
      <w:tr w:rsidR="00D50069" w:rsidRPr="00D50069" w14:paraId="56D39733" w14:textId="77777777" w:rsidTr="00C141A1">
        <w:trPr>
          <w:trHeight w:val="205"/>
        </w:trPr>
        <w:tc>
          <w:tcPr>
            <w:tcW w:w="906" w:type="dxa"/>
            <w:vMerge/>
          </w:tcPr>
          <w:p w14:paraId="7F1A717D" w14:textId="77777777" w:rsidR="00D50069" w:rsidRPr="00D50069" w:rsidRDefault="00D50069" w:rsidP="00090211">
            <w:pPr>
              <w:spacing w:line="360" w:lineRule="auto"/>
              <w:jc w:val="center"/>
              <w:rPr>
                <w:rFonts w:ascii="Times New Roman" w:hAnsi="Times New Roman" w:cs="Times New Roman"/>
                <w:b/>
                <w:bCs/>
                <w:position w:val="0"/>
              </w:rPr>
            </w:pPr>
          </w:p>
        </w:tc>
        <w:tc>
          <w:tcPr>
            <w:tcW w:w="336" w:type="dxa"/>
          </w:tcPr>
          <w:p w14:paraId="3480D13B" w14:textId="77777777" w:rsidR="00D50069" w:rsidRPr="00D50069" w:rsidRDefault="00D50069" w:rsidP="00090211">
            <w:pPr>
              <w:spacing w:line="360" w:lineRule="auto"/>
              <w:jc w:val="center"/>
              <w:rPr>
                <w:rFonts w:ascii="Times New Roman" w:hAnsi="Times New Roman" w:cs="Times New Roman"/>
                <w:b/>
                <w:bCs/>
                <w:position w:val="0"/>
              </w:rPr>
            </w:pPr>
            <w:r w:rsidRPr="00D50069">
              <w:rPr>
                <w:rFonts w:ascii="Times New Roman" w:hAnsi="Times New Roman" w:cs="Times New Roman"/>
                <w:b/>
                <w:bCs/>
                <w:position w:val="0"/>
              </w:rPr>
              <w:t>2</w:t>
            </w:r>
          </w:p>
        </w:tc>
        <w:tc>
          <w:tcPr>
            <w:tcW w:w="2446" w:type="dxa"/>
          </w:tcPr>
          <w:p w14:paraId="4CE791FC" w14:textId="77777777" w:rsidR="00D50069" w:rsidRPr="00D50069" w:rsidRDefault="00D50069" w:rsidP="00090211">
            <w:pPr>
              <w:spacing w:line="360" w:lineRule="auto"/>
              <w:rPr>
                <w:rFonts w:ascii="Times New Roman" w:hAnsi="Times New Roman" w:cs="Times New Roman"/>
                <w:position w:val="0"/>
              </w:rPr>
            </w:pPr>
            <w:r w:rsidRPr="00D50069">
              <w:rPr>
                <w:rFonts w:ascii="Times New Roman" w:hAnsi="Times New Roman" w:cs="Times New Roman"/>
                <w:position w:val="0"/>
              </w:rPr>
              <w:t>Skill 02: Feedback and Reflective practice</w:t>
            </w:r>
          </w:p>
        </w:tc>
        <w:tc>
          <w:tcPr>
            <w:tcW w:w="1186" w:type="dxa"/>
          </w:tcPr>
          <w:p w14:paraId="6AD84A4F" w14:textId="77777777" w:rsidR="00D50069" w:rsidRPr="00D50069" w:rsidRDefault="00D50069" w:rsidP="00090211">
            <w:pPr>
              <w:spacing w:line="360" w:lineRule="auto"/>
              <w:jc w:val="center"/>
              <w:rPr>
                <w:rFonts w:ascii="Times New Roman" w:hAnsi="Times New Roman" w:cs="Times New Roman"/>
                <w:position w:val="0"/>
              </w:rPr>
            </w:pPr>
            <w:r w:rsidRPr="00D50069">
              <w:rPr>
                <w:rFonts w:ascii="Times New Roman" w:hAnsi="Times New Roman" w:cs="Times New Roman"/>
                <w:position w:val="0"/>
              </w:rPr>
              <w:t>09 items</w:t>
            </w:r>
          </w:p>
        </w:tc>
        <w:tc>
          <w:tcPr>
            <w:tcW w:w="1817" w:type="dxa"/>
          </w:tcPr>
          <w:p w14:paraId="06A7A9C5" w14:textId="77777777" w:rsidR="00D50069" w:rsidRPr="00D50069" w:rsidRDefault="00D50069" w:rsidP="00090211">
            <w:pPr>
              <w:spacing w:line="360" w:lineRule="auto"/>
              <w:rPr>
                <w:rFonts w:ascii="Times New Roman" w:hAnsi="Times New Roman" w:cs="Times New Roman"/>
                <w:position w:val="0"/>
              </w:rPr>
            </w:pPr>
            <w:r w:rsidRPr="00D50069">
              <w:rPr>
                <w:rFonts w:ascii="Times New Roman" w:hAnsi="Times New Roman" w:cs="Times New Roman"/>
                <w:position w:val="0"/>
              </w:rPr>
              <w:t>Likert Scale</w:t>
            </w:r>
          </w:p>
        </w:tc>
        <w:tc>
          <w:tcPr>
            <w:tcW w:w="2371" w:type="dxa"/>
          </w:tcPr>
          <w:p w14:paraId="6928A1C9" w14:textId="77777777" w:rsidR="00D50069" w:rsidRPr="00D50069" w:rsidRDefault="00D50069" w:rsidP="00090211">
            <w:pPr>
              <w:spacing w:line="360" w:lineRule="auto"/>
              <w:rPr>
                <w:rFonts w:ascii="Times New Roman" w:hAnsi="Times New Roman" w:cs="Times New Roman"/>
                <w:position w:val="0"/>
              </w:rPr>
            </w:pPr>
            <w:r w:rsidRPr="00D50069">
              <w:rPr>
                <w:rFonts w:ascii="Times New Roman" w:hAnsi="Times New Roman" w:cs="Times New Roman"/>
                <w:position w:val="0"/>
              </w:rPr>
              <w:t>To investigate the role of peer and mentor feedback in critically evaluate tools</w:t>
            </w:r>
          </w:p>
        </w:tc>
      </w:tr>
      <w:tr w:rsidR="00D50069" w:rsidRPr="00D50069" w14:paraId="749A4F76" w14:textId="77777777" w:rsidTr="00C141A1">
        <w:tc>
          <w:tcPr>
            <w:tcW w:w="1242" w:type="dxa"/>
            <w:gridSpan w:val="2"/>
          </w:tcPr>
          <w:p w14:paraId="0E5C710C" w14:textId="77777777" w:rsidR="00D50069" w:rsidRPr="00D50069" w:rsidRDefault="00D50069" w:rsidP="00090211">
            <w:pPr>
              <w:spacing w:line="360" w:lineRule="auto"/>
              <w:jc w:val="center"/>
              <w:rPr>
                <w:rFonts w:ascii="Times New Roman" w:hAnsi="Times New Roman" w:cs="Times New Roman"/>
                <w:b/>
                <w:bCs/>
                <w:position w:val="0"/>
              </w:rPr>
            </w:pPr>
            <w:r w:rsidRPr="00D50069">
              <w:rPr>
                <w:rFonts w:ascii="Times New Roman" w:hAnsi="Times New Roman" w:cs="Times New Roman"/>
                <w:b/>
                <w:bCs/>
                <w:position w:val="0"/>
              </w:rPr>
              <w:t>D</w:t>
            </w:r>
          </w:p>
        </w:tc>
        <w:tc>
          <w:tcPr>
            <w:tcW w:w="2446" w:type="dxa"/>
          </w:tcPr>
          <w:p w14:paraId="0B6993F5" w14:textId="77777777" w:rsidR="00D50069" w:rsidRPr="00D50069" w:rsidRDefault="00D50069" w:rsidP="00090211">
            <w:pPr>
              <w:spacing w:line="360" w:lineRule="auto"/>
              <w:rPr>
                <w:rFonts w:ascii="Times New Roman" w:hAnsi="Times New Roman" w:cs="Times New Roman"/>
                <w:position w:val="0"/>
              </w:rPr>
            </w:pPr>
            <w:r w:rsidRPr="00D50069">
              <w:rPr>
                <w:rFonts w:ascii="Times New Roman" w:hAnsi="Times New Roman" w:cs="Times New Roman"/>
                <w:position w:val="0"/>
              </w:rPr>
              <w:t>Challenges faced within OTCs</w:t>
            </w:r>
          </w:p>
        </w:tc>
        <w:tc>
          <w:tcPr>
            <w:tcW w:w="1186" w:type="dxa"/>
          </w:tcPr>
          <w:p w14:paraId="6C5DD320" w14:textId="77777777" w:rsidR="00D50069" w:rsidRPr="00D50069" w:rsidRDefault="00D50069" w:rsidP="00090211">
            <w:pPr>
              <w:spacing w:line="360" w:lineRule="auto"/>
              <w:jc w:val="center"/>
              <w:rPr>
                <w:rFonts w:ascii="Times New Roman" w:hAnsi="Times New Roman" w:cs="Times New Roman"/>
                <w:position w:val="0"/>
              </w:rPr>
            </w:pPr>
            <w:r w:rsidRPr="00D50069">
              <w:rPr>
                <w:rFonts w:ascii="Times New Roman" w:hAnsi="Times New Roman" w:cs="Times New Roman"/>
                <w:position w:val="0"/>
              </w:rPr>
              <w:t>04 items</w:t>
            </w:r>
          </w:p>
        </w:tc>
        <w:tc>
          <w:tcPr>
            <w:tcW w:w="1817" w:type="dxa"/>
          </w:tcPr>
          <w:p w14:paraId="66796A82" w14:textId="77777777" w:rsidR="00D50069" w:rsidRPr="00D50069" w:rsidRDefault="00D50069" w:rsidP="00090211">
            <w:pPr>
              <w:spacing w:line="360" w:lineRule="auto"/>
              <w:rPr>
                <w:rFonts w:ascii="Times New Roman" w:hAnsi="Times New Roman" w:cs="Times New Roman"/>
                <w:position w:val="0"/>
              </w:rPr>
            </w:pPr>
            <w:r w:rsidRPr="00D50069">
              <w:rPr>
                <w:rFonts w:ascii="Times New Roman" w:hAnsi="Times New Roman" w:cs="Times New Roman"/>
                <w:position w:val="0"/>
              </w:rPr>
              <w:t>Closed ended and open-ended questions</w:t>
            </w:r>
          </w:p>
        </w:tc>
        <w:tc>
          <w:tcPr>
            <w:tcW w:w="2371" w:type="dxa"/>
          </w:tcPr>
          <w:p w14:paraId="5AF7EF0B" w14:textId="77777777" w:rsidR="00D50069" w:rsidRPr="00D50069" w:rsidRDefault="00D50069" w:rsidP="00090211">
            <w:pPr>
              <w:spacing w:line="360" w:lineRule="auto"/>
              <w:jc w:val="both"/>
              <w:rPr>
                <w:rFonts w:ascii="Times New Roman" w:hAnsi="Times New Roman" w:cs="Times New Roman"/>
                <w:position w:val="0"/>
              </w:rPr>
            </w:pPr>
            <w:r w:rsidRPr="00D50069">
              <w:rPr>
                <w:rFonts w:ascii="Times New Roman" w:hAnsi="Times New Roman" w:cs="Times New Roman"/>
                <w:position w:val="0"/>
              </w:rPr>
              <w:t>To uncover the obstacles that may hinder the effective investment of OTCs</w:t>
            </w:r>
          </w:p>
        </w:tc>
      </w:tr>
    </w:tbl>
    <w:p w14:paraId="5EE7533B" w14:textId="77777777" w:rsidR="00D50069" w:rsidRPr="00D50069" w:rsidRDefault="00D50069" w:rsidP="00D50069">
      <w:pPr>
        <w:tabs>
          <w:tab w:val="left" w:pos="1360"/>
        </w:tabs>
        <w:spacing w:after="160" w:line="480" w:lineRule="auto"/>
        <w:jc w:val="both"/>
        <w:rPr>
          <w:rFonts w:eastAsia="Calibri"/>
          <w:kern w:val="2"/>
          <w:position w:val="0"/>
          <w14:ligatures w14:val="standardContextual"/>
        </w:rPr>
      </w:pPr>
    </w:p>
    <w:p w14:paraId="6B70F7E4" w14:textId="63E0C084" w:rsidR="00D50069" w:rsidRPr="00D50069" w:rsidRDefault="006016AB" w:rsidP="00AA5DBF">
      <w:pPr>
        <w:pStyle w:val="Titre1"/>
        <w:rPr>
          <w:rFonts w:eastAsia="Calibri"/>
        </w:rPr>
      </w:pPr>
      <w:bookmarkStart w:id="169" w:name="_Toc200486072"/>
      <w:r>
        <w:rPr>
          <w:rFonts w:eastAsia="Calibri"/>
        </w:rPr>
        <w:lastRenderedPageBreak/>
        <w:t xml:space="preserve">2.1.4.3.2 </w:t>
      </w:r>
      <w:r w:rsidR="00D50069" w:rsidRPr="00D50069">
        <w:rPr>
          <w:rFonts w:eastAsia="Calibri"/>
        </w:rPr>
        <w:t>Piloting of the Questionnaire</w:t>
      </w:r>
      <w:bookmarkEnd w:id="169"/>
    </w:p>
    <w:p w14:paraId="67E2D086" w14:textId="66ED15D5" w:rsidR="00D50069" w:rsidRPr="00D50069" w:rsidRDefault="00D50069" w:rsidP="006016AB">
      <w:pPr>
        <w:spacing w:after="160" w:line="480" w:lineRule="auto"/>
        <w:ind w:firstLine="567"/>
        <w:jc w:val="both"/>
        <w:rPr>
          <w:rFonts w:eastAsia="Calibri"/>
          <w:kern w:val="2"/>
          <w:position w:val="0"/>
          <w14:ligatures w14:val="standardContextual"/>
        </w:rPr>
      </w:pPr>
      <w:r w:rsidRPr="00D50069">
        <w:rPr>
          <w:rFonts w:eastAsia="Calibri"/>
          <w:kern w:val="2"/>
          <w:position w:val="0"/>
          <w14:ligatures w14:val="standardContextual"/>
        </w:rPr>
        <w:t xml:space="preserve">Piloting the tools is a necessary phase in the research process. Before a full-scale implementation, a small-scale pilot study </w:t>
      </w:r>
      <w:proofErr w:type="gramStart"/>
      <w:r w:rsidRPr="00D50069">
        <w:rPr>
          <w:rFonts w:eastAsia="Calibri"/>
          <w:kern w:val="2"/>
          <w:position w:val="0"/>
          <w14:ligatures w14:val="standardContextual"/>
        </w:rPr>
        <w:t>was undertaken</w:t>
      </w:r>
      <w:proofErr w:type="gramEnd"/>
      <w:r w:rsidRPr="00D50069">
        <w:rPr>
          <w:rFonts w:eastAsia="Calibri"/>
          <w:kern w:val="2"/>
          <w:position w:val="0"/>
          <w14:ligatures w14:val="standardContextual"/>
        </w:rPr>
        <w:t xml:space="preserve"> to pre-test the questionnaire. This is to establish the clarity, understandability and consistency of the research tool, test the validity and assess the feasibility of the research design. The </w:t>
      </w:r>
      <w:proofErr w:type="gramStart"/>
      <w:r w:rsidRPr="00D50069">
        <w:rPr>
          <w:rFonts w:eastAsia="Calibri"/>
          <w:kern w:val="2"/>
          <w:position w:val="0"/>
          <w14:ligatures w14:val="standardContextual"/>
        </w:rPr>
        <w:t>questionnaire was initially validated by the supervisor of the study</w:t>
      </w:r>
      <w:proofErr w:type="gramEnd"/>
      <w:r w:rsidRPr="00D50069">
        <w:rPr>
          <w:rFonts w:eastAsia="Calibri"/>
          <w:kern w:val="2"/>
          <w:position w:val="0"/>
          <w14:ligatures w14:val="standardContextual"/>
        </w:rPr>
        <w:t xml:space="preserve"> where minor modifications were suggested regarding form and content. Moreover, consulting the English language pedagogical inspector for middle school teachers is another important source for face and content expert validity. In addition, two other participant teachers who are part of the targeted population </w:t>
      </w:r>
      <w:proofErr w:type="gramStart"/>
      <w:r w:rsidRPr="00D50069">
        <w:rPr>
          <w:rFonts w:eastAsia="Calibri"/>
          <w:kern w:val="2"/>
          <w:position w:val="0"/>
          <w14:ligatures w14:val="standardContextual"/>
        </w:rPr>
        <w:t>were enquired</w:t>
      </w:r>
      <w:proofErr w:type="gramEnd"/>
      <w:r w:rsidRPr="00D50069">
        <w:rPr>
          <w:rFonts w:eastAsia="Calibri"/>
          <w:kern w:val="2"/>
          <w:position w:val="0"/>
          <w14:ligatures w14:val="standardContextual"/>
        </w:rPr>
        <w:t xml:space="preserve"> about their familiarity with specific research-related concepts such as “online communities” and “assessment literacy”. Further clarifications </w:t>
      </w:r>
      <w:proofErr w:type="gramStart"/>
      <w:r w:rsidRPr="00D50069">
        <w:rPr>
          <w:rFonts w:eastAsia="Calibri"/>
          <w:kern w:val="2"/>
          <w:position w:val="0"/>
          <w14:ligatures w14:val="standardContextual"/>
        </w:rPr>
        <w:t>were recommended</w:t>
      </w:r>
      <w:proofErr w:type="gramEnd"/>
      <w:r w:rsidRPr="00D50069">
        <w:rPr>
          <w:rFonts w:eastAsia="Calibri"/>
          <w:kern w:val="2"/>
          <w:position w:val="0"/>
          <w14:ligatures w14:val="standardContextual"/>
        </w:rPr>
        <w:t xml:space="preserve"> to enhance clarity and ensure reliability. C.R. Kothari </w:t>
      </w:r>
      <w:sdt>
        <w:sdtPr>
          <w:rPr>
            <w:rFonts w:eastAsia="Calibri"/>
            <w:kern w:val="2"/>
            <w:position w:val="0"/>
            <w14:ligatures w14:val="standardContextual"/>
          </w:rPr>
          <w:id w:val="-1819792859"/>
          <w:citation/>
        </w:sdtPr>
        <w:sdtEndPr/>
        <w:sdtContent>
          <w:r w:rsidRPr="00D50069">
            <w:rPr>
              <w:rFonts w:eastAsia="Calibri"/>
              <w:kern w:val="2"/>
              <w:position w:val="0"/>
              <w14:ligatures w14:val="standardContextual"/>
            </w:rPr>
            <w:fldChar w:fldCharType="begin"/>
          </w:r>
          <w:r w:rsidRPr="00D50069">
            <w:rPr>
              <w:rFonts w:eastAsia="Calibri"/>
              <w:kern w:val="2"/>
              <w:position w:val="0"/>
              <w14:ligatures w14:val="standardContextual"/>
            </w:rPr>
            <w:instrText xml:space="preserve">CITATION CRK85 \n  \t  \l 1033 </w:instrText>
          </w:r>
          <w:r w:rsidRPr="00D50069">
            <w:rPr>
              <w:rFonts w:eastAsia="Calibri"/>
              <w:kern w:val="2"/>
              <w:position w:val="0"/>
              <w14:ligatures w14:val="standardContextual"/>
            </w:rPr>
            <w:fldChar w:fldCharType="separate"/>
          </w:r>
          <w:r w:rsidRPr="00D50069">
            <w:rPr>
              <w:rFonts w:eastAsia="Calibri"/>
              <w:noProof/>
              <w:kern w:val="2"/>
              <w:position w:val="0"/>
              <w14:ligatures w14:val="standardContextual"/>
            </w:rPr>
            <w:t>(2004)</w:t>
          </w:r>
          <w:r w:rsidRPr="00D50069">
            <w:rPr>
              <w:rFonts w:eastAsia="Calibri"/>
              <w:kern w:val="2"/>
              <w:position w:val="0"/>
              <w14:ligatures w14:val="standardContextual"/>
            </w:rPr>
            <w:fldChar w:fldCharType="end"/>
          </w:r>
        </w:sdtContent>
      </w:sdt>
      <w:r w:rsidRPr="00D50069">
        <w:rPr>
          <w:rFonts w:eastAsia="Calibri"/>
          <w:kern w:val="2"/>
          <w:position w:val="0"/>
          <w14:ligatures w14:val="standardContextual"/>
        </w:rPr>
        <w:t xml:space="preserve"> </w:t>
      </w:r>
      <w:proofErr w:type="gramStart"/>
      <w:r w:rsidRPr="00D50069">
        <w:rPr>
          <w:rFonts w:eastAsia="Calibri"/>
          <w:kern w:val="2"/>
          <w:position w:val="0"/>
          <w14:ligatures w14:val="standardContextual"/>
        </w:rPr>
        <w:t>argues that</w:t>
      </w:r>
      <w:proofErr w:type="gramEnd"/>
      <w:r w:rsidRPr="00D50069">
        <w:rPr>
          <w:rFonts w:eastAsia="Calibri"/>
          <w:kern w:val="2"/>
          <w:position w:val="0"/>
          <w14:ligatures w14:val="standardContextual"/>
        </w:rPr>
        <w:t xml:space="preserve"> </w:t>
      </w:r>
      <w:r w:rsidR="00D671F4">
        <w:rPr>
          <w:rFonts w:eastAsia="Calibri"/>
          <w:kern w:val="2"/>
          <w:position w:val="0"/>
          <w14:ligatures w14:val="standardContextual"/>
        </w:rPr>
        <w:t>“</w:t>
      </w:r>
      <w:r w:rsidRPr="00D50069">
        <w:rPr>
          <w:rFonts w:eastAsia="Calibri"/>
          <w:kern w:val="2"/>
          <w:position w:val="0"/>
          <w14:ligatures w14:val="standardContextual"/>
        </w:rPr>
        <w:t>valid tools are always reliable</w:t>
      </w:r>
      <w:r w:rsidR="00D671F4">
        <w:rPr>
          <w:rFonts w:eastAsia="Calibri"/>
          <w:kern w:val="2"/>
          <w:position w:val="0"/>
          <w14:ligatures w14:val="standardContextual"/>
        </w:rPr>
        <w:t>”</w:t>
      </w:r>
      <w:r w:rsidR="00A53CBD" w:rsidRPr="00D50069">
        <w:rPr>
          <w:rFonts w:eastAsia="Calibri"/>
          <w:kern w:val="2"/>
          <w:position w:val="0"/>
          <w14:ligatures w14:val="standardContextual"/>
        </w:rPr>
        <w:t xml:space="preserve"> </w:t>
      </w:r>
      <w:sdt>
        <w:sdtPr>
          <w:rPr>
            <w:rFonts w:eastAsia="Calibri"/>
            <w:kern w:val="2"/>
            <w:position w:val="0"/>
            <w14:ligatures w14:val="standardContextual"/>
          </w:rPr>
          <w:id w:val="571479783"/>
          <w:citation/>
        </w:sdtPr>
        <w:sdtEndPr/>
        <w:sdtContent>
          <w:r w:rsidR="00A53CBD" w:rsidRPr="00D50069">
            <w:rPr>
              <w:rFonts w:eastAsia="Calibri"/>
              <w:kern w:val="2"/>
              <w:position w:val="0"/>
              <w14:ligatures w14:val="standardContextual"/>
            </w:rPr>
            <w:fldChar w:fldCharType="begin"/>
          </w:r>
          <w:r w:rsidR="00A53CBD">
            <w:rPr>
              <w:rFonts w:eastAsia="Calibri"/>
              <w:kern w:val="2"/>
              <w:position w:val="0"/>
              <w14:ligatures w14:val="standardContextual"/>
            </w:rPr>
            <w:instrText xml:space="preserve">CITATION CRK85 \p 74 \n  \y  \t  \l 1033 </w:instrText>
          </w:r>
          <w:r w:rsidR="00A53CBD" w:rsidRPr="00D50069">
            <w:rPr>
              <w:rFonts w:eastAsia="Calibri"/>
              <w:kern w:val="2"/>
              <w:position w:val="0"/>
              <w14:ligatures w14:val="standardContextual"/>
            </w:rPr>
            <w:fldChar w:fldCharType="separate"/>
          </w:r>
          <w:r w:rsidR="00A53CBD" w:rsidRPr="00A53CBD">
            <w:rPr>
              <w:rFonts w:eastAsia="Calibri"/>
              <w:noProof/>
              <w:kern w:val="2"/>
              <w:position w:val="0"/>
              <w14:ligatures w14:val="standardContextual"/>
            </w:rPr>
            <w:t>(p. 74)</w:t>
          </w:r>
          <w:r w:rsidR="00A53CBD" w:rsidRPr="00D50069">
            <w:rPr>
              <w:rFonts w:eastAsia="Calibri"/>
              <w:kern w:val="2"/>
              <w:position w:val="0"/>
              <w14:ligatures w14:val="standardContextual"/>
            </w:rPr>
            <w:fldChar w:fldCharType="end"/>
          </w:r>
        </w:sdtContent>
      </w:sdt>
      <w:r w:rsidRPr="00D50069">
        <w:rPr>
          <w:rFonts w:eastAsia="Calibri"/>
          <w:kern w:val="2"/>
          <w:position w:val="0"/>
          <w14:ligatures w14:val="standardContextual"/>
        </w:rPr>
        <w:t xml:space="preserve">. Thus, </w:t>
      </w:r>
      <w:bookmarkStart w:id="170" w:name="_Hlk197764737"/>
      <w:r w:rsidRPr="00D50069">
        <w:rPr>
          <w:rFonts w:eastAsia="Calibri"/>
          <w:kern w:val="2"/>
          <w:position w:val="0"/>
          <w14:ligatures w14:val="standardContextual"/>
        </w:rPr>
        <w:t xml:space="preserve">the questionnaire proved effective as it was expected. </w:t>
      </w:r>
    </w:p>
    <w:p w14:paraId="036697B3" w14:textId="4F41877C" w:rsidR="00D50069" w:rsidRPr="00D50069" w:rsidRDefault="00D970F1" w:rsidP="00AA5DBF">
      <w:pPr>
        <w:pStyle w:val="Titre1"/>
        <w:rPr>
          <w:rFonts w:eastAsia="Calibri"/>
        </w:rPr>
      </w:pPr>
      <w:bookmarkStart w:id="171" w:name="_Toc200486073"/>
      <w:bookmarkEnd w:id="170"/>
      <w:r>
        <w:rPr>
          <w:rFonts w:eastAsia="Calibri"/>
        </w:rPr>
        <w:t xml:space="preserve">2.1.5 </w:t>
      </w:r>
      <w:r w:rsidR="00D50069" w:rsidRPr="00D50069">
        <w:rPr>
          <w:rFonts w:eastAsia="Calibri"/>
        </w:rPr>
        <w:t>The Procedures</w:t>
      </w:r>
      <w:bookmarkEnd w:id="171"/>
    </w:p>
    <w:p w14:paraId="11D65A8A" w14:textId="34A098FA" w:rsidR="00D50069" w:rsidRPr="00D50069" w:rsidRDefault="00D50069" w:rsidP="00F667DE">
      <w:pPr>
        <w:spacing w:after="160" w:line="480" w:lineRule="auto"/>
        <w:ind w:firstLine="567"/>
        <w:jc w:val="both"/>
        <w:rPr>
          <w:rFonts w:eastAsia="Calibri"/>
          <w:kern w:val="2"/>
          <w:position w:val="0"/>
          <w14:ligatures w14:val="standardContextual"/>
        </w:rPr>
      </w:pPr>
      <w:r w:rsidRPr="00D50069">
        <w:rPr>
          <w:rFonts w:eastAsia="Calibri"/>
          <w:kern w:val="2"/>
          <w:position w:val="0"/>
          <w14:ligatures w14:val="standardContextual"/>
        </w:rPr>
        <w:t>The research procedures followed a sequential triangulated design. Data collection phase lasted for twenty consecutive days.</w:t>
      </w:r>
      <w:r w:rsidRPr="00D50069">
        <w:rPr>
          <w:rFonts w:eastAsia="Calibri"/>
          <w:b/>
          <w:bCs/>
          <w:kern w:val="2"/>
          <w:position w:val="0"/>
          <w14:ligatures w14:val="standardContextual"/>
        </w:rPr>
        <w:t xml:space="preserve"> </w:t>
      </w:r>
      <w:r w:rsidRPr="00D50069">
        <w:rPr>
          <w:rFonts w:eastAsia="Calibri"/>
          <w:kern w:val="2"/>
          <w:position w:val="0"/>
          <w14:ligatures w14:val="standardContextual"/>
        </w:rPr>
        <w:t xml:space="preserve">Firstly, this process began with an exploratory observation of District 4 Teacher Corner Community to identify common as well as specific themes related to summative assessment strategies. Later, a semi-structured interview </w:t>
      </w:r>
      <w:proofErr w:type="gramStart"/>
      <w:r w:rsidRPr="00D50069">
        <w:rPr>
          <w:rFonts w:eastAsia="Calibri"/>
          <w:kern w:val="2"/>
          <w:position w:val="0"/>
          <w14:ligatures w14:val="standardContextual"/>
        </w:rPr>
        <w:t>was conducted</w:t>
      </w:r>
      <w:proofErr w:type="gramEnd"/>
      <w:r w:rsidRPr="00D50069">
        <w:rPr>
          <w:rFonts w:eastAsia="Calibri"/>
          <w:kern w:val="2"/>
          <w:position w:val="0"/>
          <w14:ligatures w14:val="standardContextual"/>
        </w:rPr>
        <w:t xml:space="preserve"> with </w:t>
      </w:r>
      <w:r w:rsidR="00FB1E76">
        <w:rPr>
          <w:rFonts w:eastAsia="Calibri"/>
          <w:kern w:val="2"/>
          <w:position w:val="0"/>
          <w14:ligatures w14:val="standardContextual"/>
        </w:rPr>
        <w:t>six</w:t>
      </w:r>
      <w:r w:rsidRPr="00D50069">
        <w:rPr>
          <w:rFonts w:eastAsia="Calibri"/>
          <w:kern w:val="2"/>
          <w:position w:val="0"/>
          <w14:ligatures w14:val="standardContextual"/>
        </w:rPr>
        <w:t xml:space="preserve"> teacher members of this community to draw interpretive conclusions   concerning teachers’ experiences within this community.  Categorizing key themes from these two tools</w:t>
      </w:r>
      <w:r w:rsidR="000B1A41">
        <w:rPr>
          <w:rFonts w:eastAsia="Calibri"/>
          <w:kern w:val="2"/>
          <w:position w:val="0"/>
          <w14:ligatures w14:val="standardContextual"/>
        </w:rPr>
        <w:t xml:space="preserve"> </w:t>
      </w:r>
      <w:r w:rsidRPr="00D50069">
        <w:rPr>
          <w:rFonts w:eastAsia="Calibri"/>
          <w:kern w:val="2"/>
          <w:position w:val="0"/>
          <w14:ligatures w14:val="standardContextual"/>
        </w:rPr>
        <w:t xml:space="preserve">oriented formulating the questionnaire, which was distributed online using Google Forms. It is essential to mention that all instruments </w:t>
      </w:r>
      <w:proofErr w:type="gramStart"/>
      <w:r w:rsidRPr="00D50069">
        <w:rPr>
          <w:rFonts w:eastAsia="Calibri"/>
          <w:kern w:val="2"/>
          <w:position w:val="0"/>
          <w14:ligatures w14:val="standardContextual"/>
        </w:rPr>
        <w:t>were piloted</w:t>
      </w:r>
      <w:proofErr w:type="gramEnd"/>
      <w:r w:rsidRPr="00D50069">
        <w:rPr>
          <w:rFonts w:eastAsia="Calibri"/>
          <w:kern w:val="2"/>
          <w:position w:val="0"/>
          <w14:ligatures w14:val="standardContextual"/>
        </w:rPr>
        <w:t xml:space="preserve"> with a small sample for clear and valid items. Ultimately, the process concluded with another semi-structured online interview with the inspector of English, Mr.</w:t>
      </w:r>
      <w:r w:rsidR="00D336B1">
        <w:rPr>
          <w:rFonts w:eastAsia="Calibri"/>
          <w:kern w:val="2"/>
          <w:position w:val="0"/>
          <w14:ligatures w14:val="standardContextual"/>
        </w:rPr>
        <w:t xml:space="preserve"> </w:t>
      </w:r>
      <w:proofErr w:type="spellStart"/>
      <w:r w:rsidRPr="00D50069">
        <w:rPr>
          <w:rFonts w:eastAsia="Calibri"/>
          <w:kern w:val="2"/>
          <w:position w:val="0"/>
          <w14:ligatures w14:val="standardContextual"/>
        </w:rPr>
        <w:t>Othmani.K</w:t>
      </w:r>
      <w:proofErr w:type="spellEnd"/>
      <w:r w:rsidRPr="00D50069">
        <w:rPr>
          <w:rFonts w:eastAsia="Calibri"/>
          <w:kern w:val="2"/>
          <w:position w:val="0"/>
          <w14:ligatures w14:val="standardContextual"/>
        </w:rPr>
        <w:t xml:space="preserve">. The steps </w:t>
      </w:r>
      <w:proofErr w:type="gramStart"/>
      <w:r w:rsidRPr="00D50069">
        <w:rPr>
          <w:rFonts w:eastAsia="Calibri"/>
          <w:kern w:val="2"/>
          <w:position w:val="0"/>
          <w14:ligatures w14:val="standardContextual"/>
        </w:rPr>
        <w:t>were purposefully and thoughtfully sequenced</w:t>
      </w:r>
      <w:proofErr w:type="gramEnd"/>
      <w:r w:rsidRPr="00D50069">
        <w:rPr>
          <w:rFonts w:eastAsia="Calibri"/>
          <w:kern w:val="2"/>
          <w:position w:val="0"/>
          <w14:ligatures w14:val="standardContextual"/>
        </w:rPr>
        <w:t>.</w:t>
      </w:r>
    </w:p>
    <w:p w14:paraId="675C0F8F" w14:textId="02EFBB1E" w:rsidR="00D50069" w:rsidRPr="00D50069" w:rsidRDefault="00793D4A" w:rsidP="00AA5DBF">
      <w:pPr>
        <w:pStyle w:val="Titre1"/>
        <w:rPr>
          <w:rFonts w:eastAsia="Calibri"/>
        </w:rPr>
      </w:pPr>
      <w:bookmarkStart w:id="172" w:name="_Toc200486074"/>
      <w:r>
        <w:rPr>
          <w:rFonts w:eastAsia="Calibri"/>
        </w:rPr>
        <w:lastRenderedPageBreak/>
        <w:t xml:space="preserve">2.1.6 </w:t>
      </w:r>
      <w:r w:rsidR="00D50069" w:rsidRPr="00D50069">
        <w:rPr>
          <w:rFonts w:eastAsia="Calibri"/>
        </w:rPr>
        <w:t>Data Analysis Techniques</w:t>
      </w:r>
      <w:bookmarkEnd w:id="172"/>
    </w:p>
    <w:p w14:paraId="51CDE054" w14:textId="0410E3F3" w:rsidR="00D50069" w:rsidRPr="00D50069" w:rsidRDefault="00D50069" w:rsidP="0092652A">
      <w:pPr>
        <w:spacing w:after="160" w:line="480" w:lineRule="auto"/>
        <w:ind w:firstLine="567"/>
        <w:contextualSpacing/>
        <w:jc w:val="both"/>
        <w:rPr>
          <w:rFonts w:eastAsia="Calibri"/>
          <w:kern w:val="2"/>
          <w:position w:val="0"/>
          <w14:ligatures w14:val="standardContextual"/>
        </w:rPr>
      </w:pPr>
      <w:r w:rsidRPr="00D50069">
        <w:rPr>
          <w:rFonts w:eastAsia="Calibri"/>
          <w:kern w:val="2"/>
          <w:position w:val="0"/>
          <w14:ligatures w14:val="standardContextual"/>
        </w:rPr>
        <w:t xml:space="preserve">Appropriate statistical tools, including descriptive statistics, </w:t>
      </w:r>
      <w:proofErr w:type="gramStart"/>
      <w:r w:rsidRPr="00D50069">
        <w:rPr>
          <w:rFonts w:eastAsia="Calibri"/>
          <w:kern w:val="2"/>
          <w:position w:val="0"/>
          <w14:ligatures w14:val="standardContextual"/>
        </w:rPr>
        <w:t>were used</w:t>
      </w:r>
      <w:proofErr w:type="gramEnd"/>
      <w:r w:rsidRPr="00D50069">
        <w:rPr>
          <w:rFonts w:eastAsia="Calibri"/>
          <w:kern w:val="2"/>
          <w:position w:val="0"/>
          <w14:ligatures w14:val="standardContextual"/>
        </w:rPr>
        <w:t xml:space="preserve"> to analyze quantitative data, while qualitative data were thoroughly processed using thematic analysis to provide an overview of participants’ perceptions. Qualitative data initially informed developing quantitative instruments and subsequently offered deeper insights to explain and contextualize its results. Findings obtained from the questionnaire underwent a thorough analysis using EXCEL and SPSS. To summarize respondents’ views on OTCs and their influence on summative assessment practices, frequencies, percentages, means, medians and standard deviations were calculated. Both data sets integration helped interpreting and discussing statistical observations referring to identified qualitative themes. This triangulation increased credibility and validity of results and provided a more comprehensive understanding of the effectiveness of online teacher communities. Below are the formulas of the mean and standard deviation.</w:t>
      </w:r>
    </w:p>
    <w:tbl>
      <w:tblPr>
        <w:tblStyle w:val="TableGrid4"/>
        <w:tblW w:w="9242" w:type="dxa"/>
        <w:tblInd w:w="283" w:type="dxa"/>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4621"/>
        <w:gridCol w:w="4621"/>
      </w:tblGrid>
      <w:tr w:rsidR="00D50069" w:rsidRPr="00D50069" w14:paraId="09F6A723" w14:textId="77777777" w:rsidTr="00C3495D">
        <w:trPr>
          <w:trHeight w:val="216"/>
        </w:trPr>
        <w:tc>
          <w:tcPr>
            <w:tcW w:w="4621" w:type="dxa"/>
          </w:tcPr>
          <w:p w14:paraId="6223C843" w14:textId="77777777" w:rsidR="00D50069" w:rsidRPr="00D50069" w:rsidRDefault="00D50069" w:rsidP="00C3495D">
            <w:pPr>
              <w:spacing w:line="360" w:lineRule="auto"/>
              <w:contextualSpacing/>
              <w:jc w:val="center"/>
              <w:rPr>
                <w:rFonts w:ascii="Times New Roman" w:hAnsi="Times New Roman" w:cs="Times New Roman"/>
                <w:b/>
                <w:bCs/>
                <w:noProof/>
                <w:color w:val="000000"/>
                <w:kern w:val="24"/>
                <w:position w:val="0"/>
              </w:rPr>
            </w:pPr>
            <w:r w:rsidRPr="00D50069">
              <w:rPr>
                <w:rFonts w:ascii="Times New Roman" w:hAnsi="Times New Roman" w:cs="Times New Roman"/>
                <w:b/>
                <w:bCs/>
                <w:noProof/>
                <w:color w:val="000000"/>
                <w:kern w:val="24"/>
                <w:position w:val="0"/>
              </w:rPr>
              <w:t>Mean</w:t>
            </w:r>
          </w:p>
        </w:tc>
        <w:tc>
          <w:tcPr>
            <w:tcW w:w="4621" w:type="dxa"/>
          </w:tcPr>
          <w:p w14:paraId="11C692B3" w14:textId="77777777" w:rsidR="00D50069" w:rsidRPr="00D50069" w:rsidRDefault="00D50069" w:rsidP="00C3495D">
            <w:pPr>
              <w:spacing w:line="360" w:lineRule="auto"/>
              <w:contextualSpacing/>
              <w:jc w:val="center"/>
              <w:rPr>
                <w:rFonts w:ascii="Times New Roman" w:hAnsi="Times New Roman" w:cs="Times New Roman"/>
                <w:b/>
                <w:bCs/>
                <w:color w:val="000000"/>
                <w:kern w:val="24"/>
                <w:position w:val="0"/>
              </w:rPr>
            </w:pPr>
            <w:r w:rsidRPr="00D50069">
              <w:rPr>
                <w:rFonts w:ascii="Times New Roman" w:hAnsi="Times New Roman" w:cs="Times New Roman"/>
                <w:b/>
                <w:bCs/>
                <w:position w:val="0"/>
              </w:rPr>
              <w:t>Standard Deviation</w:t>
            </w:r>
          </w:p>
        </w:tc>
      </w:tr>
      <w:tr w:rsidR="00D50069" w:rsidRPr="00D50069" w14:paraId="401A029A" w14:textId="77777777" w:rsidTr="00C3495D">
        <w:trPr>
          <w:trHeight w:val="2256"/>
        </w:trPr>
        <w:tc>
          <w:tcPr>
            <w:tcW w:w="4621" w:type="dxa"/>
          </w:tcPr>
          <w:p w14:paraId="56768F7A" w14:textId="77777777" w:rsidR="00D50069" w:rsidRPr="00D50069" w:rsidRDefault="00D50069" w:rsidP="00C3495D">
            <w:pPr>
              <w:spacing w:line="360" w:lineRule="auto"/>
              <w:contextualSpacing/>
              <w:rPr>
                <w:rFonts w:ascii="Times New Roman" w:hAnsi="Times New Roman" w:cs="Times New Roman"/>
                <w:position w:val="0"/>
              </w:rPr>
            </w:pPr>
            <w:r w:rsidRPr="00D50069">
              <w:rPr>
                <w:rFonts w:ascii="Times New Roman" w:hAnsi="Times New Roman" w:cs="Times New Roman"/>
                <w:position w:val="0"/>
              </w:rPr>
              <w:t>x̄ = (Σ xi) / n</w:t>
            </w:r>
          </w:p>
          <w:p w14:paraId="1D6B2A24" w14:textId="77777777" w:rsidR="00D50069" w:rsidRPr="00D50069" w:rsidRDefault="00D50069" w:rsidP="00C3495D">
            <w:pPr>
              <w:spacing w:line="360" w:lineRule="auto"/>
              <w:contextualSpacing/>
              <w:rPr>
                <w:rFonts w:ascii="Times New Roman" w:hAnsi="Times New Roman" w:cs="Times New Roman"/>
                <w:color w:val="000000"/>
                <w:kern w:val="24"/>
                <w:position w:val="0"/>
              </w:rPr>
            </w:pPr>
            <w:r w:rsidRPr="00D50069">
              <w:rPr>
                <w:rFonts w:ascii="Times New Roman" w:hAnsi="Times New Roman" w:cs="Times New Roman"/>
                <w:color w:val="000000"/>
                <w:kern w:val="24"/>
                <w:position w:val="0"/>
              </w:rPr>
              <w:t xml:space="preserve">Σ = means “the sum”; </w:t>
            </w:r>
          </w:p>
          <w:p w14:paraId="333C735B" w14:textId="77777777" w:rsidR="00D50069" w:rsidRPr="00D50069" w:rsidRDefault="00D50069" w:rsidP="00C3495D">
            <w:pPr>
              <w:spacing w:line="360" w:lineRule="auto"/>
              <w:contextualSpacing/>
              <w:rPr>
                <w:rFonts w:ascii="Times New Roman" w:hAnsi="Times New Roman" w:cs="Times New Roman"/>
                <w:color w:val="000000"/>
                <w:kern w:val="24"/>
                <w:position w:val="0"/>
              </w:rPr>
            </w:pPr>
            <w:r w:rsidRPr="00D50069">
              <w:rPr>
                <w:rFonts w:ascii="Times New Roman" w:hAnsi="Times New Roman" w:cs="Times New Roman"/>
                <w:color w:val="000000"/>
                <w:kern w:val="24"/>
                <w:position w:val="0"/>
              </w:rPr>
              <w:t xml:space="preserve">Xi = “all of the x-values”; </w:t>
            </w:r>
          </w:p>
          <w:p w14:paraId="31224074" w14:textId="77777777" w:rsidR="00D50069" w:rsidRPr="00D50069" w:rsidRDefault="00D50069" w:rsidP="00C3495D">
            <w:pPr>
              <w:spacing w:line="360" w:lineRule="auto"/>
              <w:contextualSpacing/>
              <w:rPr>
                <w:rFonts w:ascii="Times New Roman" w:hAnsi="Times New Roman" w:cs="Times New Roman"/>
                <w:color w:val="000000"/>
                <w:kern w:val="24"/>
                <w:position w:val="0"/>
              </w:rPr>
            </w:pPr>
            <w:r w:rsidRPr="00D50069">
              <w:rPr>
                <w:rFonts w:ascii="Times New Roman" w:hAnsi="Times New Roman" w:cs="Times New Roman"/>
                <w:color w:val="000000"/>
                <w:kern w:val="24"/>
                <w:position w:val="0"/>
              </w:rPr>
              <w:t>n = means “the number of items in the sample”</w:t>
            </w:r>
          </w:p>
        </w:tc>
        <w:tc>
          <w:tcPr>
            <w:tcW w:w="4621" w:type="dxa"/>
          </w:tcPr>
          <w:p w14:paraId="0A0F662E" w14:textId="77777777" w:rsidR="00D50069" w:rsidRPr="00D50069" w:rsidRDefault="00D50069" w:rsidP="00C3495D">
            <w:pPr>
              <w:spacing w:line="360" w:lineRule="auto"/>
              <w:contextualSpacing/>
              <w:rPr>
                <w:rFonts w:ascii="Times New Roman" w:hAnsi="Times New Roman" w:cs="Times New Roman"/>
                <w:color w:val="000000"/>
                <w:kern w:val="24"/>
                <w:position w:val="0"/>
              </w:rPr>
            </w:pPr>
            <w:r w:rsidRPr="00D50069">
              <w:rPr>
                <w:rFonts w:ascii="Times New Roman" w:hAnsi="Times New Roman" w:cs="Times New Roman"/>
                <w:color w:val="000000"/>
                <w:kern w:val="24"/>
                <w:position w:val="0"/>
              </w:rPr>
              <w:t xml:space="preserve">S = √S²,     </w:t>
            </w:r>
          </w:p>
          <w:p w14:paraId="0BCFA37E" w14:textId="77777777" w:rsidR="00D50069" w:rsidRPr="00D50069" w:rsidRDefault="00D50069" w:rsidP="00C3495D">
            <w:pPr>
              <w:spacing w:line="360" w:lineRule="auto"/>
              <w:contextualSpacing/>
              <w:rPr>
                <w:rFonts w:ascii="Times New Roman" w:hAnsi="Times New Roman" w:cs="Times New Roman"/>
                <w:position w:val="0"/>
              </w:rPr>
            </w:pPr>
            <w:r w:rsidRPr="00D50069">
              <w:rPr>
                <w:rFonts w:ascii="Times New Roman" w:hAnsi="Times New Roman" w:cs="Times New Roman"/>
                <w:color w:val="000000"/>
                <w:kern w:val="24"/>
                <w:position w:val="0"/>
              </w:rPr>
              <w:t>S = √</w:t>
            </w:r>
            <w:r w:rsidRPr="00D50069">
              <w:rPr>
                <w:rFonts w:ascii="Times New Roman" w:hAnsi="Times New Roman" w:cs="Times New Roman"/>
                <w:b/>
                <w:bCs/>
                <w:i/>
                <w:iCs/>
                <w:color w:val="000000"/>
                <w:kern w:val="24"/>
                <w:position w:val="0"/>
                <w:u w:val="single"/>
              </w:rPr>
              <w:t>∑ (Xi – X) ²</w:t>
            </w:r>
          </w:p>
          <w:p w14:paraId="37BFD5C4" w14:textId="77777777" w:rsidR="00D50069" w:rsidRPr="00D50069" w:rsidRDefault="00D50069" w:rsidP="00C3495D">
            <w:pPr>
              <w:spacing w:before="96" w:line="360" w:lineRule="auto"/>
              <w:rPr>
                <w:rFonts w:ascii="Times New Roman" w:hAnsi="Times New Roman" w:cs="Times New Roman"/>
                <w:b/>
                <w:bCs/>
                <w:i/>
                <w:iCs/>
                <w:color w:val="000000"/>
                <w:kern w:val="24"/>
                <w:position w:val="0"/>
              </w:rPr>
            </w:pPr>
            <w:r w:rsidRPr="00D50069">
              <w:rPr>
                <w:rFonts w:ascii="Times New Roman" w:hAnsi="Times New Roman" w:cs="Times New Roman"/>
                <w:b/>
                <w:bCs/>
                <w:i/>
                <w:iCs/>
                <w:color w:val="000000"/>
                <w:kern w:val="24"/>
                <w:position w:val="0"/>
              </w:rPr>
              <w:t xml:space="preserve">             n- 1</w:t>
            </w:r>
          </w:p>
          <w:p w14:paraId="0DE5B33E" w14:textId="14570E99" w:rsidR="00D50069" w:rsidRPr="00D50069" w:rsidRDefault="00D50069" w:rsidP="00C3495D">
            <w:pPr>
              <w:spacing w:before="96" w:line="360" w:lineRule="auto"/>
              <w:rPr>
                <w:rFonts w:ascii="Times New Roman" w:hAnsi="Times New Roman" w:cs="Times New Roman"/>
                <w:position w:val="0"/>
              </w:rPr>
            </w:pPr>
            <w:r w:rsidRPr="00D50069">
              <w:rPr>
                <w:rFonts w:ascii="Times New Roman" w:hAnsi="Times New Roman" w:cs="Times New Roman"/>
                <w:position w:val="0"/>
              </w:rPr>
              <w:t>The square root of the variance “S</w:t>
            </w:r>
            <w:r w:rsidRPr="00D50069">
              <w:rPr>
                <w:rFonts w:ascii="Times New Roman" w:hAnsi="Times New Roman" w:cs="Times New Roman"/>
                <w:position w:val="0"/>
                <w:vertAlign w:val="superscript"/>
              </w:rPr>
              <w:t>2”</w:t>
            </w:r>
            <w:r w:rsidRPr="00D50069">
              <w:rPr>
                <w:rFonts w:ascii="Times New Roman" w:hAnsi="Times New Roman" w:cs="Times New Roman"/>
                <w:position w:val="0"/>
              </w:rPr>
              <w:t xml:space="preserve"> is the standard deviation “S”</w:t>
            </w:r>
          </w:p>
        </w:tc>
      </w:tr>
    </w:tbl>
    <w:p w14:paraId="40E2A6CF" w14:textId="70ABDBE7" w:rsidR="00D50069" w:rsidRPr="00D50069" w:rsidRDefault="00D50069" w:rsidP="00C3495D">
      <w:pPr>
        <w:spacing w:after="160" w:line="480" w:lineRule="auto"/>
        <w:contextualSpacing/>
        <w:jc w:val="both"/>
        <w:rPr>
          <w:rFonts w:eastAsia="Calibri"/>
          <w:kern w:val="2"/>
          <w:position w:val="0"/>
          <w14:ligatures w14:val="standardContextual"/>
        </w:rPr>
      </w:pPr>
    </w:p>
    <w:p w14:paraId="52263D5F" w14:textId="7EB3EFAC" w:rsidR="00D50069" w:rsidRPr="00D50069" w:rsidRDefault="00D50069" w:rsidP="00AA5DBF">
      <w:pPr>
        <w:pStyle w:val="Titre1"/>
        <w:numPr>
          <w:ilvl w:val="1"/>
          <w:numId w:val="11"/>
        </w:numPr>
        <w:rPr>
          <w:rFonts w:eastAsia="Calibri"/>
        </w:rPr>
      </w:pPr>
      <w:bookmarkStart w:id="173" w:name="_Toc200486075"/>
      <w:r w:rsidRPr="00D50069">
        <w:rPr>
          <w:rFonts w:eastAsia="Calibri"/>
        </w:rPr>
        <w:t>Data Analysis and Interpretation</w:t>
      </w:r>
      <w:bookmarkEnd w:id="173"/>
    </w:p>
    <w:p w14:paraId="200D4E1D" w14:textId="0B29503C" w:rsidR="00D50069" w:rsidRPr="00D50069" w:rsidRDefault="00AC5AE6" w:rsidP="00AA5DBF">
      <w:pPr>
        <w:pStyle w:val="Titre1"/>
        <w:rPr>
          <w:rFonts w:eastAsia="Calibri"/>
        </w:rPr>
      </w:pPr>
      <w:bookmarkStart w:id="174" w:name="_Toc200486076"/>
      <w:r>
        <w:rPr>
          <w:rFonts w:eastAsia="Calibri"/>
        </w:rPr>
        <w:t xml:space="preserve">    2.2.1 </w:t>
      </w:r>
      <w:r w:rsidR="00D50069" w:rsidRPr="00D50069">
        <w:rPr>
          <w:rFonts w:eastAsia="Calibri"/>
        </w:rPr>
        <w:t>Analysis of Platform Observation</w:t>
      </w:r>
      <w:bookmarkEnd w:id="174"/>
    </w:p>
    <w:p w14:paraId="397A77E4" w14:textId="00B89498" w:rsidR="00D50069" w:rsidRPr="00D50069" w:rsidRDefault="00D50069" w:rsidP="00AC5AE6">
      <w:pPr>
        <w:spacing w:after="160" w:line="480" w:lineRule="auto"/>
        <w:ind w:firstLine="567"/>
        <w:contextualSpacing/>
        <w:jc w:val="both"/>
        <w:rPr>
          <w:rFonts w:asciiTheme="majorBidi" w:eastAsia="Calibri" w:hAnsiTheme="majorBidi" w:cstheme="majorBidi"/>
          <w:kern w:val="2"/>
          <w:position w:val="0"/>
          <w14:ligatures w14:val="standardContextual"/>
        </w:rPr>
      </w:pPr>
      <w:r w:rsidRPr="00D50069">
        <w:rPr>
          <w:rFonts w:eastAsia="Calibri"/>
          <w:kern w:val="2"/>
          <w:position w:val="0"/>
          <w14:ligatures w14:val="standardContextual"/>
        </w:rPr>
        <w:t xml:space="preserve"> </w:t>
      </w:r>
      <w:proofErr w:type="gramStart"/>
      <w:r w:rsidRPr="00D50069">
        <w:rPr>
          <w:rFonts w:asciiTheme="majorBidi" w:eastAsia="Calibri" w:hAnsiTheme="majorBidi" w:cstheme="majorBidi"/>
          <w:kern w:val="2"/>
          <w:position w:val="0"/>
          <w14:ligatures w14:val="standardContextual"/>
        </w:rPr>
        <w:t xml:space="preserve">Platform </w:t>
      </w:r>
      <w:r w:rsidR="004002A9">
        <w:rPr>
          <w:rFonts w:asciiTheme="majorBidi" w:eastAsia="Calibri" w:hAnsiTheme="majorBidi" w:cstheme="majorBidi"/>
          <w:kern w:val="2"/>
          <w:position w:val="0"/>
          <w14:ligatures w14:val="standardContextual"/>
        </w:rPr>
        <w:t>participant</w:t>
      </w:r>
      <w:r w:rsidRPr="00D50069">
        <w:rPr>
          <w:rFonts w:asciiTheme="majorBidi" w:eastAsia="Calibri" w:hAnsiTheme="majorBidi" w:cstheme="majorBidi"/>
          <w:kern w:val="2"/>
          <w:position w:val="0"/>
          <w14:ligatures w14:val="standardContextual"/>
        </w:rPr>
        <w:t xml:space="preserve"> observation analysis</w:t>
      </w:r>
      <w:proofErr w:type="gramEnd"/>
      <w:r w:rsidRPr="00D50069">
        <w:rPr>
          <w:rFonts w:asciiTheme="majorBidi" w:eastAsia="Calibri" w:hAnsiTheme="majorBidi" w:cstheme="majorBidi"/>
          <w:kern w:val="2"/>
          <w:position w:val="0"/>
          <w14:ligatures w14:val="standardContextual"/>
        </w:rPr>
        <w:t xml:space="preserve"> offers a valuable lens for examining the digital professional practices of EFL middle school teachers within the Facebook group “District 4 Teacher Corner.” Specifically, by applying </w:t>
      </w:r>
      <w:r w:rsidR="0059341C">
        <w:rPr>
          <w:rFonts w:asciiTheme="majorBidi" w:eastAsia="Calibri" w:hAnsiTheme="majorBidi" w:cstheme="majorBidi"/>
          <w:kern w:val="2"/>
          <w:position w:val="0"/>
          <w14:ligatures w14:val="standardContextual"/>
        </w:rPr>
        <w:t>unstructured</w:t>
      </w:r>
      <w:r w:rsidRPr="00D50069">
        <w:rPr>
          <w:rFonts w:asciiTheme="majorBidi" w:eastAsia="Calibri" w:hAnsiTheme="majorBidi" w:cstheme="majorBidi"/>
          <w:kern w:val="2"/>
          <w:position w:val="0"/>
          <w14:ligatures w14:val="standardContextual"/>
        </w:rPr>
        <w:t xml:space="preserve"> methods to this online environment, researchers can gain insights into several key aspects of their professional lives, including the </w:t>
      </w:r>
      <w:r w:rsidRPr="00D50069">
        <w:rPr>
          <w:rFonts w:asciiTheme="majorBidi" w:eastAsia="Calibri" w:hAnsiTheme="majorBidi" w:cstheme="majorBidi"/>
          <w:kern w:val="2"/>
          <w:position w:val="0"/>
          <w14:ligatures w14:val="standardContextual"/>
        </w:rPr>
        <w:lastRenderedPageBreak/>
        <w:t xml:space="preserve">role of the administrator (the inspector), the </w:t>
      </w:r>
      <w:proofErr w:type="gramStart"/>
      <w:r w:rsidRPr="00D50069">
        <w:rPr>
          <w:rFonts w:asciiTheme="majorBidi" w:eastAsia="Calibri" w:hAnsiTheme="majorBidi" w:cstheme="majorBidi"/>
          <w:kern w:val="2"/>
          <w:position w:val="0"/>
          <w14:ligatures w14:val="standardContextual"/>
        </w:rPr>
        <w:t>content shared</w:t>
      </w:r>
      <w:proofErr w:type="gramEnd"/>
      <w:r w:rsidRPr="00D50069">
        <w:rPr>
          <w:rFonts w:asciiTheme="majorBidi" w:eastAsia="Calibri" w:hAnsiTheme="majorBidi" w:cstheme="majorBidi"/>
          <w:kern w:val="2"/>
          <w:position w:val="0"/>
          <w14:ligatures w14:val="standardContextual"/>
        </w:rPr>
        <w:t xml:space="preserve"> regarding continuous professional development (CPD) involving assessment practices, and teachers' feedback and collaboration within this platform. The following table organizes the key aspects of observation and the findings.</w:t>
      </w:r>
    </w:p>
    <w:p w14:paraId="65842AD4" w14:textId="722623B1" w:rsidR="00261DB9" w:rsidRDefault="00D50069" w:rsidP="00261DB9">
      <w:pPr>
        <w:keepNext/>
        <w:spacing w:after="200" w:line="276" w:lineRule="auto"/>
        <w:jc w:val="both"/>
        <w:rPr>
          <w:rFonts w:asciiTheme="majorBidi" w:eastAsia="Calibri" w:hAnsiTheme="majorBidi" w:cstheme="majorBidi"/>
          <w:b/>
          <w:bCs/>
          <w:kern w:val="2"/>
          <w:position w:val="0"/>
          <w14:ligatures w14:val="standardContextual"/>
        </w:rPr>
      </w:pPr>
      <w:bookmarkStart w:id="175" w:name="_Toc200446653"/>
      <w:r w:rsidRPr="00D50069">
        <w:rPr>
          <w:rFonts w:asciiTheme="majorBidi" w:eastAsia="Calibri" w:hAnsiTheme="majorBidi" w:cstheme="majorBidi"/>
          <w:b/>
          <w:bCs/>
          <w:kern w:val="2"/>
          <w:position w:val="0"/>
          <w14:ligatures w14:val="standardContextual"/>
        </w:rPr>
        <w:t xml:space="preserve">Table </w:t>
      </w:r>
      <w:r w:rsidR="00274F6F" w:rsidRPr="009C130D">
        <w:rPr>
          <w:rFonts w:asciiTheme="majorBidi" w:eastAsia="Calibri" w:hAnsiTheme="majorBidi" w:cstheme="majorBidi"/>
          <w:b/>
          <w:bCs/>
          <w:kern w:val="2"/>
          <w:position w:val="0"/>
          <w14:ligatures w14:val="standardContextual"/>
        </w:rPr>
        <w:fldChar w:fldCharType="begin"/>
      </w:r>
      <w:r w:rsidR="00274F6F" w:rsidRPr="009C130D">
        <w:rPr>
          <w:rFonts w:asciiTheme="majorBidi" w:eastAsia="Calibri" w:hAnsiTheme="majorBidi" w:cstheme="majorBidi"/>
          <w:b/>
          <w:bCs/>
          <w:kern w:val="2"/>
          <w:position w:val="0"/>
          <w14:ligatures w14:val="standardContextual"/>
        </w:rPr>
        <w:instrText xml:space="preserve"> SEQ Table \* ARABIC </w:instrText>
      </w:r>
      <w:r w:rsidR="00274F6F" w:rsidRPr="009C130D">
        <w:rPr>
          <w:rFonts w:asciiTheme="majorBidi" w:eastAsia="Calibri" w:hAnsiTheme="majorBidi" w:cstheme="majorBidi"/>
          <w:b/>
          <w:bCs/>
          <w:kern w:val="2"/>
          <w:position w:val="0"/>
          <w14:ligatures w14:val="standardContextual"/>
        </w:rPr>
        <w:fldChar w:fldCharType="separate"/>
      </w:r>
      <w:r w:rsidR="00DC3231">
        <w:rPr>
          <w:rFonts w:asciiTheme="majorBidi" w:eastAsia="Calibri" w:hAnsiTheme="majorBidi" w:cstheme="majorBidi"/>
          <w:b/>
          <w:bCs/>
          <w:noProof/>
          <w:kern w:val="2"/>
          <w:position w:val="0"/>
          <w14:ligatures w14:val="standardContextual"/>
        </w:rPr>
        <w:t>5</w:t>
      </w:r>
      <w:r w:rsidR="00274F6F" w:rsidRPr="009C130D">
        <w:rPr>
          <w:rFonts w:asciiTheme="majorBidi" w:eastAsia="Calibri" w:hAnsiTheme="majorBidi" w:cstheme="majorBidi"/>
          <w:b/>
          <w:bCs/>
          <w:kern w:val="2"/>
          <w:position w:val="0"/>
          <w14:ligatures w14:val="standardContextual"/>
        </w:rPr>
        <w:fldChar w:fldCharType="end"/>
      </w:r>
    </w:p>
    <w:p w14:paraId="2A563900" w14:textId="289133FD" w:rsidR="00D50069" w:rsidRPr="00261DB9" w:rsidRDefault="00D50069" w:rsidP="00261DB9">
      <w:pPr>
        <w:keepNext/>
        <w:spacing w:after="200" w:line="276" w:lineRule="auto"/>
        <w:jc w:val="both"/>
        <w:rPr>
          <w:rFonts w:asciiTheme="majorBidi" w:eastAsia="Calibri" w:hAnsiTheme="majorBidi" w:cstheme="majorBidi"/>
          <w:color w:val="44546A"/>
          <w:kern w:val="2"/>
          <w:position w:val="0"/>
          <w14:ligatures w14:val="standardContextual"/>
        </w:rPr>
      </w:pPr>
      <w:r w:rsidRPr="00D50069">
        <w:rPr>
          <w:rFonts w:asciiTheme="majorBidi" w:eastAsia="Calibri" w:hAnsiTheme="majorBidi" w:cstheme="majorBidi"/>
          <w:i/>
          <w:iCs/>
          <w:kern w:val="2"/>
          <w:position w:val="0"/>
          <w14:ligatures w14:val="standardContextual"/>
        </w:rPr>
        <w:t xml:space="preserve"> </w:t>
      </w:r>
      <w:r w:rsidRPr="00261DB9">
        <w:rPr>
          <w:rFonts w:asciiTheme="majorBidi" w:eastAsia="Calibri" w:hAnsiTheme="majorBidi" w:cstheme="majorBidi"/>
          <w:kern w:val="2"/>
          <w:position w:val="0"/>
          <w14:ligatures w14:val="standardContextual"/>
        </w:rPr>
        <w:t>Aspects Related to Platform Observation</w:t>
      </w:r>
      <w:bookmarkEnd w:id="175"/>
    </w:p>
    <w:tbl>
      <w:tblPr>
        <w:tblStyle w:val="TableGrid4"/>
        <w:tblW w:w="9062" w:type="dxa"/>
        <w:tblInd w:w="167" w:type="dxa"/>
        <w:tblLook w:val="04A0" w:firstRow="1" w:lastRow="0" w:firstColumn="1" w:lastColumn="0" w:noHBand="0" w:noVBand="1"/>
      </w:tblPr>
      <w:tblGrid>
        <w:gridCol w:w="3241"/>
        <w:gridCol w:w="5821"/>
      </w:tblGrid>
      <w:tr w:rsidR="00D50069" w:rsidRPr="00D50069" w14:paraId="64032FE4" w14:textId="77777777" w:rsidTr="00C141A1">
        <w:tc>
          <w:tcPr>
            <w:tcW w:w="3241" w:type="dxa"/>
          </w:tcPr>
          <w:p w14:paraId="48D5804D" w14:textId="77777777" w:rsidR="00D50069" w:rsidRPr="00D50069" w:rsidRDefault="00D50069" w:rsidP="009C130D">
            <w:pPr>
              <w:spacing w:line="360" w:lineRule="auto"/>
              <w:jc w:val="both"/>
              <w:rPr>
                <w:rFonts w:asciiTheme="majorBidi" w:hAnsiTheme="majorBidi" w:cstheme="majorBidi"/>
                <w:position w:val="0"/>
                <w:sz w:val="24"/>
                <w:szCs w:val="24"/>
              </w:rPr>
            </w:pPr>
            <w:r w:rsidRPr="00D50069">
              <w:rPr>
                <w:rFonts w:asciiTheme="majorBidi" w:hAnsiTheme="majorBidi" w:cstheme="majorBidi"/>
                <w:position w:val="0"/>
                <w:sz w:val="24"/>
                <w:szCs w:val="24"/>
              </w:rPr>
              <w:t xml:space="preserve">Aspects of observation </w:t>
            </w:r>
          </w:p>
        </w:tc>
        <w:tc>
          <w:tcPr>
            <w:tcW w:w="5821" w:type="dxa"/>
          </w:tcPr>
          <w:p w14:paraId="41A7F8DE" w14:textId="77777777" w:rsidR="00D50069" w:rsidRPr="00D50069" w:rsidRDefault="00D50069" w:rsidP="009C130D">
            <w:pPr>
              <w:spacing w:line="360" w:lineRule="auto"/>
              <w:jc w:val="both"/>
              <w:rPr>
                <w:rFonts w:asciiTheme="majorBidi" w:hAnsiTheme="majorBidi" w:cstheme="majorBidi"/>
                <w:position w:val="0"/>
                <w:sz w:val="24"/>
                <w:szCs w:val="24"/>
              </w:rPr>
            </w:pPr>
            <w:r w:rsidRPr="00D50069">
              <w:rPr>
                <w:rFonts w:asciiTheme="majorBidi" w:hAnsiTheme="majorBidi" w:cstheme="majorBidi"/>
                <w:position w:val="0"/>
                <w:sz w:val="24"/>
                <w:szCs w:val="24"/>
              </w:rPr>
              <w:t xml:space="preserve">Key finding </w:t>
            </w:r>
          </w:p>
        </w:tc>
      </w:tr>
      <w:tr w:rsidR="00D50069" w:rsidRPr="00D50069" w14:paraId="6F9A6232" w14:textId="77777777" w:rsidTr="00C141A1">
        <w:tc>
          <w:tcPr>
            <w:tcW w:w="3241" w:type="dxa"/>
          </w:tcPr>
          <w:p w14:paraId="69513676" w14:textId="77777777" w:rsidR="00D50069" w:rsidRPr="00D50069" w:rsidRDefault="00D50069" w:rsidP="009C130D">
            <w:pPr>
              <w:spacing w:line="360" w:lineRule="auto"/>
              <w:jc w:val="both"/>
              <w:rPr>
                <w:rFonts w:asciiTheme="majorBidi" w:hAnsiTheme="majorBidi" w:cstheme="majorBidi"/>
                <w:position w:val="0"/>
                <w:sz w:val="24"/>
                <w:szCs w:val="24"/>
              </w:rPr>
            </w:pPr>
            <w:r w:rsidRPr="00D50069">
              <w:rPr>
                <w:rFonts w:asciiTheme="majorBidi" w:hAnsiTheme="majorBidi" w:cstheme="majorBidi"/>
                <w:position w:val="0"/>
                <w:sz w:val="24"/>
                <w:szCs w:val="24"/>
              </w:rPr>
              <w:t>Role of the administrator</w:t>
            </w:r>
          </w:p>
        </w:tc>
        <w:tc>
          <w:tcPr>
            <w:tcW w:w="5821" w:type="dxa"/>
          </w:tcPr>
          <w:p w14:paraId="6BA337A3" w14:textId="77777777" w:rsidR="00D50069" w:rsidRPr="00D50069" w:rsidRDefault="00D50069" w:rsidP="009C130D">
            <w:pPr>
              <w:spacing w:line="360" w:lineRule="auto"/>
              <w:jc w:val="both"/>
              <w:rPr>
                <w:rFonts w:asciiTheme="majorBidi" w:hAnsiTheme="majorBidi" w:cstheme="majorBidi"/>
                <w:position w:val="0"/>
                <w:sz w:val="24"/>
                <w:szCs w:val="24"/>
              </w:rPr>
            </w:pPr>
            <w:proofErr w:type="gramStart"/>
            <w:r w:rsidRPr="00D50069">
              <w:rPr>
                <w:rFonts w:asciiTheme="majorBidi" w:hAnsiTheme="majorBidi" w:cstheme="majorBidi"/>
                <w:position w:val="0"/>
                <w:sz w:val="24"/>
                <w:szCs w:val="24"/>
              </w:rPr>
              <w:t>conveys</w:t>
            </w:r>
            <w:proofErr w:type="gramEnd"/>
            <w:r w:rsidRPr="00D50069">
              <w:rPr>
                <w:rFonts w:asciiTheme="majorBidi" w:hAnsiTheme="majorBidi" w:cstheme="majorBidi"/>
                <w:position w:val="0"/>
                <w:sz w:val="24"/>
                <w:szCs w:val="24"/>
              </w:rPr>
              <w:t xml:space="preserve"> information fundamental to teacher’s professional development.</w:t>
            </w:r>
          </w:p>
        </w:tc>
      </w:tr>
      <w:tr w:rsidR="00D50069" w:rsidRPr="00D50069" w14:paraId="283ABCBC" w14:textId="77777777" w:rsidTr="00C141A1">
        <w:tc>
          <w:tcPr>
            <w:tcW w:w="3241" w:type="dxa"/>
          </w:tcPr>
          <w:p w14:paraId="10B60D48" w14:textId="77777777" w:rsidR="00D50069" w:rsidRPr="00D50069" w:rsidRDefault="00D50069" w:rsidP="009C130D">
            <w:pPr>
              <w:spacing w:line="360" w:lineRule="auto"/>
              <w:jc w:val="both"/>
              <w:rPr>
                <w:rFonts w:asciiTheme="majorBidi" w:hAnsiTheme="majorBidi" w:cstheme="majorBidi"/>
                <w:position w:val="0"/>
                <w:sz w:val="24"/>
                <w:szCs w:val="24"/>
              </w:rPr>
            </w:pPr>
            <w:r w:rsidRPr="00D50069">
              <w:rPr>
                <w:rFonts w:asciiTheme="majorBidi" w:hAnsiTheme="majorBidi" w:cstheme="majorBidi"/>
                <w:position w:val="0"/>
                <w:sz w:val="24"/>
                <w:szCs w:val="24"/>
              </w:rPr>
              <w:t>Structured knowledge sharing</w:t>
            </w:r>
          </w:p>
        </w:tc>
        <w:tc>
          <w:tcPr>
            <w:tcW w:w="5821" w:type="dxa"/>
          </w:tcPr>
          <w:p w14:paraId="33283309" w14:textId="77777777" w:rsidR="00D50069" w:rsidRPr="00D50069" w:rsidRDefault="00D50069" w:rsidP="009C130D">
            <w:pPr>
              <w:spacing w:line="360" w:lineRule="auto"/>
              <w:jc w:val="both"/>
              <w:rPr>
                <w:rFonts w:asciiTheme="majorBidi" w:hAnsiTheme="majorBidi" w:cstheme="majorBidi"/>
                <w:position w:val="0"/>
                <w:sz w:val="24"/>
                <w:szCs w:val="24"/>
              </w:rPr>
            </w:pPr>
            <w:proofErr w:type="gramStart"/>
            <w:r w:rsidRPr="00D50069">
              <w:rPr>
                <w:rFonts w:asciiTheme="majorBidi" w:hAnsiTheme="majorBidi" w:cstheme="majorBidi"/>
                <w:position w:val="0"/>
                <w:sz w:val="24"/>
                <w:szCs w:val="24"/>
              </w:rPr>
              <w:t>fosters</w:t>
            </w:r>
            <w:proofErr w:type="gramEnd"/>
            <w:r w:rsidRPr="00D50069">
              <w:rPr>
                <w:rFonts w:asciiTheme="majorBidi" w:hAnsiTheme="majorBidi" w:cstheme="majorBidi"/>
                <w:position w:val="0"/>
                <w:sz w:val="24"/>
                <w:szCs w:val="24"/>
              </w:rPr>
              <w:t xml:space="preserve"> lesson planning with clear objectives in relation to assessment practices.</w:t>
            </w:r>
          </w:p>
        </w:tc>
      </w:tr>
      <w:tr w:rsidR="00D50069" w:rsidRPr="00D50069" w14:paraId="293BB53F" w14:textId="77777777" w:rsidTr="00C141A1">
        <w:tc>
          <w:tcPr>
            <w:tcW w:w="3241" w:type="dxa"/>
          </w:tcPr>
          <w:p w14:paraId="70673151" w14:textId="77777777" w:rsidR="00D50069" w:rsidRPr="00D50069" w:rsidRDefault="00D50069" w:rsidP="009C130D">
            <w:pPr>
              <w:spacing w:line="360" w:lineRule="auto"/>
              <w:jc w:val="both"/>
              <w:rPr>
                <w:rFonts w:asciiTheme="majorBidi" w:hAnsiTheme="majorBidi" w:cstheme="majorBidi"/>
                <w:position w:val="0"/>
                <w:sz w:val="24"/>
                <w:szCs w:val="24"/>
              </w:rPr>
            </w:pPr>
            <w:r w:rsidRPr="00D50069">
              <w:rPr>
                <w:rFonts w:asciiTheme="majorBidi" w:hAnsiTheme="majorBidi" w:cstheme="majorBidi"/>
                <w:position w:val="0"/>
                <w:sz w:val="24"/>
                <w:szCs w:val="24"/>
              </w:rPr>
              <w:t xml:space="preserve">Feedback and collaboration </w:t>
            </w:r>
          </w:p>
        </w:tc>
        <w:tc>
          <w:tcPr>
            <w:tcW w:w="5821" w:type="dxa"/>
          </w:tcPr>
          <w:p w14:paraId="41DBD308" w14:textId="77777777" w:rsidR="00D50069" w:rsidRPr="00D50069" w:rsidRDefault="00D50069" w:rsidP="009C130D">
            <w:pPr>
              <w:spacing w:line="360" w:lineRule="auto"/>
              <w:jc w:val="both"/>
              <w:rPr>
                <w:rFonts w:asciiTheme="majorBidi" w:hAnsiTheme="majorBidi" w:cstheme="majorBidi"/>
                <w:position w:val="0"/>
                <w:sz w:val="24"/>
                <w:szCs w:val="24"/>
              </w:rPr>
            </w:pPr>
            <w:r w:rsidRPr="00D50069">
              <w:rPr>
                <w:rFonts w:asciiTheme="majorBidi" w:hAnsiTheme="majorBidi" w:cstheme="majorBidi"/>
                <w:position w:val="0"/>
                <w:sz w:val="24"/>
                <w:szCs w:val="24"/>
              </w:rPr>
              <w:t>Encourages reflective practice and professional growth through frameworks and self-assessment.</w:t>
            </w:r>
          </w:p>
        </w:tc>
      </w:tr>
    </w:tbl>
    <w:p w14:paraId="7B26D599" w14:textId="77777777" w:rsidR="00A6162E" w:rsidRDefault="00A6162E" w:rsidP="00A6162E">
      <w:pPr>
        <w:spacing w:after="160" w:line="480" w:lineRule="auto"/>
        <w:ind w:firstLine="567"/>
        <w:jc w:val="both"/>
        <w:rPr>
          <w:rFonts w:asciiTheme="majorBidi" w:eastAsia="Calibri" w:hAnsiTheme="majorBidi" w:cstheme="majorBidi"/>
          <w:kern w:val="2"/>
          <w:position w:val="0"/>
          <w14:ligatures w14:val="standardContextual"/>
        </w:rPr>
      </w:pPr>
    </w:p>
    <w:p w14:paraId="55E7C59E" w14:textId="77777777" w:rsidR="00A6162E" w:rsidRDefault="00D50069" w:rsidP="00A6162E">
      <w:pPr>
        <w:spacing w:after="160" w:line="480" w:lineRule="auto"/>
        <w:ind w:firstLine="567"/>
        <w:jc w:val="both"/>
        <w:rPr>
          <w:rFonts w:asciiTheme="majorBidi" w:eastAsia="Calibri" w:hAnsiTheme="majorBidi" w:cstheme="majorBidi"/>
          <w:kern w:val="2"/>
          <w:position w:val="0"/>
          <w14:ligatures w14:val="standardContextual"/>
        </w:rPr>
      </w:pPr>
      <w:r w:rsidRPr="00D50069">
        <w:rPr>
          <w:rFonts w:asciiTheme="majorBidi" w:eastAsia="Calibri" w:hAnsiTheme="majorBidi" w:cstheme="majorBidi"/>
          <w:kern w:val="2"/>
          <w:position w:val="0"/>
          <w14:ligatures w14:val="standardContextual"/>
        </w:rPr>
        <w:t xml:space="preserve">Firstly, observation reveals that the admin’s role </w:t>
      </w:r>
      <w:proofErr w:type="gramStart"/>
      <w:r w:rsidRPr="00D50069">
        <w:rPr>
          <w:rFonts w:asciiTheme="majorBidi" w:eastAsia="Calibri" w:hAnsiTheme="majorBidi" w:cstheme="majorBidi"/>
          <w:kern w:val="2"/>
          <w:position w:val="0"/>
          <w14:ligatures w14:val="standardContextual"/>
        </w:rPr>
        <w:t>is marked</w:t>
      </w:r>
      <w:proofErr w:type="gramEnd"/>
      <w:r w:rsidRPr="00D50069">
        <w:rPr>
          <w:rFonts w:asciiTheme="majorBidi" w:eastAsia="Calibri" w:hAnsiTheme="majorBidi" w:cstheme="majorBidi"/>
          <w:kern w:val="2"/>
          <w:position w:val="0"/>
          <w14:ligatures w14:val="standardContextual"/>
        </w:rPr>
        <w:t xml:space="preserve"> by the dissemination of information crucial to teachers' professional setting. The posting of official announcements or workshops and the confirmation of schedules </w:t>
      </w:r>
      <w:r w:rsidRPr="00DA1DEC">
        <w:rPr>
          <w:rFonts w:asciiTheme="majorBidi" w:eastAsia="Calibri" w:hAnsiTheme="majorBidi" w:cstheme="majorBidi"/>
          <w:b/>
          <w:bCs/>
          <w:kern w:val="2"/>
          <w:position w:val="0"/>
          <w14:ligatures w14:val="standardContextual"/>
        </w:rPr>
        <w:t>(Images 1, 2, Appendix A)</w:t>
      </w:r>
      <w:r w:rsidRPr="00D50069">
        <w:rPr>
          <w:rFonts w:asciiTheme="majorBidi" w:eastAsia="Calibri" w:hAnsiTheme="majorBidi" w:cstheme="majorBidi"/>
          <w:kern w:val="2"/>
          <w:position w:val="0"/>
          <w14:ligatures w14:val="standardContextual"/>
        </w:rPr>
        <w:t xml:space="preserve"> </w:t>
      </w:r>
      <w:r w:rsidR="00DA1DEC">
        <w:rPr>
          <w:rFonts w:asciiTheme="majorBidi" w:eastAsia="Calibri" w:hAnsiTheme="majorBidi" w:cstheme="majorBidi"/>
          <w:kern w:val="2"/>
          <w:position w:val="0"/>
          <w14:ligatures w14:val="standardContextual"/>
        </w:rPr>
        <w:t>highlights</w:t>
      </w:r>
      <w:r w:rsidRPr="00D50069">
        <w:rPr>
          <w:rFonts w:asciiTheme="majorBidi" w:eastAsia="Calibri" w:hAnsiTheme="majorBidi" w:cstheme="majorBidi"/>
          <w:kern w:val="2"/>
          <w:position w:val="0"/>
          <w14:ligatures w14:val="standardContextual"/>
        </w:rPr>
        <w:t xml:space="preserve"> the perceived significance of monitoring ongoing learning and professional growth within this Facebook community. Furthermore, requests for syllabus coverage, calls for samples of exam papers, and feedback concerning learners’ assessment outcomes </w:t>
      </w:r>
      <w:r w:rsidRPr="00D50069">
        <w:rPr>
          <w:rFonts w:asciiTheme="majorBidi" w:eastAsia="Calibri" w:hAnsiTheme="majorBidi" w:cstheme="majorBidi"/>
          <w:b/>
          <w:bCs/>
          <w:kern w:val="2"/>
          <w:position w:val="0"/>
          <w14:ligatures w14:val="standardContextual"/>
        </w:rPr>
        <w:t>(Images 3, 4, Appendix A)</w:t>
      </w:r>
      <w:r w:rsidRPr="00D50069">
        <w:rPr>
          <w:rFonts w:asciiTheme="majorBidi" w:eastAsia="Calibri" w:hAnsiTheme="majorBidi" w:cstheme="majorBidi"/>
          <w:kern w:val="2"/>
          <w:position w:val="0"/>
          <w14:ligatures w14:val="standardContextual"/>
        </w:rPr>
        <w:t xml:space="preserve"> highlight the platform's utility for collecting necessary administrative documents and maintaining oversight. </w:t>
      </w:r>
    </w:p>
    <w:p w14:paraId="747CDB98" w14:textId="77777777" w:rsidR="00A6162E" w:rsidRDefault="00D50069" w:rsidP="00A6162E">
      <w:pPr>
        <w:spacing w:after="160" w:line="480" w:lineRule="auto"/>
        <w:ind w:firstLine="567"/>
        <w:jc w:val="both"/>
        <w:rPr>
          <w:rFonts w:asciiTheme="majorBidi" w:eastAsia="Calibri" w:hAnsiTheme="majorBidi" w:cstheme="majorBidi"/>
          <w:kern w:val="2"/>
          <w:position w:val="0"/>
          <w14:ligatures w14:val="standardContextual"/>
        </w:rPr>
      </w:pPr>
      <w:r w:rsidRPr="00D50069">
        <w:rPr>
          <w:rFonts w:asciiTheme="majorBidi" w:eastAsia="Calibri" w:hAnsiTheme="majorBidi" w:cstheme="majorBidi"/>
          <w:kern w:val="2"/>
          <w:position w:val="0"/>
          <w14:ligatures w14:val="standardContextual"/>
        </w:rPr>
        <w:t xml:space="preserve">Secondly, </w:t>
      </w:r>
      <w:r w:rsidR="009C130D">
        <w:rPr>
          <w:rFonts w:asciiTheme="majorBidi" w:eastAsia="Calibri" w:hAnsiTheme="majorBidi" w:cstheme="majorBidi"/>
          <w:kern w:val="2"/>
          <w:position w:val="0"/>
          <w14:ligatures w14:val="standardContextual"/>
        </w:rPr>
        <w:t>participant</w:t>
      </w:r>
      <w:r w:rsidRPr="00D50069">
        <w:rPr>
          <w:rFonts w:asciiTheme="majorBidi" w:eastAsia="Calibri" w:hAnsiTheme="majorBidi" w:cstheme="majorBidi"/>
          <w:kern w:val="2"/>
          <w:position w:val="0"/>
          <w14:ligatures w14:val="standardContextual"/>
        </w:rPr>
        <w:t xml:space="preserve"> observation reveals a structured approach to knowledge sharing within the platform, specifically guiding educators towards a dual </w:t>
      </w:r>
      <w:proofErr w:type="gramStart"/>
      <w:r w:rsidRPr="00D50069">
        <w:rPr>
          <w:rFonts w:asciiTheme="majorBidi" w:eastAsia="Calibri" w:hAnsiTheme="majorBidi" w:cstheme="majorBidi"/>
          <w:kern w:val="2"/>
          <w:position w:val="0"/>
          <w14:ligatures w14:val="standardContextual"/>
        </w:rPr>
        <w:t>emphasis:</w:t>
      </w:r>
      <w:proofErr w:type="gramEnd"/>
      <w:r w:rsidRPr="00D50069">
        <w:rPr>
          <w:rFonts w:asciiTheme="majorBidi" w:eastAsia="Calibri" w:hAnsiTheme="majorBidi" w:cstheme="majorBidi"/>
          <w:kern w:val="2"/>
          <w:position w:val="0"/>
          <w14:ligatures w14:val="standardContextual"/>
        </w:rPr>
        <w:t xml:space="preserve"> meticulous lesson planning with clearly defined objectives, and a focused approach to assessment and comprehension. This is particularly evident in the recurring discussions about incorporating </w:t>
      </w:r>
      <w:r w:rsidRPr="00D50069">
        <w:rPr>
          <w:rFonts w:asciiTheme="majorBidi" w:eastAsia="Calibri" w:hAnsiTheme="majorBidi" w:cstheme="majorBidi"/>
          <w:kern w:val="2"/>
          <w:position w:val="0"/>
          <w14:ligatures w14:val="standardContextual"/>
        </w:rPr>
        <w:lastRenderedPageBreak/>
        <w:t xml:space="preserve">sub-objectives and their corresponding assessments </w:t>
      </w:r>
      <w:r w:rsidRPr="00D50069">
        <w:rPr>
          <w:rFonts w:asciiTheme="majorBidi" w:eastAsia="Calibri" w:hAnsiTheme="majorBidi" w:cstheme="majorBidi"/>
          <w:b/>
          <w:bCs/>
          <w:kern w:val="2"/>
          <w:position w:val="0"/>
          <w14:ligatures w14:val="standardContextual"/>
        </w:rPr>
        <w:t>(Images 5, 6, Appendix A)</w:t>
      </w:r>
      <w:r w:rsidRPr="00D50069">
        <w:rPr>
          <w:rFonts w:asciiTheme="majorBidi" w:eastAsia="Calibri" w:hAnsiTheme="majorBidi" w:cstheme="majorBidi"/>
          <w:kern w:val="2"/>
          <w:position w:val="0"/>
          <w14:ligatures w14:val="standardContextual"/>
        </w:rPr>
        <w:t xml:space="preserve">. This emphasis underscores the perceived need </w:t>
      </w:r>
      <w:proofErr w:type="gramStart"/>
      <w:r w:rsidRPr="00D50069">
        <w:rPr>
          <w:rFonts w:asciiTheme="majorBidi" w:eastAsia="Calibri" w:hAnsiTheme="majorBidi" w:cstheme="majorBidi"/>
          <w:kern w:val="2"/>
          <w:position w:val="0"/>
          <w14:ligatures w14:val="standardContextual"/>
        </w:rPr>
        <w:t>to consistently evaluate</w:t>
      </w:r>
      <w:proofErr w:type="gramEnd"/>
      <w:r w:rsidRPr="00D50069">
        <w:rPr>
          <w:rFonts w:asciiTheme="majorBidi" w:eastAsia="Calibri" w:hAnsiTheme="majorBidi" w:cstheme="majorBidi"/>
          <w:kern w:val="2"/>
          <w:position w:val="0"/>
          <w14:ligatures w14:val="standardContextual"/>
        </w:rPr>
        <w:t xml:space="preserve"> student understanding through methods such as Concept Checking Questions (CCQs) and Instruction Checking Questions (ICQs). Consequently, the platform appears </w:t>
      </w:r>
      <w:proofErr w:type="gramStart"/>
      <w:r w:rsidRPr="00D50069">
        <w:rPr>
          <w:rFonts w:asciiTheme="majorBidi" w:eastAsia="Calibri" w:hAnsiTheme="majorBidi" w:cstheme="majorBidi"/>
          <w:kern w:val="2"/>
          <w:position w:val="0"/>
          <w14:ligatures w14:val="standardContextual"/>
        </w:rPr>
        <w:t>to actively promote</w:t>
      </w:r>
      <w:proofErr w:type="gramEnd"/>
      <w:r w:rsidRPr="00D50069">
        <w:rPr>
          <w:rFonts w:asciiTheme="majorBidi" w:eastAsia="Calibri" w:hAnsiTheme="majorBidi" w:cstheme="majorBidi"/>
          <w:kern w:val="2"/>
          <w:position w:val="0"/>
          <w14:ligatures w14:val="standardContextual"/>
        </w:rPr>
        <w:t xml:space="preserve"> specific teaching practices in the classroom, aiming to ensure the adoption of recommended pedagogical methodologies.</w:t>
      </w:r>
    </w:p>
    <w:p w14:paraId="135799E3" w14:textId="1540DD77" w:rsidR="00D50069" w:rsidRPr="00D50069" w:rsidRDefault="00D50069" w:rsidP="00A6162E">
      <w:pPr>
        <w:spacing w:after="160" w:line="480" w:lineRule="auto"/>
        <w:ind w:firstLine="567"/>
        <w:jc w:val="both"/>
        <w:rPr>
          <w:rFonts w:asciiTheme="majorBidi" w:eastAsia="Calibri" w:hAnsiTheme="majorBidi" w:cstheme="majorBidi"/>
          <w:kern w:val="2"/>
          <w:position w:val="0"/>
          <w14:ligatures w14:val="standardContextual"/>
        </w:rPr>
      </w:pPr>
      <w:r w:rsidRPr="00D50069">
        <w:rPr>
          <w:rFonts w:asciiTheme="majorBidi" w:eastAsia="Calibri" w:hAnsiTheme="majorBidi" w:cstheme="majorBidi"/>
          <w:kern w:val="2"/>
          <w:position w:val="0"/>
          <w14:ligatures w14:val="standardContextual"/>
        </w:rPr>
        <w:t xml:space="preserve">Finally, observation regarding teachers’ feedback and collaboration reveals a strong focus on reflective practice and professional growth. Several posts provide frameworks and key components for reflection, such as identifying what worked well, what hindered learning, and directing educators toward improvement </w:t>
      </w:r>
      <w:r w:rsidRPr="00D50069">
        <w:rPr>
          <w:rFonts w:asciiTheme="majorBidi" w:eastAsia="Calibri" w:hAnsiTheme="majorBidi" w:cstheme="majorBidi"/>
          <w:b/>
          <w:bCs/>
          <w:kern w:val="2"/>
          <w:position w:val="0"/>
          <w14:ligatures w14:val="standardContextual"/>
        </w:rPr>
        <w:t>(Images 7, 8, Appendix A)</w:t>
      </w:r>
      <w:r w:rsidRPr="00D50069">
        <w:rPr>
          <w:rFonts w:asciiTheme="majorBidi" w:eastAsia="Calibri" w:hAnsiTheme="majorBidi" w:cstheme="majorBidi"/>
          <w:kern w:val="2"/>
          <w:position w:val="0"/>
          <w14:ligatures w14:val="standardContextual"/>
        </w:rPr>
        <w:t>. This explicit guidance on reflection fosters a culture of self-assessment and adaptation, encouraging teachers to address identified weaknesses and directly linking self-analysis to continuous enhancement in teaching practices. In conclusion, while the collection of observations highlights a teacher Facebook group that actively leverages feedback mechanisms for meetings, workshops, and assessments and serves as a channel for administrative communications and professional development announcements, the analysis of teacher interactions within this platform underscores its significant role in promoting reflective practice and collaborative professional growth.</w:t>
      </w:r>
    </w:p>
    <w:p w14:paraId="22B744DA" w14:textId="77777777" w:rsidR="00D50069" w:rsidRPr="00D50069" w:rsidRDefault="00D50069" w:rsidP="00C3495D">
      <w:pPr>
        <w:spacing w:after="160" w:line="480" w:lineRule="auto"/>
        <w:ind w:left="1440"/>
        <w:contextualSpacing/>
        <w:jc w:val="both"/>
        <w:rPr>
          <w:rFonts w:asciiTheme="majorBidi" w:eastAsia="Calibri" w:hAnsiTheme="majorBidi" w:cstheme="majorBidi"/>
          <w:b/>
          <w:bCs/>
          <w:kern w:val="2"/>
          <w:position w:val="0"/>
          <w14:ligatures w14:val="standardContextual"/>
        </w:rPr>
      </w:pPr>
    </w:p>
    <w:p w14:paraId="6BD91930" w14:textId="1AF38817" w:rsidR="00D50069" w:rsidRPr="00D50069" w:rsidRDefault="000A2422" w:rsidP="00AA5DBF">
      <w:pPr>
        <w:pStyle w:val="Titre1"/>
        <w:rPr>
          <w:rFonts w:eastAsia="Calibri"/>
        </w:rPr>
      </w:pPr>
      <w:bookmarkStart w:id="176" w:name="_Toc200486077"/>
      <w:r>
        <w:rPr>
          <w:rFonts w:eastAsia="Calibri"/>
        </w:rPr>
        <w:t xml:space="preserve">2.2.2 </w:t>
      </w:r>
      <w:r w:rsidR="00D50069" w:rsidRPr="00D50069">
        <w:rPr>
          <w:rFonts w:eastAsia="Calibri"/>
        </w:rPr>
        <w:t xml:space="preserve">Analysis of </w:t>
      </w:r>
      <w:bookmarkStart w:id="177" w:name="_Hlk197931542"/>
      <w:r w:rsidR="00D50069" w:rsidRPr="00D50069">
        <w:rPr>
          <w:rFonts w:eastAsia="Calibri"/>
        </w:rPr>
        <w:t>Interviews</w:t>
      </w:r>
      <w:bookmarkEnd w:id="176"/>
    </w:p>
    <w:p w14:paraId="02A836E9" w14:textId="5C792B44" w:rsidR="00D50069" w:rsidRPr="00D50069" w:rsidRDefault="000A2422" w:rsidP="00AA5DBF">
      <w:pPr>
        <w:pStyle w:val="Titre1"/>
        <w:rPr>
          <w:rFonts w:eastAsia="Calibri"/>
        </w:rPr>
      </w:pPr>
      <w:bookmarkStart w:id="178" w:name="_Toc200486078"/>
      <w:r>
        <w:rPr>
          <w:rFonts w:eastAsia="Calibri"/>
        </w:rPr>
        <w:t xml:space="preserve">   2.2.2.1 </w:t>
      </w:r>
      <w:r w:rsidR="00D50069" w:rsidRPr="00D50069">
        <w:rPr>
          <w:rFonts w:eastAsia="Calibri"/>
        </w:rPr>
        <w:t>Teachers’</w:t>
      </w:r>
      <w:bookmarkEnd w:id="177"/>
      <w:r w:rsidR="00D50069" w:rsidRPr="00D50069">
        <w:rPr>
          <w:rFonts w:eastAsia="Calibri"/>
        </w:rPr>
        <w:t xml:space="preserve"> Interview</w:t>
      </w:r>
      <w:bookmarkEnd w:id="178"/>
    </w:p>
    <w:p w14:paraId="0A4F2E7D" w14:textId="610D21F2" w:rsidR="00D50069" w:rsidRPr="00D50069" w:rsidRDefault="00D50069" w:rsidP="000A2422">
      <w:pPr>
        <w:spacing w:after="160" w:line="480" w:lineRule="auto"/>
        <w:ind w:firstLine="567"/>
        <w:contextualSpacing/>
        <w:jc w:val="both"/>
        <w:rPr>
          <w:rFonts w:asciiTheme="majorBidi" w:eastAsia="Calibri" w:hAnsiTheme="majorBidi" w:cstheme="majorBidi"/>
          <w:kern w:val="2"/>
          <w:position w:val="0"/>
          <w14:ligatures w14:val="standardContextual"/>
        </w:rPr>
      </w:pPr>
      <w:r w:rsidRPr="00D50069">
        <w:rPr>
          <w:rFonts w:asciiTheme="majorBidi" w:eastAsia="Calibri" w:hAnsiTheme="majorBidi" w:cstheme="majorBidi"/>
          <w:kern w:val="2"/>
          <w:position w:val="0"/>
          <w14:ligatures w14:val="standardContextual"/>
        </w:rPr>
        <w:t>This qualitative interview analysis explores the perspectives of six EFL middle school teachers on the impact of Online Teacher Communities (OTCs) on their assessment practices. The following table lists key themes and findings of the teachers’ interviews.</w:t>
      </w:r>
    </w:p>
    <w:p w14:paraId="74C77401" w14:textId="5D5DEE65" w:rsidR="00DB1BA4" w:rsidRDefault="00D50069" w:rsidP="00DB1BA4">
      <w:pPr>
        <w:keepNext/>
        <w:spacing w:after="200" w:line="276" w:lineRule="auto"/>
        <w:jc w:val="both"/>
        <w:rPr>
          <w:rFonts w:asciiTheme="majorBidi" w:eastAsia="Calibri" w:hAnsiTheme="majorBidi" w:cstheme="majorBidi"/>
          <w:i/>
          <w:iCs/>
          <w:kern w:val="2"/>
          <w:position w:val="0"/>
          <w14:ligatures w14:val="standardContextual"/>
        </w:rPr>
      </w:pPr>
      <w:bookmarkStart w:id="179" w:name="_Toc200446654"/>
      <w:r w:rsidRPr="00D50069">
        <w:rPr>
          <w:rFonts w:asciiTheme="majorBidi" w:eastAsia="Calibri" w:hAnsiTheme="majorBidi" w:cstheme="majorBidi"/>
          <w:b/>
          <w:bCs/>
          <w:kern w:val="2"/>
          <w:position w:val="0"/>
          <w14:ligatures w14:val="standardContextual"/>
        </w:rPr>
        <w:lastRenderedPageBreak/>
        <w:t xml:space="preserve">Table </w:t>
      </w:r>
      <w:r w:rsidR="00274F6F" w:rsidRPr="008C2B77">
        <w:rPr>
          <w:rFonts w:asciiTheme="majorBidi" w:eastAsia="Calibri" w:hAnsiTheme="majorBidi" w:cstheme="majorBidi"/>
          <w:b/>
          <w:bCs/>
          <w:kern w:val="2"/>
          <w:position w:val="0"/>
          <w14:ligatures w14:val="standardContextual"/>
        </w:rPr>
        <w:fldChar w:fldCharType="begin"/>
      </w:r>
      <w:r w:rsidR="00274F6F" w:rsidRPr="008C2B77">
        <w:rPr>
          <w:rFonts w:asciiTheme="majorBidi" w:eastAsia="Calibri" w:hAnsiTheme="majorBidi" w:cstheme="majorBidi"/>
          <w:b/>
          <w:bCs/>
          <w:kern w:val="2"/>
          <w:position w:val="0"/>
          <w14:ligatures w14:val="standardContextual"/>
        </w:rPr>
        <w:instrText xml:space="preserve"> SEQ Table \* ARABIC </w:instrText>
      </w:r>
      <w:r w:rsidR="00274F6F" w:rsidRPr="008C2B77">
        <w:rPr>
          <w:rFonts w:asciiTheme="majorBidi" w:eastAsia="Calibri" w:hAnsiTheme="majorBidi" w:cstheme="majorBidi"/>
          <w:b/>
          <w:bCs/>
          <w:kern w:val="2"/>
          <w:position w:val="0"/>
          <w14:ligatures w14:val="standardContextual"/>
        </w:rPr>
        <w:fldChar w:fldCharType="separate"/>
      </w:r>
      <w:r w:rsidR="00DC3231">
        <w:rPr>
          <w:rFonts w:asciiTheme="majorBidi" w:eastAsia="Calibri" w:hAnsiTheme="majorBidi" w:cstheme="majorBidi"/>
          <w:b/>
          <w:bCs/>
          <w:noProof/>
          <w:kern w:val="2"/>
          <w:position w:val="0"/>
          <w14:ligatures w14:val="standardContextual"/>
        </w:rPr>
        <w:t>6</w:t>
      </w:r>
      <w:r w:rsidR="00274F6F" w:rsidRPr="008C2B77">
        <w:rPr>
          <w:rFonts w:asciiTheme="majorBidi" w:eastAsia="Calibri" w:hAnsiTheme="majorBidi" w:cstheme="majorBidi"/>
          <w:b/>
          <w:bCs/>
          <w:kern w:val="2"/>
          <w:position w:val="0"/>
          <w14:ligatures w14:val="standardContextual"/>
        </w:rPr>
        <w:fldChar w:fldCharType="end"/>
      </w:r>
      <w:r w:rsidRPr="00D50069">
        <w:rPr>
          <w:rFonts w:asciiTheme="majorBidi" w:eastAsia="Calibri" w:hAnsiTheme="majorBidi" w:cstheme="majorBidi"/>
          <w:i/>
          <w:iCs/>
          <w:kern w:val="2"/>
          <w:position w:val="0"/>
          <w14:ligatures w14:val="standardContextual"/>
        </w:rPr>
        <w:t xml:space="preserve"> </w:t>
      </w:r>
    </w:p>
    <w:p w14:paraId="1AB71A7A" w14:textId="6EB36F73" w:rsidR="00D50069" w:rsidRPr="00D50069" w:rsidRDefault="00D50069" w:rsidP="00DB1BA4">
      <w:pPr>
        <w:keepNext/>
        <w:spacing w:after="200" w:line="276" w:lineRule="auto"/>
        <w:jc w:val="both"/>
        <w:rPr>
          <w:rFonts w:asciiTheme="majorBidi" w:eastAsia="Calibri" w:hAnsiTheme="majorBidi" w:cstheme="majorBidi"/>
          <w:i/>
          <w:iCs/>
          <w:kern w:val="2"/>
          <w:position w:val="0"/>
          <w14:ligatures w14:val="standardContextual"/>
        </w:rPr>
      </w:pPr>
      <w:r w:rsidRPr="00DB1BA4">
        <w:rPr>
          <w:rFonts w:asciiTheme="majorBidi" w:eastAsia="Calibri" w:hAnsiTheme="majorBidi" w:cstheme="majorBidi"/>
          <w:kern w:val="2"/>
          <w:position w:val="0"/>
          <w14:ligatures w14:val="standardContextual"/>
        </w:rPr>
        <w:t>Key Themes and Findings Related to Teachers Interviews</w:t>
      </w:r>
      <w:bookmarkEnd w:id="179"/>
    </w:p>
    <w:tbl>
      <w:tblPr>
        <w:tblStyle w:val="TableGrid4"/>
        <w:tblW w:w="9062" w:type="dxa"/>
        <w:tblInd w:w="167" w:type="dxa"/>
        <w:tblLook w:val="04A0" w:firstRow="1" w:lastRow="0" w:firstColumn="1" w:lastColumn="0" w:noHBand="0" w:noVBand="1"/>
      </w:tblPr>
      <w:tblGrid>
        <w:gridCol w:w="3671"/>
        <w:gridCol w:w="5391"/>
      </w:tblGrid>
      <w:tr w:rsidR="00D50069" w:rsidRPr="00D50069" w14:paraId="61E44B11" w14:textId="77777777" w:rsidTr="00C141A1">
        <w:tc>
          <w:tcPr>
            <w:tcW w:w="3671" w:type="dxa"/>
          </w:tcPr>
          <w:p w14:paraId="7D7F731A" w14:textId="77777777" w:rsidR="00D50069" w:rsidRPr="00D50069" w:rsidRDefault="00D50069" w:rsidP="009C130D">
            <w:pPr>
              <w:spacing w:line="360" w:lineRule="auto"/>
              <w:jc w:val="both"/>
              <w:rPr>
                <w:rFonts w:asciiTheme="majorBidi" w:hAnsiTheme="majorBidi" w:cstheme="majorBidi"/>
                <w:position w:val="0"/>
                <w:sz w:val="24"/>
                <w:szCs w:val="24"/>
              </w:rPr>
            </w:pPr>
            <w:r w:rsidRPr="00D50069">
              <w:rPr>
                <w:rFonts w:asciiTheme="majorBidi" w:hAnsiTheme="majorBidi" w:cstheme="majorBidi"/>
                <w:position w:val="0"/>
                <w:sz w:val="24"/>
                <w:szCs w:val="24"/>
              </w:rPr>
              <w:t>Key themes</w:t>
            </w:r>
          </w:p>
        </w:tc>
        <w:tc>
          <w:tcPr>
            <w:tcW w:w="5391" w:type="dxa"/>
          </w:tcPr>
          <w:p w14:paraId="1D6FB7A1" w14:textId="77777777" w:rsidR="00D50069" w:rsidRPr="00D50069" w:rsidRDefault="00D50069" w:rsidP="009C130D">
            <w:pPr>
              <w:spacing w:line="360" w:lineRule="auto"/>
              <w:jc w:val="both"/>
              <w:rPr>
                <w:rFonts w:asciiTheme="majorBidi" w:hAnsiTheme="majorBidi" w:cstheme="majorBidi"/>
                <w:position w:val="0"/>
                <w:sz w:val="24"/>
                <w:szCs w:val="24"/>
              </w:rPr>
            </w:pPr>
            <w:r w:rsidRPr="00D50069">
              <w:rPr>
                <w:rFonts w:asciiTheme="majorBidi" w:hAnsiTheme="majorBidi" w:cstheme="majorBidi"/>
                <w:position w:val="0"/>
                <w:sz w:val="24"/>
                <w:szCs w:val="24"/>
              </w:rPr>
              <w:t xml:space="preserve">Findings </w:t>
            </w:r>
          </w:p>
        </w:tc>
      </w:tr>
      <w:tr w:rsidR="00D50069" w:rsidRPr="00D50069" w14:paraId="1B6873E2" w14:textId="77777777" w:rsidTr="00C141A1">
        <w:tc>
          <w:tcPr>
            <w:tcW w:w="3671" w:type="dxa"/>
          </w:tcPr>
          <w:p w14:paraId="0E20B221" w14:textId="77777777" w:rsidR="00D50069" w:rsidRPr="00D50069" w:rsidRDefault="00D50069" w:rsidP="009C130D">
            <w:pPr>
              <w:spacing w:line="360" w:lineRule="auto"/>
              <w:jc w:val="both"/>
              <w:rPr>
                <w:rFonts w:asciiTheme="majorBidi" w:hAnsiTheme="majorBidi" w:cstheme="majorBidi"/>
                <w:position w:val="0"/>
                <w:sz w:val="24"/>
                <w:szCs w:val="24"/>
              </w:rPr>
            </w:pPr>
            <w:r w:rsidRPr="00D50069">
              <w:rPr>
                <w:rFonts w:asciiTheme="majorBidi" w:hAnsiTheme="majorBidi" w:cstheme="majorBidi"/>
                <w:position w:val="0"/>
                <w:sz w:val="24"/>
                <w:szCs w:val="24"/>
              </w:rPr>
              <w:t>Understanding assessment concepts</w:t>
            </w:r>
          </w:p>
        </w:tc>
        <w:tc>
          <w:tcPr>
            <w:tcW w:w="5391" w:type="dxa"/>
          </w:tcPr>
          <w:p w14:paraId="175E657F" w14:textId="77777777" w:rsidR="00D50069" w:rsidRPr="00D50069" w:rsidRDefault="00D50069" w:rsidP="009C130D">
            <w:pPr>
              <w:spacing w:line="360" w:lineRule="auto"/>
              <w:jc w:val="both"/>
              <w:rPr>
                <w:rFonts w:asciiTheme="majorBidi" w:hAnsiTheme="majorBidi" w:cstheme="majorBidi"/>
                <w:position w:val="0"/>
                <w:sz w:val="24"/>
                <w:szCs w:val="24"/>
              </w:rPr>
            </w:pPr>
            <w:r w:rsidRPr="00D50069">
              <w:rPr>
                <w:rFonts w:asciiTheme="majorBidi" w:hAnsiTheme="majorBidi" w:cstheme="majorBidi"/>
                <w:position w:val="0"/>
                <w:sz w:val="24"/>
                <w:szCs w:val="24"/>
              </w:rPr>
              <w:t>OTCs enhance teacher’s understanding of validity, reliability, and alignment with learning objectives.</w:t>
            </w:r>
          </w:p>
        </w:tc>
      </w:tr>
      <w:tr w:rsidR="00D50069" w:rsidRPr="00D50069" w14:paraId="15636656" w14:textId="77777777" w:rsidTr="00C141A1">
        <w:tc>
          <w:tcPr>
            <w:tcW w:w="3671" w:type="dxa"/>
          </w:tcPr>
          <w:p w14:paraId="1132682A" w14:textId="77777777" w:rsidR="00D50069" w:rsidRPr="00D50069" w:rsidRDefault="00D50069" w:rsidP="009C130D">
            <w:pPr>
              <w:spacing w:line="360" w:lineRule="auto"/>
              <w:jc w:val="both"/>
              <w:rPr>
                <w:rFonts w:asciiTheme="majorBidi" w:hAnsiTheme="majorBidi" w:cstheme="majorBidi"/>
                <w:position w:val="0"/>
                <w:sz w:val="24"/>
                <w:szCs w:val="24"/>
              </w:rPr>
            </w:pPr>
            <w:r w:rsidRPr="00D50069">
              <w:rPr>
                <w:rFonts w:asciiTheme="majorBidi" w:hAnsiTheme="majorBidi" w:cstheme="majorBidi"/>
                <w:position w:val="0"/>
                <w:sz w:val="24"/>
                <w:szCs w:val="24"/>
              </w:rPr>
              <w:t>Diverse perspectives and feedback</w:t>
            </w:r>
          </w:p>
        </w:tc>
        <w:tc>
          <w:tcPr>
            <w:tcW w:w="5391" w:type="dxa"/>
          </w:tcPr>
          <w:p w14:paraId="55D2DC89" w14:textId="77777777" w:rsidR="00D50069" w:rsidRPr="00D50069" w:rsidRDefault="00D50069" w:rsidP="009C130D">
            <w:pPr>
              <w:spacing w:line="360" w:lineRule="auto"/>
              <w:jc w:val="both"/>
              <w:rPr>
                <w:rFonts w:asciiTheme="majorBidi" w:hAnsiTheme="majorBidi" w:cstheme="majorBidi"/>
                <w:position w:val="0"/>
                <w:sz w:val="24"/>
                <w:szCs w:val="24"/>
              </w:rPr>
            </w:pPr>
            <w:r w:rsidRPr="00D50069">
              <w:rPr>
                <w:rFonts w:asciiTheme="majorBidi" w:hAnsiTheme="majorBidi" w:cstheme="majorBidi"/>
                <w:position w:val="0"/>
                <w:sz w:val="24"/>
                <w:szCs w:val="24"/>
              </w:rPr>
              <w:t>Teachers obtain practical insights and peer feedback on assessment tools.</w:t>
            </w:r>
          </w:p>
        </w:tc>
      </w:tr>
      <w:tr w:rsidR="00D50069" w:rsidRPr="00D50069" w14:paraId="5DB3028F" w14:textId="77777777" w:rsidTr="00C141A1">
        <w:tc>
          <w:tcPr>
            <w:tcW w:w="3671" w:type="dxa"/>
          </w:tcPr>
          <w:p w14:paraId="2159C0AB" w14:textId="77777777" w:rsidR="00D50069" w:rsidRPr="00D50069" w:rsidRDefault="00D50069" w:rsidP="009C130D">
            <w:pPr>
              <w:spacing w:line="360" w:lineRule="auto"/>
              <w:jc w:val="both"/>
              <w:rPr>
                <w:rFonts w:asciiTheme="majorBidi" w:hAnsiTheme="majorBidi" w:cstheme="majorBidi"/>
                <w:position w:val="0"/>
                <w:sz w:val="24"/>
                <w:szCs w:val="24"/>
              </w:rPr>
            </w:pPr>
            <w:r w:rsidRPr="00D50069">
              <w:rPr>
                <w:rFonts w:asciiTheme="majorBidi" w:hAnsiTheme="majorBidi" w:cstheme="majorBidi"/>
                <w:position w:val="0"/>
                <w:sz w:val="24"/>
                <w:szCs w:val="24"/>
              </w:rPr>
              <w:t xml:space="preserve">Grading support </w:t>
            </w:r>
          </w:p>
        </w:tc>
        <w:tc>
          <w:tcPr>
            <w:tcW w:w="5391" w:type="dxa"/>
          </w:tcPr>
          <w:p w14:paraId="0B412848" w14:textId="77777777" w:rsidR="00D50069" w:rsidRPr="00D50069" w:rsidRDefault="00D50069" w:rsidP="009C130D">
            <w:pPr>
              <w:spacing w:line="360" w:lineRule="auto"/>
              <w:jc w:val="both"/>
              <w:rPr>
                <w:rFonts w:asciiTheme="majorBidi" w:hAnsiTheme="majorBidi" w:cstheme="majorBidi"/>
                <w:position w:val="0"/>
                <w:sz w:val="24"/>
                <w:szCs w:val="24"/>
              </w:rPr>
            </w:pPr>
            <w:r w:rsidRPr="00D50069">
              <w:rPr>
                <w:rFonts w:asciiTheme="majorBidi" w:hAnsiTheme="majorBidi" w:cstheme="majorBidi"/>
                <w:position w:val="0"/>
                <w:sz w:val="24"/>
                <w:szCs w:val="24"/>
              </w:rPr>
              <w:t>OTCs offer means (rubrics, templates) to improve grading consistency and fairness.</w:t>
            </w:r>
          </w:p>
        </w:tc>
      </w:tr>
      <w:tr w:rsidR="00D50069" w:rsidRPr="00D50069" w14:paraId="3C600F74" w14:textId="77777777" w:rsidTr="00C141A1">
        <w:tc>
          <w:tcPr>
            <w:tcW w:w="3671" w:type="dxa"/>
          </w:tcPr>
          <w:p w14:paraId="37760ED4" w14:textId="36100F62" w:rsidR="00D50069" w:rsidRPr="00D50069" w:rsidRDefault="00D50069" w:rsidP="008D1B01">
            <w:pPr>
              <w:spacing w:line="360" w:lineRule="auto"/>
              <w:rPr>
                <w:rFonts w:asciiTheme="majorBidi" w:hAnsiTheme="majorBidi" w:cstheme="majorBidi"/>
                <w:position w:val="0"/>
                <w:sz w:val="24"/>
                <w:szCs w:val="24"/>
              </w:rPr>
            </w:pPr>
            <w:r w:rsidRPr="00D50069">
              <w:rPr>
                <w:rFonts w:asciiTheme="majorBidi" w:hAnsiTheme="majorBidi" w:cstheme="majorBidi"/>
                <w:position w:val="0"/>
                <w:sz w:val="24"/>
                <w:szCs w:val="24"/>
              </w:rPr>
              <w:t>Summative assessment</w:t>
            </w:r>
            <w:r w:rsidR="008D1B01">
              <w:rPr>
                <w:rFonts w:asciiTheme="majorBidi" w:hAnsiTheme="majorBidi" w:cstheme="majorBidi"/>
                <w:position w:val="0"/>
                <w:sz w:val="24"/>
                <w:szCs w:val="24"/>
              </w:rPr>
              <w:t xml:space="preserve"> </w:t>
            </w:r>
            <w:r w:rsidRPr="00D50069">
              <w:rPr>
                <w:rFonts w:asciiTheme="majorBidi" w:hAnsiTheme="majorBidi" w:cstheme="majorBidi"/>
                <w:position w:val="0"/>
                <w:sz w:val="24"/>
                <w:szCs w:val="24"/>
              </w:rPr>
              <w:t>improvement</w:t>
            </w:r>
          </w:p>
        </w:tc>
        <w:tc>
          <w:tcPr>
            <w:tcW w:w="5391" w:type="dxa"/>
          </w:tcPr>
          <w:p w14:paraId="47239D8D" w14:textId="77777777" w:rsidR="00D50069" w:rsidRPr="00D50069" w:rsidRDefault="00D50069" w:rsidP="009C130D">
            <w:pPr>
              <w:spacing w:line="360" w:lineRule="auto"/>
              <w:jc w:val="both"/>
              <w:rPr>
                <w:rFonts w:asciiTheme="majorBidi" w:hAnsiTheme="majorBidi" w:cstheme="majorBidi"/>
                <w:position w:val="0"/>
                <w:sz w:val="24"/>
                <w:szCs w:val="24"/>
              </w:rPr>
            </w:pPr>
            <w:r w:rsidRPr="00D50069">
              <w:rPr>
                <w:rFonts w:asciiTheme="majorBidi" w:hAnsiTheme="majorBidi" w:cstheme="majorBidi"/>
                <w:position w:val="0"/>
                <w:sz w:val="24"/>
                <w:szCs w:val="24"/>
              </w:rPr>
              <w:t>Teachers refine assessment tools through peer feedback, enhancing engagement and effectiveness.</w:t>
            </w:r>
          </w:p>
        </w:tc>
      </w:tr>
      <w:tr w:rsidR="00D50069" w:rsidRPr="00D50069" w14:paraId="15B96EBC" w14:textId="77777777" w:rsidTr="00C141A1">
        <w:tc>
          <w:tcPr>
            <w:tcW w:w="3671" w:type="dxa"/>
          </w:tcPr>
          <w:p w14:paraId="4C3D97D4" w14:textId="77777777" w:rsidR="00D50069" w:rsidRPr="00D50069" w:rsidRDefault="00D50069" w:rsidP="009C130D">
            <w:pPr>
              <w:spacing w:line="360" w:lineRule="auto"/>
              <w:jc w:val="both"/>
              <w:rPr>
                <w:rFonts w:asciiTheme="majorBidi" w:hAnsiTheme="majorBidi" w:cstheme="majorBidi"/>
                <w:position w:val="0"/>
                <w:sz w:val="24"/>
                <w:szCs w:val="24"/>
              </w:rPr>
            </w:pPr>
            <w:r w:rsidRPr="00D50069">
              <w:rPr>
                <w:rFonts w:asciiTheme="majorBidi" w:hAnsiTheme="majorBidi" w:cstheme="majorBidi"/>
                <w:position w:val="0"/>
                <w:sz w:val="24"/>
                <w:szCs w:val="24"/>
              </w:rPr>
              <w:t>Creativity and innovation</w:t>
            </w:r>
          </w:p>
        </w:tc>
        <w:tc>
          <w:tcPr>
            <w:tcW w:w="5391" w:type="dxa"/>
          </w:tcPr>
          <w:p w14:paraId="71F66CD0" w14:textId="77777777" w:rsidR="00D50069" w:rsidRPr="00D50069" w:rsidRDefault="00D50069" w:rsidP="009C130D">
            <w:pPr>
              <w:spacing w:line="360" w:lineRule="auto"/>
              <w:jc w:val="both"/>
              <w:rPr>
                <w:rFonts w:asciiTheme="majorBidi" w:hAnsiTheme="majorBidi" w:cstheme="majorBidi"/>
                <w:position w:val="0"/>
                <w:sz w:val="24"/>
                <w:szCs w:val="24"/>
              </w:rPr>
            </w:pPr>
            <w:r w:rsidRPr="00D50069">
              <w:rPr>
                <w:rFonts w:asciiTheme="majorBidi" w:hAnsiTheme="majorBidi" w:cstheme="majorBidi"/>
                <w:position w:val="0"/>
                <w:sz w:val="24"/>
                <w:szCs w:val="24"/>
              </w:rPr>
              <w:t>Exposure to new ideas foster creative assessment design.</w:t>
            </w:r>
          </w:p>
        </w:tc>
      </w:tr>
      <w:tr w:rsidR="00D50069" w:rsidRPr="00D50069" w14:paraId="0522854A" w14:textId="77777777" w:rsidTr="00C141A1">
        <w:tblPrEx>
          <w:tblBorders>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rPr>
          <w:trHeight w:val="100"/>
        </w:trPr>
        <w:tc>
          <w:tcPr>
            <w:tcW w:w="3671" w:type="dxa"/>
            <w:tcBorders>
              <w:left w:val="single" w:sz="4" w:space="0" w:color="auto"/>
              <w:bottom w:val="single" w:sz="4" w:space="0" w:color="auto"/>
              <w:right w:val="single" w:sz="4" w:space="0" w:color="auto"/>
            </w:tcBorders>
          </w:tcPr>
          <w:p w14:paraId="05D9EFDA" w14:textId="77777777" w:rsidR="00D50069" w:rsidRPr="00D50069" w:rsidRDefault="00D50069" w:rsidP="009C130D">
            <w:pPr>
              <w:spacing w:line="360" w:lineRule="auto"/>
              <w:jc w:val="both"/>
              <w:rPr>
                <w:rFonts w:asciiTheme="majorBidi" w:hAnsiTheme="majorBidi" w:cstheme="majorBidi"/>
                <w:position w:val="0"/>
                <w:sz w:val="24"/>
                <w:szCs w:val="24"/>
              </w:rPr>
            </w:pPr>
            <w:r w:rsidRPr="00D50069">
              <w:rPr>
                <w:rFonts w:asciiTheme="majorBidi" w:hAnsiTheme="majorBidi" w:cstheme="majorBidi"/>
                <w:position w:val="0"/>
                <w:sz w:val="24"/>
                <w:szCs w:val="24"/>
              </w:rPr>
              <w:t xml:space="preserve">Digital literacy development </w:t>
            </w:r>
          </w:p>
        </w:tc>
        <w:tc>
          <w:tcPr>
            <w:tcW w:w="5391" w:type="dxa"/>
            <w:tcBorders>
              <w:left w:val="single" w:sz="4" w:space="0" w:color="auto"/>
              <w:bottom w:val="single" w:sz="4" w:space="0" w:color="auto"/>
              <w:right w:val="single" w:sz="4" w:space="0" w:color="auto"/>
            </w:tcBorders>
          </w:tcPr>
          <w:p w14:paraId="14D33199" w14:textId="77777777" w:rsidR="00D50069" w:rsidRPr="00D50069" w:rsidRDefault="00D50069" w:rsidP="009C130D">
            <w:pPr>
              <w:spacing w:line="360" w:lineRule="auto"/>
              <w:jc w:val="both"/>
              <w:rPr>
                <w:rFonts w:asciiTheme="majorBidi" w:hAnsiTheme="majorBidi" w:cstheme="majorBidi"/>
                <w:position w:val="0"/>
                <w:sz w:val="24"/>
                <w:szCs w:val="24"/>
              </w:rPr>
            </w:pPr>
            <w:r w:rsidRPr="00D50069">
              <w:rPr>
                <w:rFonts w:asciiTheme="majorBidi" w:hAnsiTheme="majorBidi" w:cstheme="majorBidi"/>
                <w:position w:val="0"/>
                <w:sz w:val="24"/>
                <w:szCs w:val="24"/>
              </w:rPr>
              <w:t>Participation optimizes teacher’s technological skills for efficient assessment practices.</w:t>
            </w:r>
          </w:p>
        </w:tc>
      </w:tr>
    </w:tbl>
    <w:p w14:paraId="18601F08" w14:textId="77777777" w:rsidR="00D50069" w:rsidRPr="00D50069" w:rsidRDefault="00D50069" w:rsidP="00C3495D">
      <w:pPr>
        <w:spacing w:after="160" w:line="480" w:lineRule="auto"/>
        <w:ind w:left="360"/>
        <w:contextualSpacing/>
        <w:jc w:val="both"/>
        <w:rPr>
          <w:rFonts w:asciiTheme="majorBidi" w:eastAsia="Calibri" w:hAnsiTheme="majorBidi" w:cstheme="majorBidi"/>
          <w:kern w:val="2"/>
          <w:position w:val="0"/>
          <w14:ligatures w14:val="standardContextual"/>
        </w:rPr>
      </w:pPr>
    </w:p>
    <w:p w14:paraId="05F007D5" w14:textId="77777777" w:rsidR="00DB1BA4" w:rsidRDefault="00D50069" w:rsidP="00DB1BA4">
      <w:pPr>
        <w:spacing w:after="160" w:line="480" w:lineRule="auto"/>
        <w:ind w:firstLine="567"/>
        <w:contextualSpacing/>
        <w:jc w:val="both"/>
        <w:rPr>
          <w:rFonts w:asciiTheme="majorBidi" w:eastAsia="Calibri" w:hAnsiTheme="majorBidi" w:cstheme="majorBidi"/>
          <w:kern w:val="2"/>
          <w:position w:val="0"/>
          <w14:ligatures w14:val="standardContextual"/>
        </w:rPr>
      </w:pPr>
      <w:r w:rsidRPr="00D50069">
        <w:rPr>
          <w:rFonts w:asciiTheme="majorBidi" w:eastAsia="Calibri" w:hAnsiTheme="majorBidi" w:cstheme="majorBidi"/>
          <w:kern w:val="2"/>
          <w:position w:val="0"/>
          <w14:ligatures w14:val="standardContextual"/>
        </w:rPr>
        <w:t xml:space="preserve"> As educators increasingly engage with online platforms for professional development, it is crucial to understand how these communities shape their understanding of key assessment concepts and practices. OTCs facilitate a shift from theoretical knowledge to practical application. Teachers consistently report a significant enhancement in their comprehension of validity, reliability, and alignment with learning objectives through engagement in these online spaces. For instance, one participant stated, “For me, discussions in such communities had a great impact on my understanding…the more I engage with more content, I understand more the criteria of better assessment tools…”</w:t>
      </w:r>
      <w:r w:rsidR="00DB1BA4">
        <w:rPr>
          <w:rFonts w:asciiTheme="majorBidi" w:eastAsia="Calibri" w:hAnsiTheme="majorBidi" w:cstheme="majorBidi"/>
          <w:kern w:val="2"/>
          <w:position w:val="0"/>
          <w14:ligatures w14:val="standardContextual"/>
        </w:rPr>
        <w:t xml:space="preserve"> </w:t>
      </w:r>
      <w:r w:rsidRPr="00D50069">
        <w:rPr>
          <w:rFonts w:asciiTheme="majorBidi" w:eastAsia="Calibri" w:hAnsiTheme="majorBidi" w:cstheme="majorBidi"/>
          <w:b/>
          <w:bCs/>
          <w:kern w:val="2"/>
          <w:position w:val="0"/>
          <w14:ligatures w14:val="standardContextual"/>
        </w:rPr>
        <w:t>(Teacher 1, Appendix B)</w:t>
      </w:r>
      <w:r w:rsidRPr="00D50069">
        <w:rPr>
          <w:rFonts w:asciiTheme="majorBidi" w:eastAsia="Calibri" w:hAnsiTheme="majorBidi" w:cstheme="majorBidi"/>
          <w:kern w:val="2"/>
          <w:position w:val="0"/>
          <w14:ligatures w14:val="standardContextual"/>
        </w:rPr>
        <w:t xml:space="preserve">. </w:t>
      </w:r>
    </w:p>
    <w:p w14:paraId="083AF814" w14:textId="77777777" w:rsidR="001B1871" w:rsidRDefault="00D50069" w:rsidP="001B1871">
      <w:pPr>
        <w:spacing w:after="160" w:line="480" w:lineRule="auto"/>
        <w:ind w:firstLine="567"/>
        <w:contextualSpacing/>
        <w:jc w:val="both"/>
        <w:rPr>
          <w:rFonts w:asciiTheme="majorBidi" w:eastAsia="Calibri" w:hAnsiTheme="majorBidi" w:cstheme="majorBidi"/>
          <w:kern w:val="2"/>
          <w:position w:val="0"/>
          <w14:ligatures w14:val="standardContextual"/>
        </w:rPr>
      </w:pPr>
      <w:r w:rsidRPr="00D50069">
        <w:rPr>
          <w:rFonts w:asciiTheme="majorBidi" w:eastAsia="Calibri" w:hAnsiTheme="majorBidi" w:cstheme="majorBidi"/>
          <w:kern w:val="2"/>
          <w:position w:val="0"/>
          <w14:ligatures w14:val="standardContextual"/>
        </w:rPr>
        <w:t xml:space="preserve">Participants also indicated that they leverage these communities to gain diverse perspectives and practical insights. OTCs enable them to share assessment tools and receive critical peer feedback. As one participant noted, OTCs aid in evaluating "the effectiveness of assessment tools in several ways, such as through sharing and feedback,” emphasizing the </w:t>
      </w:r>
      <w:r w:rsidRPr="00D50069">
        <w:rPr>
          <w:rFonts w:asciiTheme="majorBidi" w:eastAsia="Calibri" w:hAnsiTheme="majorBidi" w:cstheme="majorBidi"/>
          <w:kern w:val="2"/>
          <w:position w:val="0"/>
          <w14:ligatures w14:val="standardContextual"/>
        </w:rPr>
        <w:lastRenderedPageBreak/>
        <w:t xml:space="preserve">collaborative process that allows for the identification of whether an assessment truly measures the intended learning outcomes </w:t>
      </w:r>
      <w:r w:rsidRPr="00D50069">
        <w:rPr>
          <w:rFonts w:asciiTheme="majorBidi" w:eastAsia="Calibri" w:hAnsiTheme="majorBidi" w:cstheme="majorBidi"/>
          <w:b/>
          <w:bCs/>
          <w:kern w:val="2"/>
          <w:position w:val="0"/>
          <w14:ligatures w14:val="standardContextual"/>
        </w:rPr>
        <w:t>(Teacher 2, Appendix B)</w:t>
      </w:r>
      <w:r w:rsidRPr="00D50069">
        <w:rPr>
          <w:rFonts w:asciiTheme="majorBidi" w:eastAsia="Calibri" w:hAnsiTheme="majorBidi" w:cstheme="majorBidi"/>
          <w:kern w:val="2"/>
          <w:position w:val="0"/>
          <w14:ligatures w14:val="standardContextual"/>
        </w:rPr>
        <w:t xml:space="preserve">. </w:t>
      </w:r>
    </w:p>
    <w:p w14:paraId="21378A74" w14:textId="7E3BD540" w:rsidR="001B1871" w:rsidRDefault="00D50069" w:rsidP="001B1871">
      <w:pPr>
        <w:spacing w:after="160" w:line="480" w:lineRule="auto"/>
        <w:ind w:firstLine="567"/>
        <w:contextualSpacing/>
        <w:jc w:val="both"/>
        <w:rPr>
          <w:rFonts w:asciiTheme="majorBidi" w:eastAsia="Calibri" w:hAnsiTheme="majorBidi" w:cstheme="majorBidi"/>
          <w:kern w:val="2"/>
          <w:position w:val="0"/>
          <w14:ligatures w14:val="standardContextual"/>
        </w:rPr>
      </w:pPr>
      <w:r w:rsidRPr="00D50069">
        <w:rPr>
          <w:rFonts w:asciiTheme="majorBidi" w:eastAsia="Calibri" w:hAnsiTheme="majorBidi" w:cstheme="majorBidi"/>
          <w:kern w:val="2"/>
          <w:position w:val="0"/>
          <w14:ligatures w14:val="standardContextual"/>
        </w:rPr>
        <w:t>Moreover, participants agreed that OTCs play a crucial role in supporting them in the complex task of grading projects and portfolios. They utilize these platforms to refine their evaluation skills and develop a deeper understanding of student work. For example, one participant stated that OTCs offer valuable resources such as “rubrics, grading templates, and discussions on fair assessment,” which contribute to the adoption of “more objective, transparent, and consistent grading practices”.</w:t>
      </w:r>
    </w:p>
    <w:p w14:paraId="2436C777" w14:textId="77777777" w:rsidR="001B1871" w:rsidRDefault="00D50069" w:rsidP="001B1871">
      <w:pPr>
        <w:spacing w:after="160" w:line="480" w:lineRule="auto"/>
        <w:ind w:firstLine="567"/>
        <w:contextualSpacing/>
        <w:jc w:val="both"/>
        <w:rPr>
          <w:rFonts w:asciiTheme="majorBidi" w:eastAsia="Calibri" w:hAnsiTheme="majorBidi" w:cstheme="majorBidi"/>
          <w:kern w:val="2"/>
          <w:position w:val="0"/>
          <w14:ligatures w14:val="standardContextual"/>
        </w:rPr>
      </w:pPr>
      <w:r w:rsidRPr="00D50069">
        <w:rPr>
          <w:rFonts w:asciiTheme="majorBidi" w:eastAsia="Calibri" w:hAnsiTheme="majorBidi" w:cstheme="majorBidi"/>
          <w:kern w:val="2"/>
          <w:position w:val="0"/>
          <w14:ligatures w14:val="standardContextual"/>
        </w:rPr>
        <w:t xml:space="preserve"> Furthermore, these participants utilize OTCs to varying extents in their summative assessment practices; however, they report that these platforms enhance assessment quality and efficiency. As one participant noted, “I sometimes use them. I share my tests or exams and wait for teachers’ feedback. This helps me get more competent in designing more engaging and effective tools” </w:t>
      </w:r>
      <w:r w:rsidRPr="00D50069">
        <w:rPr>
          <w:rFonts w:asciiTheme="majorBidi" w:eastAsia="Calibri" w:hAnsiTheme="majorBidi" w:cstheme="majorBidi"/>
          <w:b/>
          <w:bCs/>
          <w:kern w:val="2"/>
          <w:position w:val="0"/>
          <w14:ligatures w14:val="standardContextual"/>
        </w:rPr>
        <w:t>(Teacher 1, Appendix B)</w:t>
      </w:r>
      <w:r w:rsidRPr="00D50069">
        <w:rPr>
          <w:rFonts w:asciiTheme="majorBidi" w:eastAsia="Calibri" w:hAnsiTheme="majorBidi" w:cstheme="majorBidi"/>
          <w:kern w:val="2"/>
          <w:position w:val="0"/>
          <w14:ligatures w14:val="standardContextual"/>
        </w:rPr>
        <w:t xml:space="preserve">. </w:t>
      </w:r>
    </w:p>
    <w:p w14:paraId="2824CAB7" w14:textId="78E7D197" w:rsidR="001B1871" w:rsidRDefault="00D50069" w:rsidP="001B1871">
      <w:pPr>
        <w:spacing w:after="160" w:line="480" w:lineRule="auto"/>
        <w:ind w:firstLine="567"/>
        <w:contextualSpacing/>
        <w:jc w:val="both"/>
        <w:rPr>
          <w:rFonts w:asciiTheme="majorBidi" w:eastAsia="Calibri" w:hAnsiTheme="majorBidi" w:cstheme="majorBidi"/>
          <w:kern w:val="2"/>
          <w:position w:val="0"/>
          <w14:ligatures w14:val="standardContextual"/>
        </w:rPr>
      </w:pPr>
      <w:r w:rsidRPr="00D50069">
        <w:rPr>
          <w:rFonts w:asciiTheme="majorBidi" w:eastAsia="Calibri" w:hAnsiTheme="majorBidi" w:cstheme="majorBidi"/>
          <w:kern w:val="2"/>
          <w:position w:val="0"/>
          <w14:ligatures w14:val="standardContextual"/>
        </w:rPr>
        <w:t xml:space="preserve">  Interviews reveal that OTCs play a significant role in fostering both creativity and confidence among teachers in the development of assessment tools. These platforms expose educators to a wealth of new ideas, diverse formats, and innovative approaches, thereby stimulating their creative thinking. As one participant noted, OTCs “introduce new ideas, different formats, and collaborative brainstorming”. </w:t>
      </w:r>
    </w:p>
    <w:p w14:paraId="04178157" w14:textId="77777777" w:rsidR="00625DD3" w:rsidRDefault="00D50069" w:rsidP="00625DD3">
      <w:pPr>
        <w:spacing w:after="160" w:line="480" w:lineRule="auto"/>
        <w:ind w:firstLine="567"/>
        <w:contextualSpacing/>
        <w:jc w:val="both"/>
        <w:rPr>
          <w:rFonts w:asciiTheme="majorBidi" w:eastAsia="Calibri" w:hAnsiTheme="majorBidi" w:cstheme="majorBidi"/>
          <w:kern w:val="2"/>
          <w:position w:val="0"/>
          <w14:ligatures w14:val="standardContextual"/>
        </w:rPr>
      </w:pPr>
      <w:r w:rsidRPr="00D50069">
        <w:rPr>
          <w:rFonts w:asciiTheme="majorBidi" w:eastAsia="Calibri" w:hAnsiTheme="majorBidi" w:cstheme="majorBidi"/>
          <w:kern w:val="2"/>
          <w:position w:val="0"/>
          <w14:ligatures w14:val="standardContextual"/>
        </w:rPr>
        <w:t xml:space="preserve">Finally, interviews reveal that OTCs enhance teachers’ digital literacy. Participation in these platforms fosters increased proficiency in utilizing a range of technological tools, leading to </w:t>
      </w:r>
      <w:proofErr w:type="gramStart"/>
      <w:r w:rsidRPr="00D50069">
        <w:rPr>
          <w:rFonts w:asciiTheme="majorBidi" w:eastAsia="Calibri" w:hAnsiTheme="majorBidi" w:cstheme="majorBidi"/>
          <w:kern w:val="2"/>
          <w:position w:val="0"/>
          <w14:ligatures w14:val="standardContextual"/>
        </w:rPr>
        <w:t>more efficient assessment</w:t>
      </w:r>
      <w:proofErr w:type="gramEnd"/>
      <w:r w:rsidRPr="00D50069">
        <w:rPr>
          <w:rFonts w:asciiTheme="majorBidi" w:eastAsia="Calibri" w:hAnsiTheme="majorBidi" w:cstheme="majorBidi"/>
          <w:kern w:val="2"/>
          <w:position w:val="0"/>
          <w14:ligatures w14:val="standardContextual"/>
        </w:rPr>
        <w:t xml:space="preserve"> practices. As one participant emphasized, these platforms provide “practical guidance on tasks such as uploading and downloading assessment tools, effectively providing and receiving feedback on student work, and even navigating new educational software or platforms”. </w:t>
      </w:r>
    </w:p>
    <w:p w14:paraId="39353BCD" w14:textId="3AF92BF1" w:rsidR="00D50069" w:rsidRPr="00D50069" w:rsidRDefault="008C2B77" w:rsidP="00625DD3">
      <w:pPr>
        <w:spacing w:after="160" w:line="480" w:lineRule="auto"/>
        <w:ind w:firstLine="567"/>
        <w:contextualSpacing/>
        <w:jc w:val="both"/>
        <w:rPr>
          <w:rFonts w:asciiTheme="majorBidi" w:eastAsia="Calibri" w:hAnsiTheme="majorBidi" w:cstheme="majorBidi"/>
          <w:kern w:val="2"/>
          <w:position w:val="0"/>
          <w14:ligatures w14:val="standardContextual"/>
        </w:rPr>
      </w:pPr>
      <w:r>
        <w:rPr>
          <w:rFonts w:asciiTheme="majorBidi" w:eastAsia="Calibri" w:hAnsiTheme="majorBidi" w:cstheme="majorBidi"/>
          <w:kern w:val="2"/>
          <w:position w:val="0"/>
          <w14:ligatures w14:val="standardContextual"/>
        </w:rPr>
        <w:lastRenderedPageBreak/>
        <w:t xml:space="preserve"> </w:t>
      </w:r>
      <w:r w:rsidR="00D50069" w:rsidRPr="00D50069">
        <w:rPr>
          <w:rFonts w:asciiTheme="majorBidi" w:eastAsia="Calibri" w:hAnsiTheme="majorBidi" w:cstheme="majorBidi"/>
          <w:kern w:val="2"/>
          <w:position w:val="0"/>
          <w14:ligatures w14:val="standardContextual"/>
        </w:rPr>
        <w:t xml:space="preserve">In summary, the findings highlight the role of OTCs in fostering enhanced assessment knowledge, promoting practical application, and building a collaborative environment for sharing and learning among educators. </w:t>
      </w:r>
    </w:p>
    <w:p w14:paraId="4A43E92F" w14:textId="59938F5E" w:rsidR="00D50069" w:rsidRPr="00D50069" w:rsidRDefault="008E2285" w:rsidP="00AA5DBF">
      <w:pPr>
        <w:pStyle w:val="Titre1"/>
        <w:rPr>
          <w:rFonts w:eastAsia="Calibri"/>
        </w:rPr>
      </w:pPr>
      <w:bookmarkStart w:id="180" w:name="_Toc200486079"/>
      <w:r>
        <w:rPr>
          <w:rFonts w:eastAsia="Calibri"/>
        </w:rPr>
        <w:t xml:space="preserve">2.2.2.2 </w:t>
      </w:r>
      <w:r w:rsidR="00D50069" w:rsidRPr="00D50069">
        <w:rPr>
          <w:rFonts w:eastAsia="Calibri"/>
        </w:rPr>
        <w:t>Inspector’s Interview</w:t>
      </w:r>
      <w:bookmarkEnd w:id="180"/>
    </w:p>
    <w:p w14:paraId="197AE0E0" w14:textId="58D298E1" w:rsidR="00D50069" w:rsidRPr="00D50069" w:rsidRDefault="00D50069" w:rsidP="008E2285">
      <w:pPr>
        <w:spacing w:after="160" w:line="480" w:lineRule="auto"/>
        <w:ind w:firstLine="567"/>
        <w:contextualSpacing/>
        <w:jc w:val="both"/>
        <w:rPr>
          <w:rFonts w:asciiTheme="majorBidi" w:eastAsia="Calibri" w:hAnsiTheme="majorBidi" w:cstheme="majorBidi"/>
          <w:kern w:val="2"/>
          <w:position w:val="0"/>
          <w14:ligatures w14:val="standardContextual"/>
        </w:rPr>
      </w:pPr>
      <w:r w:rsidRPr="00D50069">
        <w:rPr>
          <w:rFonts w:asciiTheme="majorBidi" w:eastAsia="Calibri" w:hAnsiTheme="majorBidi" w:cstheme="majorBidi"/>
          <w:kern w:val="2"/>
          <w:position w:val="0"/>
          <w14:ligatures w14:val="standardContextual"/>
        </w:rPr>
        <w:t xml:space="preserve">The interview with the inspector and the administrator of “District 4 Teacher Corner” offers a valuable qualitative perspective on how </w:t>
      </w:r>
      <w:bookmarkStart w:id="181" w:name="_Hlk198638067"/>
      <w:r w:rsidRPr="00D50069">
        <w:rPr>
          <w:rFonts w:asciiTheme="majorBidi" w:eastAsia="Calibri" w:hAnsiTheme="majorBidi" w:cstheme="majorBidi"/>
          <w:kern w:val="2"/>
          <w:position w:val="0"/>
          <w14:ligatures w14:val="standardContextual"/>
        </w:rPr>
        <w:t>OTLCs</w:t>
      </w:r>
      <w:bookmarkEnd w:id="181"/>
      <w:r w:rsidRPr="00D50069">
        <w:rPr>
          <w:rFonts w:asciiTheme="majorBidi" w:eastAsia="Calibri" w:hAnsiTheme="majorBidi" w:cstheme="majorBidi"/>
          <w:kern w:val="2"/>
          <w:position w:val="0"/>
          <w14:ligatures w14:val="standardContextual"/>
        </w:rPr>
        <w:t xml:space="preserve"> influence educators’ understanding and application of summative assessment principles. Key themes and findings of the inspector’s interview </w:t>
      </w:r>
      <w:proofErr w:type="gramStart"/>
      <w:r w:rsidRPr="00D50069">
        <w:rPr>
          <w:rFonts w:asciiTheme="majorBidi" w:eastAsia="Calibri" w:hAnsiTheme="majorBidi" w:cstheme="majorBidi"/>
          <w:kern w:val="2"/>
          <w:position w:val="0"/>
          <w14:ligatures w14:val="standardContextual"/>
        </w:rPr>
        <w:t>are organized</w:t>
      </w:r>
      <w:proofErr w:type="gramEnd"/>
      <w:r w:rsidRPr="00D50069">
        <w:rPr>
          <w:rFonts w:asciiTheme="majorBidi" w:eastAsia="Calibri" w:hAnsiTheme="majorBidi" w:cstheme="majorBidi"/>
          <w:kern w:val="2"/>
          <w:position w:val="0"/>
          <w14:ligatures w14:val="standardContextual"/>
        </w:rPr>
        <w:t xml:space="preserve"> in this table. </w:t>
      </w:r>
    </w:p>
    <w:p w14:paraId="2EA10A4C" w14:textId="3DA8847B" w:rsidR="005D02DC" w:rsidRDefault="00D50069" w:rsidP="005D02DC">
      <w:pPr>
        <w:keepNext/>
        <w:spacing w:after="200" w:line="276" w:lineRule="auto"/>
        <w:jc w:val="both"/>
        <w:rPr>
          <w:rFonts w:asciiTheme="majorBidi" w:eastAsia="Calibri" w:hAnsiTheme="majorBidi" w:cstheme="majorBidi"/>
          <w:i/>
          <w:iCs/>
          <w:kern w:val="2"/>
          <w:position w:val="0"/>
          <w14:ligatures w14:val="standardContextual"/>
        </w:rPr>
      </w:pPr>
      <w:bookmarkStart w:id="182" w:name="_Toc200446655"/>
      <w:r w:rsidRPr="00D50069">
        <w:rPr>
          <w:rFonts w:asciiTheme="majorBidi" w:eastAsia="Calibri" w:hAnsiTheme="majorBidi" w:cstheme="majorBidi"/>
          <w:b/>
          <w:bCs/>
          <w:kern w:val="2"/>
          <w:position w:val="0"/>
          <w14:ligatures w14:val="standardContextual"/>
        </w:rPr>
        <w:t xml:space="preserve">Table </w:t>
      </w:r>
      <w:r w:rsidR="00274F6F" w:rsidRPr="00E008B1">
        <w:rPr>
          <w:rFonts w:asciiTheme="majorBidi" w:eastAsia="Calibri" w:hAnsiTheme="majorBidi" w:cstheme="majorBidi"/>
          <w:b/>
          <w:bCs/>
          <w:kern w:val="2"/>
          <w:position w:val="0"/>
          <w14:ligatures w14:val="standardContextual"/>
        </w:rPr>
        <w:fldChar w:fldCharType="begin"/>
      </w:r>
      <w:r w:rsidR="00274F6F" w:rsidRPr="00E008B1">
        <w:rPr>
          <w:rFonts w:asciiTheme="majorBidi" w:eastAsia="Calibri" w:hAnsiTheme="majorBidi" w:cstheme="majorBidi"/>
          <w:b/>
          <w:bCs/>
          <w:kern w:val="2"/>
          <w:position w:val="0"/>
          <w14:ligatures w14:val="standardContextual"/>
        </w:rPr>
        <w:instrText xml:space="preserve"> SEQ Table \* ARABIC </w:instrText>
      </w:r>
      <w:r w:rsidR="00274F6F" w:rsidRPr="00E008B1">
        <w:rPr>
          <w:rFonts w:asciiTheme="majorBidi" w:eastAsia="Calibri" w:hAnsiTheme="majorBidi" w:cstheme="majorBidi"/>
          <w:b/>
          <w:bCs/>
          <w:kern w:val="2"/>
          <w:position w:val="0"/>
          <w14:ligatures w14:val="standardContextual"/>
        </w:rPr>
        <w:fldChar w:fldCharType="separate"/>
      </w:r>
      <w:r w:rsidR="00DC3231">
        <w:rPr>
          <w:rFonts w:asciiTheme="majorBidi" w:eastAsia="Calibri" w:hAnsiTheme="majorBidi" w:cstheme="majorBidi"/>
          <w:b/>
          <w:bCs/>
          <w:noProof/>
          <w:kern w:val="2"/>
          <w:position w:val="0"/>
          <w14:ligatures w14:val="standardContextual"/>
        </w:rPr>
        <w:t>7</w:t>
      </w:r>
      <w:r w:rsidR="00274F6F" w:rsidRPr="00E008B1">
        <w:rPr>
          <w:rFonts w:asciiTheme="majorBidi" w:eastAsia="Calibri" w:hAnsiTheme="majorBidi" w:cstheme="majorBidi"/>
          <w:b/>
          <w:bCs/>
          <w:kern w:val="2"/>
          <w:position w:val="0"/>
          <w14:ligatures w14:val="standardContextual"/>
        </w:rPr>
        <w:fldChar w:fldCharType="end"/>
      </w:r>
      <w:r w:rsidRPr="00D50069">
        <w:rPr>
          <w:rFonts w:asciiTheme="majorBidi" w:eastAsia="Calibri" w:hAnsiTheme="majorBidi" w:cstheme="majorBidi"/>
          <w:i/>
          <w:iCs/>
          <w:kern w:val="2"/>
          <w:position w:val="0"/>
          <w14:ligatures w14:val="standardContextual"/>
        </w:rPr>
        <w:t xml:space="preserve"> </w:t>
      </w:r>
    </w:p>
    <w:p w14:paraId="1A11AC32" w14:textId="1D0D9F32" w:rsidR="00D50069" w:rsidRPr="005D02DC" w:rsidRDefault="00D50069" w:rsidP="005D02DC">
      <w:pPr>
        <w:keepNext/>
        <w:spacing w:after="200" w:line="276" w:lineRule="auto"/>
        <w:jc w:val="both"/>
        <w:rPr>
          <w:rFonts w:asciiTheme="majorBidi" w:eastAsia="Calibri" w:hAnsiTheme="majorBidi" w:cstheme="majorBidi"/>
          <w:kern w:val="2"/>
          <w:position w:val="0"/>
          <w14:ligatures w14:val="standardContextual"/>
        </w:rPr>
      </w:pPr>
      <w:r w:rsidRPr="005D02DC">
        <w:rPr>
          <w:rFonts w:asciiTheme="majorBidi" w:eastAsia="Calibri" w:hAnsiTheme="majorBidi" w:cstheme="majorBidi"/>
          <w:kern w:val="2"/>
          <w:position w:val="0"/>
          <w14:ligatures w14:val="standardContextual"/>
        </w:rPr>
        <w:t>Key Themes and Findings Related to Inspector</w:t>
      </w:r>
      <w:r w:rsidRPr="005D02DC">
        <w:rPr>
          <w:rFonts w:asciiTheme="majorBidi" w:eastAsia="Calibri" w:hAnsiTheme="majorBidi" w:cstheme="majorBidi"/>
          <w:noProof/>
          <w:kern w:val="2"/>
          <w:position w:val="0"/>
          <w14:ligatures w14:val="standardContextual"/>
        </w:rPr>
        <w:t>'s Interview</w:t>
      </w:r>
      <w:bookmarkEnd w:id="182"/>
    </w:p>
    <w:tbl>
      <w:tblPr>
        <w:tblStyle w:val="TableGrid4"/>
        <w:tblW w:w="9062" w:type="dxa"/>
        <w:jc w:val="center"/>
        <w:tblLook w:val="04A0" w:firstRow="1" w:lastRow="0" w:firstColumn="1" w:lastColumn="0" w:noHBand="0" w:noVBand="1"/>
      </w:tblPr>
      <w:tblGrid>
        <w:gridCol w:w="3406"/>
        <w:gridCol w:w="5656"/>
      </w:tblGrid>
      <w:tr w:rsidR="00D50069" w:rsidRPr="00D50069" w14:paraId="7C3477BA" w14:textId="77777777" w:rsidTr="00E008B1">
        <w:trPr>
          <w:jc w:val="center"/>
        </w:trPr>
        <w:tc>
          <w:tcPr>
            <w:tcW w:w="3406" w:type="dxa"/>
          </w:tcPr>
          <w:p w14:paraId="3307C432" w14:textId="77777777" w:rsidR="00D50069" w:rsidRPr="00D50069" w:rsidRDefault="00D50069" w:rsidP="00160979">
            <w:pPr>
              <w:spacing w:line="276" w:lineRule="auto"/>
              <w:jc w:val="both"/>
              <w:rPr>
                <w:rFonts w:asciiTheme="majorBidi" w:hAnsiTheme="majorBidi" w:cstheme="majorBidi"/>
                <w:position w:val="0"/>
              </w:rPr>
            </w:pPr>
            <w:r w:rsidRPr="00D50069">
              <w:rPr>
                <w:rFonts w:asciiTheme="majorBidi" w:hAnsiTheme="majorBidi" w:cstheme="majorBidi"/>
                <w:position w:val="0"/>
              </w:rPr>
              <w:t>Key theme</w:t>
            </w:r>
          </w:p>
        </w:tc>
        <w:tc>
          <w:tcPr>
            <w:tcW w:w="5656" w:type="dxa"/>
          </w:tcPr>
          <w:p w14:paraId="4BFE7753" w14:textId="77777777" w:rsidR="00D50069" w:rsidRPr="00D50069" w:rsidRDefault="00D50069" w:rsidP="00160979">
            <w:pPr>
              <w:spacing w:line="276" w:lineRule="auto"/>
              <w:jc w:val="both"/>
              <w:rPr>
                <w:rFonts w:asciiTheme="majorBidi" w:hAnsiTheme="majorBidi" w:cstheme="majorBidi"/>
                <w:position w:val="0"/>
              </w:rPr>
            </w:pPr>
            <w:r w:rsidRPr="00D50069">
              <w:rPr>
                <w:rFonts w:asciiTheme="majorBidi" w:hAnsiTheme="majorBidi" w:cstheme="majorBidi"/>
                <w:position w:val="0"/>
              </w:rPr>
              <w:t xml:space="preserve">Findings </w:t>
            </w:r>
          </w:p>
        </w:tc>
      </w:tr>
      <w:tr w:rsidR="00D50069" w:rsidRPr="00D50069" w14:paraId="08B3B08C" w14:textId="77777777" w:rsidTr="00E008B1">
        <w:trPr>
          <w:jc w:val="center"/>
        </w:trPr>
        <w:tc>
          <w:tcPr>
            <w:tcW w:w="3406" w:type="dxa"/>
          </w:tcPr>
          <w:p w14:paraId="03E20CD7" w14:textId="77777777" w:rsidR="00D50069" w:rsidRPr="00D50069" w:rsidRDefault="00D50069" w:rsidP="00160979">
            <w:pPr>
              <w:spacing w:line="276" w:lineRule="auto"/>
              <w:jc w:val="both"/>
              <w:rPr>
                <w:rFonts w:asciiTheme="majorBidi" w:hAnsiTheme="majorBidi" w:cstheme="majorBidi"/>
                <w:position w:val="0"/>
              </w:rPr>
            </w:pPr>
            <w:r w:rsidRPr="00D50069">
              <w:rPr>
                <w:rFonts w:asciiTheme="majorBidi" w:hAnsiTheme="majorBidi" w:cstheme="majorBidi"/>
                <w:position w:val="0"/>
              </w:rPr>
              <w:t>Summative assessment literacy</w:t>
            </w:r>
          </w:p>
        </w:tc>
        <w:tc>
          <w:tcPr>
            <w:tcW w:w="5656" w:type="dxa"/>
          </w:tcPr>
          <w:p w14:paraId="121347BC" w14:textId="77777777" w:rsidR="00D50069" w:rsidRPr="00D50069" w:rsidRDefault="00D50069" w:rsidP="00160979">
            <w:pPr>
              <w:spacing w:line="276" w:lineRule="auto"/>
              <w:jc w:val="both"/>
              <w:rPr>
                <w:rFonts w:asciiTheme="majorBidi" w:hAnsiTheme="majorBidi" w:cstheme="majorBidi"/>
                <w:position w:val="0"/>
              </w:rPr>
            </w:pPr>
            <w:proofErr w:type="gramStart"/>
            <w:r w:rsidRPr="00D50069">
              <w:rPr>
                <w:rFonts w:asciiTheme="majorBidi" w:hAnsiTheme="majorBidi" w:cstheme="majorBidi"/>
                <w:position w:val="0"/>
              </w:rPr>
              <w:t>knowledge</w:t>
            </w:r>
            <w:proofErr w:type="gramEnd"/>
            <w:r w:rsidRPr="00D50069">
              <w:rPr>
                <w:rFonts w:asciiTheme="majorBidi" w:hAnsiTheme="majorBidi" w:cstheme="majorBidi"/>
                <w:position w:val="0"/>
              </w:rPr>
              <w:t xml:space="preserve"> and skills to design, use, and interpret assessments to foster student learning.</w:t>
            </w:r>
          </w:p>
        </w:tc>
      </w:tr>
      <w:tr w:rsidR="00D50069" w:rsidRPr="00D50069" w14:paraId="6640613A" w14:textId="77777777" w:rsidTr="00E008B1">
        <w:trPr>
          <w:jc w:val="center"/>
        </w:trPr>
        <w:tc>
          <w:tcPr>
            <w:tcW w:w="3406" w:type="dxa"/>
          </w:tcPr>
          <w:p w14:paraId="708895A4" w14:textId="77777777" w:rsidR="00D50069" w:rsidRPr="00D50069" w:rsidRDefault="00D50069" w:rsidP="00160979">
            <w:pPr>
              <w:spacing w:line="276" w:lineRule="auto"/>
              <w:jc w:val="both"/>
              <w:rPr>
                <w:rFonts w:asciiTheme="majorBidi" w:hAnsiTheme="majorBidi" w:cstheme="majorBidi"/>
                <w:position w:val="0"/>
              </w:rPr>
            </w:pPr>
            <w:r w:rsidRPr="00D50069">
              <w:rPr>
                <w:rFonts w:asciiTheme="majorBidi" w:hAnsiTheme="majorBidi" w:cstheme="majorBidi"/>
                <w:position w:val="0"/>
              </w:rPr>
              <w:t>Structured assessment</w:t>
            </w:r>
          </w:p>
        </w:tc>
        <w:tc>
          <w:tcPr>
            <w:tcW w:w="5656" w:type="dxa"/>
          </w:tcPr>
          <w:p w14:paraId="42E1A9EA" w14:textId="77777777" w:rsidR="00D50069" w:rsidRPr="00D50069" w:rsidRDefault="00D50069" w:rsidP="00160979">
            <w:pPr>
              <w:spacing w:line="276" w:lineRule="auto"/>
              <w:jc w:val="both"/>
              <w:rPr>
                <w:rFonts w:asciiTheme="majorBidi" w:hAnsiTheme="majorBidi" w:cstheme="majorBidi"/>
                <w:position w:val="0"/>
              </w:rPr>
            </w:pPr>
            <w:r w:rsidRPr="00D50069">
              <w:rPr>
                <w:rFonts w:asciiTheme="majorBidi" w:hAnsiTheme="majorBidi" w:cstheme="majorBidi"/>
                <w:position w:val="0"/>
              </w:rPr>
              <w:t>OTCs facilitate collaboration on exam design, question validation, and refinement of methods.</w:t>
            </w:r>
          </w:p>
        </w:tc>
      </w:tr>
      <w:tr w:rsidR="00D50069" w:rsidRPr="00D50069" w14:paraId="0CD401E2" w14:textId="77777777" w:rsidTr="00E008B1">
        <w:trPr>
          <w:jc w:val="center"/>
        </w:trPr>
        <w:tc>
          <w:tcPr>
            <w:tcW w:w="3406" w:type="dxa"/>
          </w:tcPr>
          <w:p w14:paraId="4EDEEB80" w14:textId="77777777" w:rsidR="00D50069" w:rsidRPr="00D50069" w:rsidRDefault="00D50069" w:rsidP="00160979">
            <w:pPr>
              <w:spacing w:line="276" w:lineRule="auto"/>
              <w:jc w:val="both"/>
              <w:rPr>
                <w:rFonts w:asciiTheme="majorBidi" w:hAnsiTheme="majorBidi" w:cstheme="majorBidi"/>
                <w:position w:val="0"/>
              </w:rPr>
            </w:pPr>
            <w:r w:rsidRPr="00D50069">
              <w:rPr>
                <w:rFonts w:asciiTheme="majorBidi" w:hAnsiTheme="majorBidi" w:cstheme="majorBidi"/>
                <w:position w:val="0"/>
              </w:rPr>
              <w:t>Unstructured assessment</w:t>
            </w:r>
          </w:p>
        </w:tc>
        <w:tc>
          <w:tcPr>
            <w:tcW w:w="5656" w:type="dxa"/>
          </w:tcPr>
          <w:p w14:paraId="58FD69E3" w14:textId="77777777" w:rsidR="00D50069" w:rsidRPr="00D50069" w:rsidRDefault="00D50069" w:rsidP="00160979">
            <w:pPr>
              <w:spacing w:line="276" w:lineRule="auto"/>
              <w:jc w:val="both"/>
              <w:rPr>
                <w:rFonts w:asciiTheme="majorBidi" w:hAnsiTheme="majorBidi" w:cstheme="majorBidi"/>
                <w:position w:val="0"/>
              </w:rPr>
            </w:pPr>
            <w:r w:rsidRPr="00D50069">
              <w:rPr>
                <w:rFonts w:asciiTheme="majorBidi" w:hAnsiTheme="majorBidi" w:cstheme="majorBidi"/>
                <w:position w:val="0"/>
              </w:rPr>
              <w:t>OTCs encourages creative, real-world evaluation approaches.</w:t>
            </w:r>
          </w:p>
        </w:tc>
      </w:tr>
      <w:tr w:rsidR="00D50069" w:rsidRPr="00D50069" w14:paraId="5B864845" w14:textId="77777777" w:rsidTr="00E008B1">
        <w:trPr>
          <w:jc w:val="center"/>
        </w:trPr>
        <w:tc>
          <w:tcPr>
            <w:tcW w:w="3406" w:type="dxa"/>
          </w:tcPr>
          <w:p w14:paraId="3C58FB77" w14:textId="77777777" w:rsidR="00D50069" w:rsidRPr="00D50069" w:rsidRDefault="00D50069" w:rsidP="00160979">
            <w:pPr>
              <w:spacing w:line="276" w:lineRule="auto"/>
              <w:jc w:val="both"/>
              <w:rPr>
                <w:rFonts w:asciiTheme="majorBidi" w:hAnsiTheme="majorBidi" w:cstheme="majorBidi"/>
                <w:position w:val="0"/>
              </w:rPr>
            </w:pPr>
            <w:r w:rsidRPr="00D50069">
              <w:rPr>
                <w:rFonts w:asciiTheme="majorBidi" w:hAnsiTheme="majorBidi" w:cstheme="majorBidi"/>
                <w:position w:val="0"/>
              </w:rPr>
              <w:t>Clarifying core concepts</w:t>
            </w:r>
          </w:p>
        </w:tc>
        <w:tc>
          <w:tcPr>
            <w:tcW w:w="5656" w:type="dxa"/>
          </w:tcPr>
          <w:p w14:paraId="3CB3DF32" w14:textId="77777777" w:rsidR="00D50069" w:rsidRPr="00D50069" w:rsidRDefault="00D50069" w:rsidP="00160979">
            <w:pPr>
              <w:spacing w:line="276" w:lineRule="auto"/>
              <w:jc w:val="both"/>
              <w:rPr>
                <w:rFonts w:asciiTheme="majorBidi" w:hAnsiTheme="majorBidi" w:cstheme="majorBidi"/>
                <w:position w:val="0"/>
              </w:rPr>
            </w:pPr>
            <w:r w:rsidRPr="00D50069">
              <w:rPr>
                <w:rFonts w:asciiTheme="majorBidi" w:hAnsiTheme="majorBidi" w:cstheme="majorBidi"/>
                <w:position w:val="0"/>
              </w:rPr>
              <w:t xml:space="preserve"> </w:t>
            </w:r>
            <w:proofErr w:type="gramStart"/>
            <w:r w:rsidRPr="00D50069">
              <w:rPr>
                <w:rFonts w:asciiTheme="majorBidi" w:hAnsiTheme="majorBidi" w:cstheme="majorBidi"/>
                <w:position w:val="0"/>
              </w:rPr>
              <w:t>resources</w:t>
            </w:r>
            <w:proofErr w:type="gramEnd"/>
            <w:r w:rsidRPr="00D50069">
              <w:rPr>
                <w:rFonts w:asciiTheme="majorBidi" w:hAnsiTheme="majorBidi" w:cstheme="majorBidi"/>
                <w:position w:val="0"/>
              </w:rPr>
              <w:t xml:space="preserve"> (articles, guides) and practical examples to teach validity/reliability are shared via OTCs.</w:t>
            </w:r>
          </w:p>
        </w:tc>
      </w:tr>
      <w:tr w:rsidR="00D50069" w:rsidRPr="00D50069" w14:paraId="6C3277ED" w14:textId="77777777" w:rsidTr="00E008B1">
        <w:trPr>
          <w:jc w:val="center"/>
        </w:trPr>
        <w:tc>
          <w:tcPr>
            <w:tcW w:w="3406" w:type="dxa"/>
          </w:tcPr>
          <w:p w14:paraId="498F675E" w14:textId="77777777" w:rsidR="00D50069" w:rsidRPr="00D50069" w:rsidRDefault="00D50069" w:rsidP="00160979">
            <w:pPr>
              <w:spacing w:line="276" w:lineRule="auto"/>
              <w:jc w:val="both"/>
              <w:rPr>
                <w:rFonts w:asciiTheme="majorBidi" w:hAnsiTheme="majorBidi" w:cstheme="majorBidi"/>
                <w:position w:val="0"/>
              </w:rPr>
            </w:pPr>
            <w:r w:rsidRPr="00D50069">
              <w:rPr>
                <w:rFonts w:asciiTheme="majorBidi" w:hAnsiTheme="majorBidi" w:cstheme="majorBidi"/>
                <w:position w:val="0"/>
              </w:rPr>
              <w:t>Inclusive assessment design</w:t>
            </w:r>
          </w:p>
        </w:tc>
        <w:tc>
          <w:tcPr>
            <w:tcW w:w="5656" w:type="dxa"/>
          </w:tcPr>
          <w:p w14:paraId="1D7D54FF" w14:textId="77777777" w:rsidR="00D50069" w:rsidRPr="00D50069" w:rsidRDefault="00D50069" w:rsidP="00160979">
            <w:pPr>
              <w:spacing w:line="276" w:lineRule="auto"/>
              <w:jc w:val="both"/>
              <w:rPr>
                <w:rFonts w:asciiTheme="majorBidi" w:hAnsiTheme="majorBidi" w:cstheme="majorBidi"/>
                <w:position w:val="0"/>
              </w:rPr>
            </w:pPr>
            <w:r w:rsidRPr="00D50069">
              <w:rPr>
                <w:rFonts w:asciiTheme="majorBidi" w:hAnsiTheme="majorBidi" w:cstheme="majorBidi"/>
                <w:position w:val="0"/>
              </w:rPr>
              <w:t>OTCs provide frameworks/tools to address bias, access, and fairness in assessments.</w:t>
            </w:r>
          </w:p>
        </w:tc>
      </w:tr>
      <w:tr w:rsidR="00D50069" w:rsidRPr="00D50069" w14:paraId="2726F49A" w14:textId="77777777" w:rsidTr="00E008B1">
        <w:tblPrEx>
          <w:tblBorders>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rPr>
          <w:trHeight w:val="100"/>
          <w:jc w:val="center"/>
        </w:trPr>
        <w:tc>
          <w:tcPr>
            <w:tcW w:w="3406" w:type="dxa"/>
            <w:tcBorders>
              <w:left w:val="single" w:sz="4" w:space="0" w:color="auto"/>
              <w:bottom w:val="single" w:sz="4" w:space="0" w:color="auto"/>
              <w:right w:val="single" w:sz="4" w:space="0" w:color="auto"/>
            </w:tcBorders>
          </w:tcPr>
          <w:p w14:paraId="672FAF43" w14:textId="77777777" w:rsidR="00D50069" w:rsidRPr="00D50069" w:rsidRDefault="00D50069" w:rsidP="00160979">
            <w:pPr>
              <w:spacing w:line="276" w:lineRule="auto"/>
              <w:jc w:val="both"/>
              <w:rPr>
                <w:rFonts w:asciiTheme="majorBidi" w:hAnsiTheme="majorBidi" w:cstheme="majorBidi"/>
                <w:position w:val="0"/>
              </w:rPr>
            </w:pPr>
            <w:r w:rsidRPr="00D50069">
              <w:rPr>
                <w:rFonts w:asciiTheme="majorBidi" w:hAnsiTheme="majorBidi" w:cstheme="majorBidi"/>
                <w:position w:val="0"/>
              </w:rPr>
              <w:t>Peer feedback and data analysis</w:t>
            </w:r>
          </w:p>
        </w:tc>
        <w:tc>
          <w:tcPr>
            <w:tcW w:w="5656" w:type="dxa"/>
            <w:tcBorders>
              <w:left w:val="single" w:sz="4" w:space="0" w:color="auto"/>
              <w:bottom w:val="single" w:sz="4" w:space="0" w:color="auto"/>
              <w:right w:val="single" w:sz="4" w:space="0" w:color="auto"/>
            </w:tcBorders>
          </w:tcPr>
          <w:p w14:paraId="2B639A66" w14:textId="77777777" w:rsidR="00D50069" w:rsidRPr="00D50069" w:rsidRDefault="00D50069" w:rsidP="00160979">
            <w:pPr>
              <w:spacing w:line="276" w:lineRule="auto"/>
              <w:jc w:val="both"/>
              <w:rPr>
                <w:rFonts w:asciiTheme="majorBidi" w:hAnsiTheme="majorBidi" w:cstheme="majorBidi"/>
                <w:position w:val="0"/>
              </w:rPr>
            </w:pPr>
            <w:r w:rsidRPr="00D50069">
              <w:rPr>
                <w:rFonts w:asciiTheme="majorBidi" w:hAnsiTheme="majorBidi" w:cstheme="majorBidi"/>
                <w:position w:val="0"/>
              </w:rPr>
              <w:t>OTCs improves grading standards through collaborative feedback.</w:t>
            </w:r>
          </w:p>
        </w:tc>
      </w:tr>
      <w:tr w:rsidR="00D50069" w:rsidRPr="00D50069" w14:paraId="098784AF" w14:textId="77777777" w:rsidTr="00E008B1">
        <w:tblPrEx>
          <w:tblBorders>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rPr>
          <w:trHeight w:val="100"/>
          <w:jc w:val="center"/>
        </w:trPr>
        <w:tc>
          <w:tcPr>
            <w:tcW w:w="3406" w:type="dxa"/>
            <w:tcBorders>
              <w:top w:val="single" w:sz="4" w:space="0" w:color="auto"/>
              <w:left w:val="single" w:sz="4" w:space="0" w:color="auto"/>
              <w:bottom w:val="single" w:sz="4" w:space="0" w:color="auto"/>
              <w:right w:val="single" w:sz="4" w:space="0" w:color="auto"/>
            </w:tcBorders>
          </w:tcPr>
          <w:p w14:paraId="1C827E9B" w14:textId="77777777" w:rsidR="00D50069" w:rsidRPr="00D50069" w:rsidRDefault="00D50069" w:rsidP="00160979">
            <w:pPr>
              <w:spacing w:line="276" w:lineRule="auto"/>
              <w:jc w:val="both"/>
              <w:rPr>
                <w:rFonts w:asciiTheme="majorBidi" w:hAnsiTheme="majorBidi" w:cstheme="majorBidi"/>
                <w:position w:val="0"/>
              </w:rPr>
            </w:pPr>
            <w:r w:rsidRPr="00D50069">
              <w:rPr>
                <w:rFonts w:asciiTheme="majorBidi" w:hAnsiTheme="majorBidi" w:cstheme="majorBidi"/>
                <w:position w:val="0"/>
              </w:rPr>
              <w:t>Potential risks</w:t>
            </w:r>
          </w:p>
        </w:tc>
        <w:tc>
          <w:tcPr>
            <w:tcW w:w="5656" w:type="dxa"/>
            <w:tcBorders>
              <w:top w:val="single" w:sz="4" w:space="0" w:color="auto"/>
              <w:left w:val="single" w:sz="4" w:space="0" w:color="auto"/>
              <w:bottom w:val="single" w:sz="4" w:space="0" w:color="auto"/>
              <w:right w:val="single" w:sz="4" w:space="0" w:color="auto"/>
            </w:tcBorders>
          </w:tcPr>
          <w:p w14:paraId="553FBECC" w14:textId="77777777" w:rsidR="00D50069" w:rsidRPr="00D50069" w:rsidRDefault="00D50069" w:rsidP="00160979">
            <w:pPr>
              <w:spacing w:line="276" w:lineRule="auto"/>
              <w:jc w:val="both"/>
              <w:rPr>
                <w:rFonts w:asciiTheme="majorBidi" w:hAnsiTheme="majorBidi" w:cstheme="majorBidi"/>
                <w:position w:val="0"/>
              </w:rPr>
            </w:pPr>
            <w:r w:rsidRPr="00D50069">
              <w:rPr>
                <w:rFonts w:asciiTheme="majorBidi" w:hAnsiTheme="majorBidi" w:cstheme="majorBidi"/>
                <w:position w:val="0"/>
              </w:rPr>
              <w:t>Warns against oversharing or over-reliance on groupthink, urging balanced integration.</w:t>
            </w:r>
          </w:p>
        </w:tc>
      </w:tr>
      <w:tr w:rsidR="00D50069" w:rsidRPr="00D50069" w14:paraId="5EA7A009" w14:textId="77777777" w:rsidTr="00E008B1">
        <w:tblPrEx>
          <w:tblBorders>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rPr>
          <w:trHeight w:val="100"/>
          <w:jc w:val="center"/>
        </w:trPr>
        <w:tc>
          <w:tcPr>
            <w:tcW w:w="3406" w:type="dxa"/>
            <w:tcBorders>
              <w:left w:val="single" w:sz="4" w:space="0" w:color="auto"/>
              <w:bottom w:val="single" w:sz="4" w:space="0" w:color="auto"/>
              <w:right w:val="single" w:sz="4" w:space="0" w:color="auto"/>
            </w:tcBorders>
          </w:tcPr>
          <w:p w14:paraId="2EF9E89E" w14:textId="77777777" w:rsidR="00D50069" w:rsidRPr="00D50069" w:rsidRDefault="00D50069" w:rsidP="00160979">
            <w:pPr>
              <w:spacing w:line="276" w:lineRule="auto"/>
              <w:jc w:val="both"/>
              <w:rPr>
                <w:rFonts w:asciiTheme="majorBidi" w:hAnsiTheme="majorBidi" w:cstheme="majorBidi"/>
                <w:position w:val="0"/>
              </w:rPr>
            </w:pPr>
            <w:r w:rsidRPr="00D50069">
              <w:rPr>
                <w:rFonts w:asciiTheme="majorBidi" w:hAnsiTheme="majorBidi" w:cstheme="majorBidi"/>
                <w:position w:val="0"/>
              </w:rPr>
              <w:t>Ethical reflection</w:t>
            </w:r>
          </w:p>
        </w:tc>
        <w:tc>
          <w:tcPr>
            <w:tcW w:w="5656" w:type="dxa"/>
            <w:tcBorders>
              <w:left w:val="single" w:sz="4" w:space="0" w:color="auto"/>
              <w:bottom w:val="single" w:sz="4" w:space="0" w:color="auto"/>
              <w:right w:val="single" w:sz="4" w:space="0" w:color="auto"/>
            </w:tcBorders>
          </w:tcPr>
          <w:p w14:paraId="445DD455" w14:textId="77777777" w:rsidR="00D50069" w:rsidRPr="00D50069" w:rsidRDefault="00D50069" w:rsidP="00160979">
            <w:pPr>
              <w:spacing w:line="276" w:lineRule="auto"/>
              <w:jc w:val="both"/>
              <w:rPr>
                <w:rFonts w:asciiTheme="majorBidi" w:hAnsiTheme="majorBidi" w:cstheme="majorBidi"/>
                <w:position w:val="0"/>
              </w:rPr>
            </w:pPr>
            <w:r w:rsidRPr="00D50069">
              <w:rPr>
                <w:rFonts w:asciiTheme="majorBidi" w:hAnsiTheme="majorBidi" w:cstheme="majorBidi"/>
                <w:position w:val="0"/>
              </w:rPr>
              <w:t>Stress on critical engagement with OTCs to ensure student-focused application.</w:t>
            </w:r>
          </w:p>
        </w:tc>
      </w:tr>
    </w:tbl>
    <w:p w14:paraId="06DCE483" w14:textId="77777777" w:rsidR="005D02DC" w:rsidRDefault="005D02DC" w:rsidP="005D02DC">
      <w:pPr>
        <w:spacing w:after="160" w:line="480" w:lineRule="auto"/>
        <w:ind w:firstLine="567"/>
        <w:contextualSpacing/>
        <w:jc w:val="both"/>
        <w:rPr>
          <w:rFonts w:asciiTheme="majorBidi" w:eastAsia="Calibri" w:hAnsiTheme="majorBidi" w:cstheme="majorBidi"/>
          <w:kern w:val="2"/>
          <w:position w:val="0"/>
          <w14:ligatures w14:val="standardContextual"/>
        </w:rPr>
      </w:pPr>
    </w:p>
    <w:p w14:paraId="7648A56C" w14:textId="77777777" w:rsidR="005D02DC" w:rsidRDefault="00D50069" w:rsidP="005D02DC">
      <w:pPr>
        <w:spacing w:after="160" w:line="480" w:lineRule="auto"/>
        <w:ind w:firstLine="567"/>
        <w:contextualSpacing/>
        <w:jc w:val="both"/>
        <w:rPr>
          <w:rFonts w:asciiTheme="majorBidi" w:eastAsia="Calibri" w:hAnsiTheme="majorBidi" w:cstheme="majorBidi"/>
          <w:kern w:val="2"/>
          <w:position w:val="0"/>
          <w14:ligatures w14:val="standardContextual"/>
        </w:rPr>
      </w:pPr>
      <w:r w:rsidRPr="00D50069">
        <w:rPr>
          <w:rFonts w:asciiTheme="majorBidi" w:eastAsia="Calibri" w:hAnsiTheme="majorBidi" w:cstheme="majorBidi"/>
          <w:kern w:val="2"/>
          <w:position w:val="0"/>
          <w14:ligatures w14:val="standardContextual"/>
        </w:rPr>
        <w:t xml:space="preserve">The interview commenced with the inspector's comprehensive definition of summative assessment literacy. Far from merely equating it with grading, the inspector posits that it involves equipping teachers with the "knowledge, skills, competencies and confidence to design, use, and interpret final evaluations, like end-of-term tests or exams, in ways that actually boost student learning and growth.” This perspective underscores a pedagogical shift, </w:t>
      </w:r>
      <w:r w:rsidRPr="00D50069">
        <w:rPr>
          <w:rFonts w:asciiTheme="majorBidi" w:eastAsia="Calibri" w:hAnsiTheme="majorBidi" w:cstheme="majorBidi"/>
          <w:kern w:val="2"/>
          <w:position w:val="0"/>
          <w14:ligatures w14:val="standardContextual"/>
        </w:rPr>
        <w:lastRenderedPageBreak/>
        <w:t xml:space="preserve">where assessment results are not terminal judgments but rather transformed into “meaningful feedback” that actively contributes to student progress. </w:t>
      </w:r>
    </w:p>
    <w:p w14:paraId="213C6C16" w14:textId="77777777" w:rsidR="005D02DC" w:rsidRDefault="00D50069" w:rsidP="005D02DC">
      <w:pPr>
        <w:spacing w:after="160" w:line="480" w:lineRule="auto"/>
        <w:ind w:firstLine="567"/>
        <w:contextualSpacing/>
        <w:jc w:val="both"/>
        <w:rPr>
          <w:rFonts w:asciiTheme="majorBidi" w:eastAsia="Calibri" w:hAnsiTheme="majorBidi" w:cstheme="majorBidi"/>
          <w:kern w:val="2"/>
          <w:position w:val="0"/>
          <w14:ligatures w14:val="standardContextual"/>
        </w:rPr>
      </w:pPr>
      <w:r w:rsidRPr="00D50069">
        <w:rPr>
          <w:rFonts w:asciiTheme="majorBidi" w:eastAsia="Calibri" w:hAnsiTheme="majorBidi" w:cstheme="majorBidi"/>
          <w:kern w:val="2"/>
          <w:position w:val="0"/>
          <w14:ligatures w14:val="standardContextual"/>
        </w:rPr>
        <w:t>For structured assessments, the inspector’s observations reveal that OTLCs facilitate the exchange of “exam questions, share past papers, and even debate how well those tests actually measure what they are supposed to.</w:t>
      </w:r>
      <w:proofErr w:type="gramStart"/>
      <w:r w:rsidRPr="00D50069">
        <w:rPr>
          <w:rFonts w:asciiTheme="majorBidi" w:eastAsia="Calibri" w:hAnsiTheme="majorBidi" w:cstheme="majorBidi"/>
          <w:kern w:val="2"/>
          <w:position w:val="0"/>
          <w14:ligatures w14:val="standardContextual"/>
        </w:rPr>
        <w:t>”.</w:t>
      </w:r>
      <w:proofErr w:type="gramEnd"/>
      <w:r w:rsidRPr="00D50069">
        <w:rPr>
          <w:rFonts w:asciiTheme="majorBidi" w:hAnsiTheme="majorBidi" w:cstheme="majorBidi"/>
          <w:position w:val="0"/>
        </w:rPr>
        <w:t xml:space="preserve"> </w:t>
      </w:r>
      <w:r w:rsidRPr="00D50069">
        <w:rPr>
          <w:rFonts w:asciiTheme="majorBidi" w:eastAsia="Calibri" w:hAnsiTheme="majorBidi" w:cstheme="majorBidi"/>
          <w:kern w:val="2"/>
          <w:position w:val="0"/>
          <w14:ligatures w14:val="standardContextual"/>
        </w:rPr>
        <w:t xml:space="preserve">This collaborative environment, as noted by the inspector, "pushes educators to rethink their methods and learn from each </w:t>
      </w:r>
      <w:proofErr w:type="gramStart"/>
      <w:r w:rsidRPr="00D50069">
        <w:rPr>
          <w:rFonts w:asciiTheme="majorBidi" w:eastAsia="Calibri" w:hAnsiTheme="majorBidi" w:cstheme="majorBidi"/>
          <w:kern w:val="2"/>
          <w:position w:val="0"/>
          <w14:ligatures w14:val="standardContextual"/>
        </w:rPr>
        <w:t>other</w:t>
      </w:r>
      <w:proofErr w:type="gramEnd"/>
      <w:r w:rsidRPr="00D50069">
        <w:rPr>
          <w:rFonts w:asciiTheme="majorBidi" w:eastAsia="Calibri" w:hAnsiTheme="majorBidi" w:cstheme="majorBidi"/>
          <w:kern w:val="2"/>
          <w:position w:val="0"/>
          <w14:ligatures w14:val="standardContextual"/>
        </w:rPr>
        <w:t xml:space="preserve">” suggesting a move towards more refined and validated assessment instruments. Conversely, for unstructured assessments the inspector highlights how OTLCs foster </w:t>
      </w:r>
      <w:proofErr w:type="gramStart"/>
      <w:r w:rsidRPr="00D50069">
        <w:rPr>
          <w:rFonts w:asciiTheme="majorBidi" w:eastAsia="Calibri" w:hAnsiTheme="majorBidi" w:cstheme="majorBidi"/>
          <w:kern w:val="2"/>
          <w:position w:val="0"/>
          <w14:ligatures w14:val="standardContextual"/>
        </w:rPr>
        <w:t>“way more creative” approaches,</w:t>
      </w:r>
      <w:proofErr w:type="gramEnd"/>
      <w:r w:rsidRPr="00D50069">
        <w:rPr>
          <w:rFonts w:asciiTheme="majorBidi" w:eastAsia="Calibri" w:hAnsiTheme="majorBidi" w:cstheme="majorBidi"/>
          <w:kern w:val="2"/>
          <w:position w:val="0"/>
          <w14:ligatures w14:val="standardContextual"/>
        </w:rPr>
        <w:t xml:space="preserve"> connecting learning to “the real world.” This indicates that these communities encourage a broader and more authentic conceptualization of student evaluation.</w:t>
      </w:r>
    </w:p>
    <w:p w14:paraId="18034FF2" w14:textId="77777777" w:rsidR="005D02DC" w:rsidRDefault="00D50069" w:rsidP="005D02DC">
      <w:pPr>
        <w:spacing w:after="160" w:line="480" w:lineRule="auto"/>
        <w:ind w:firstLine="567"/>
        <w:contextualSpacing/>
        <w:jc w:val="both"/>
        <w:rPr>
          <w:rFonts w:asciiTheme="majorBidi" w:eastAsia="Calibri" w:hAnsiTheme="majorBidi" w:cstheme="majorBidi"/>
          <w:kern w:val="2"/>
          <w:position w:val="0"/>
          <w14:ligatures w14:val="standardContextual"/>
        </w:rPr>
      </w:pPr>
      <w:r w:rsidRPr="00D50069">
        <w:rPr>
          <w:rFonts w:asciiTheme="majorBidi" w:eastAsia="Calibri" w:hAnsiTheme="majorBidi" w:cstheme="majorBidi"/>
          <w:kern w:val="2"/>
          <w:position w:val="0"/>
          <w14:ligatures w14:val="standardContextual"/>
        </w:rPr>
        <w:t xml:space="preserve">Furthermore, the inspector explains that these communities clarify core summative assessment concepts, including validity and reliability, through the sharing of “articles, research papers, and practical guides.” Crucially, experienced educators within these platforms provide “concrete examples showing what valid assessments look like in practice,” this demonstrates how OLTCs empower teachers to leverage technology effectively for assessment. Beyond knowledge acquisition, OTLCs are instrumental in developing critical assessment skills. </w:t>
      </w:r>
    </w:p>
    <w:p w14:paraId="1AA2B386" w14:textId="77777777" w:rsidR="005D02DC" w:rsidRDefault="00D50069" w:rsidP="005D02DC">
      <w:pPr>
        <w:spacing w:after="160" w:line="480" w:lineRule="auto"/>
        <w:ind w:firstLine="567"/>
        <w:contextualSpacing/>
        <w:jc w:val="both"/>
        <w:rPr>
          <w:rFonts w:asciiTheme="majorBidi" w:eastAsia="Calibri" w:hAnsiTheme="majorBidi" w:cstheme="majorBidi"/>
          <w:kern w:val="2"/>
          <w:position w:val="0"/>
          <w14:ligatures w14:val="standardContextual"/>
        </w:rPr>
      </w:pPr>
      <w:r w:rsidRPr="00D50069">
        <w:rPr>
          <w:rFonts w:asciiTheme="majorBidi" w:eastAsia="Calibri" w:hAnsiTheme="majorBidi" w:cstheme="majorBidi"/>
          <w:kern w:val="2"/>
          <w:position w:val="0"/>
          <w14:ligatures w14:val="standardContextual"/>
        </w:rPr>
        <w:t xml:space="preserve">The inspector emphasizes their support in designing “inclusive and equitable summative assessments” by providing access to “inclusive design frameworks and tools” and fostering “critical dialogue about bias, access, and representation”. This indicates that OLTCs enable teachers to move beyond “one-size-fits-all” approaches, ensuring all learners can demonstrate their knowledge effectively. Moreover, the inspector highlights that peer feedback within these communities improves teachers’ analysis of assessment data, leading to a “clearer grip on grading standards.” </w:t>
      </w:r>
    </w:p>
    <w:p w14:paraId="376D1D54" w14:textId="77777777" w:rsidR="00027C00" w:rsidRDefault="00D50069" w:rsidP="00027C00">
      <w:pPr>
        <w:spacing w:after="160" w:line="480" w:lineRule="auto"/>
        <w:ind w:firstLine="567"/>
        <w:contextualSpacing/>
        <w:jc w:val="both"/>
        <w:rPr>
          <w:rFonts w:asciiTheme="majorBidi" w:eastAsia="Calibri" w:hAnsiTheme="majorBidi" w:cstheme="majorBidi"/>
          <w:kern w:val="2"/>
          <w:position w:val="0"/>
          <w14:ligatures w14:val="standardContextual"/>
        </w:rPr>
      </w:pPr>
      <w:r w:rsidRPr="00D50069">
        <w:rPr>
          <w:rFonts w:asciiTheme="majorBidi" w:eastAsia="Calibri" w:hAnsiTheme="majorBidi" w:cstheme="majorBidi"/>
          <w:kern w:val="2"/>
          <w:position w:val="0"/>
          <w14:ligatures w14:val="standardContextual"/>
        </w:rPr>
        <w:lastRenderedPageBreak/>
        <w:t xml:space="preserve">Despite these significant benefits, the inspector expressed his cautions regarding potential pitfalls associated with OLTCs. Risks include exposure to accidental oversharing of professional struggles or “over-reliance on hive-mind” which, according to the inspector “risks watering down the quality of your teaching”. Hence, to mitigate these challenges teachers should “blend the creative sparks from online chats with classroom-tested methods they already know work”. </w:t>
      </w:r>
      <w:r w:rsidRPr="00D50069">
        <w:rPr>
          <w:rFonts w:asciiTheme="majorBidi" w:eastAsia="Calibri" w:hAnsiTheme="majorBidi" w:cstheme="majorBidi"/>
          <w:b/>
          <w:bCs/>
          <w:kern w:val="2"/>
          <w:position w:val="0"/>
          <w14:ligatures w14:val="standardContextual"/>
        </w:rPr>
        <w:t>(Inspector, Appendix C)</w:t>
      </w:r>
    </w:p>
    <w:p w14:paraId="3DF92B54" w14:textId="390BEBED" w:rsidR="00D50069" w:rsidRPr="00B425AD" w:rsidRDefault="00D50069" w:rsidP="00027C00">
      <w:pPr>
        <w:spacing w:after="160" w:line="480" w:lineRule="auto"/>
        <w:ind w:firstLine="567"/>
        <w:contextualSpacing/>
        <w:jc w:val="both"/>
        <w:rPr>
          <w:rFonts w:asciiTheme="majorBidi" w:eastAsia="Calibri" w:hAnsiTheme="majorBidi" w:cstheme="majorBidi"/>
          <w:kern w:val="2"/>
          <w:position w:val="0"/>
          <w14:ligatures w14:val="standardContextual"/>
        </w:rPr>
      </w:pPr>
      <w:r w:rsidRPr="00D50069">
        <w:rPr>
          <w:rFonts w:asciiTheme="majorBidi" w:eastAsia="Calibri" w:hAnsiTheme="majorBidi" w:cstheme="majorBidi"/>
          <w:kern w:val="2"/>
          <w:position w:val="0"/>
          <w14:ligatures w14:val="standardContextual"/>
        </w:rPr>
        <w:t xml:space="preserve">To conclude, the inspector's observations powerfully demonstrate the </w:t>
      </w:r>
      <w:r w:rsidR="00160979">
        <w:rPr>
          <w:rFonts w:asciiTheme="majorBidi" w:eastAsia="Calibri" w:hAnsiTheme="majorBidi" w:cstheme="majorBidi"/>
          <w:kern w:val="2"/>
          <w:position w:val="0"/>
          <w14:ligatures w14:val="standardContextual"/>
        </w:rPr>
        <w:t xml:space="preserve">significant </w:t>
      </w:r>
      <w:r w:rsidRPr="00D50069">
        <w:rPr>
          <w:rFonts w:asciiTheme="majorBidi" w:eastAsia="Calibri" w:hAnsiTheme="majorBidi" w:cstheme="majorBidi"/>
          <w:kern w:val="2"/>
          <w:position w:val="0"/>
          <w14:ligatures w14:val="standardContextual"/>
        </w:rPr>
        <w:t xml:space="preserve">impact of online teacher learning communities on summative assessment literacy. These dynamic platforms are key to both defining the importance of effective evaluation and reshaping teachers' methods for structured and unstructured assessments. By expanding access to knowledge, cultivating skills in areas like inclusive design and constructive feedback, and fostering ethical reflection, OTLCs enable educators to elevate their assessment practices. Yet, the inspector's insights also stress the importance of critical participation, ensuring that the abundant resources and collaborative potential of these communities </w:t>
      </w:r>
      <w:proofErr w:type="gramStart"/>
      <w:r w:rsidRPr="00D50069">
        <w:rPr>
          <w:rFonts w:asciiTheme="majorBidi" w:eastAsia="Calibri" w:hAnsiTheme="majorBidi" w:cstheme="majorBidi"/>
          <w:kern w:val="2"/>
          <w:position w:val="0"/>
          <w14:ligatures w14:val="standardContextual"/>
        </w:rPr>
        <w:t>are applied</w:t>
      </w:r>
      <w:proofErr w:type="gramEnd"/>
      <w:r w:rsidRPr="00D50069">
        <w:rPr>
          <w:rFonts w:asciiTheme="majorBidi" w:eastAsia="Calibri" w:hAnsiTheme="majorBidi" w:cstheme="majorBidi"/>
          <w:kern w:val="2"/>
          <w:position w:val="0"/>
          <w14:ligatures w14:val="standardContextual"/>
        </w:rPr>
        <w:t xml:space="preserve"> thoughtfully to truly benefit student learning and development.</w:t>
      </w:r>
    </w:p>
    <w:p w14:paraId="1B001A42" w14:textId="37541D47" w:rsidR="00D50069" w:rsidRPr="00D50069" w:rsidRDefault="006B0A9F" w:rsidP="00AA5DBF">
      <w:pPr>
        <w:pStyle w:val="Titre1"/>
        <w:rPr>
          <w:rFonts w:eastAsia="Calibri"/>
        </w:rPr>
      </w:pPr>
      <w:bookmarkStart w:id="183" w:name="_Toc200486080"/>
      <w:r>
        <w:rPr>
          <w:rFonts w:eastAsia="Calibri"/>
        </w:rPr>
        <w:t xml:space="preserve">2.2.3 </w:t>
      </w:r>
      <w:r w:rsidR="00D50069" w:rsidRPr="00D50069">
        <w:rPr>
          <w:rFonts w:eastAsia="Calibri"/>
        </w:rPr>
        <w:t>Analysis of Teachers’ Questionnaire</w:t>
      </w:r>
      <w:bookmarkEnd w:id="183"/>
    </w:p>
    <w:p w14:paraId="6DFC24F3" w14:textId="4461304F" w:rsidR="00D50069" w:rsidRPr="00D50069" w:rsidRDefault="00B425AD" w:rsidP="00AA5DBF">
      <w:pPr>
        <w:pStyle w:val="Titre1"/>
        <w:rPr>
          <w:rFonts w:eastAsia="Calibri"/>
        </w:rPr>
      </w:pPr>
      <w:r>
        <w:rPr>
          <w:rFonts w:eastAsia="Calibri"/>
        </w:rPr>
        <w:t xml:space="preserve"> </w:t>
      </w:r>
      <w:bookmarkStart w:id="184" w:name="_Toc200486081"/>
      <w:r w:rsidR="006B0A9F">
        <w:rPr>
          <w:rFonts w:eastAsia="Calibri"/>
        </w:rPr>
        <w:t xml:space="preserve">    2.2.3.1 </w:t>
      </w:r>
      <w:r w:rsidR="00D50069" w:rsidRPr="00D50069">
        <w:rPr>
          <w:rFonts w:eastAsia="Calibri"/>
        </w:rPr>
        <w:t>Analysis of the First Questionnaire Section:  Background Information</w:t>
      </w:r>
      <w:bookmarkEnd w:id="184"/>
    </w:p>
    <w:p w14:paraId="60D6E793" w14:textId="3755C78B" w:rsidR="00BC27CF" w:rsidRDefault="00D50069" w:rsidP="00BC27CF">
      <w:pPr>
        <w:spacing w:before="240" w:after="160" w:line="480" w:lineRule="auto"/>
        <w:ind w:firstLine="567"/>
        <w:jc w:val="both"/>
        <w:rPr>
          <w:rFonts w:eastAsia="Calibri"/>
          <w:kern w:val="2"/>
          <w:position w:val="0"/>
          <w14:ligatures w14:val="standardContextual"/>
        </w:rPr>
      </w:pPr>
      <w:r w:rsidRPr="00D50069">
        <w:rPr>
          <w:rFonts w:eastAsia="Calibri"/>
          <w:kern w:val="2"/>
          <w:position w:val="0"/>
          <w14:ligatures w14:val="standardContextual"/>
        </w:rPr>
        <w:t xml:space="preserve">The first section of the questionnaire describes District 4 participant teachers’ background. It explores demographic variables such as gender and teaching experience, and respondents’ frequency of engagement in OTCs and its effectiveness in teacher professional development. Documenting these aspects enables a more informed analysis of variables that may affect the outcomes of the study. </w:t>
      </w:r>
    </w:p>
    <w:p w14:paraId="2C306AE7" w14:textId="087DE56B" w:rsidR="00D50069" w:rsidRPr="00D50069" w:rsidRDefault="00D50069" w:rsidP="00BC27CF">
      <w:pPr>
        <w:spacing w:before="240" w:after="160" w:line="480" w:lineRule="auto"/>
        <w:ind w:firstLine="567"/>
        <w:jc w:val="both"/>
        <w:rPr>
          <w:rFonts w:eastAsia="Calibri"/>
          <w:kern w:val="2"/>
          <w:position w:val="0"/>
          <w14:ligatures w14:val="standardContextual"/>
        </w:rPr>
      </w:pPr>
      <w:r w:rsidRPr="00D50069">
        <w:rPr>
          <w:rFonts w:eastAsia="Calibri"/>
          <w:kern w:val="2"/>
          <w:position w:val="0"/>
          <w14:ligatures w14:val="standardContextual"/>
        </w:rPr>
        <w:lastRenderedPageBreak/>
        <w:t xml:space="preserve">Male and female teachers answered the questionnaire. Female participants made up </w:t>
      </w:r>
      <w:proofErr w:type="gramStart"/>
      <w:r w:rsidRPr="00D50069">
        <w:rPr>
          <w:rFonts w:eastAsia="Calibri"/>
          <w:kern w:val="2"/>
          <w:position w:val="0"/>
          <w14:ligatures w14:val="standardContextual"/>
        </w:rPr>
        <w:t>a total of 29</w:t>
      </w:r>
      <w:proofErr w:type="gramEnd"/>
      <w:r w:rsidRPr="00D50069">
        <w:rPr>
          <w:rFonts w:eastAsia="Calibri"/>
          <w:kern w:val="2"/>
          <w:position w:val="0"/>
          <w14:ligatures w14:val="standardContextual"/>
        </w:rPr>
        <w:t xml:space="preserve"> (</w:t>
      </w:r>
      <w:bookmarkStart w:id="185" w:name="_Hlk198451681"/>
      <w:r w:rsidRPr="00D50069">
        <w:rPr>
          <w:rFonts w:eastAsia="Calibri"/>
          <w:kern w:val="2"/>
          <w:position w:val="0"/>
          <w14:ligatures w14:val="standardContextual"/>
        </w:rPr>
        <w:t>59 %</w:t>
      </w:r>
      <w:bookmarkEnd w:id="185"/>
      <w:r w:rsidRPr="00D50069">
        <w:rPr>
          <w:rFonts w:eastAsia="Calibri"/>
          <w:kern w:val="2"/>
          <w:position w:val="0"/>
          <w14:ligatures w14:val="standardContextual"/>
        </w:rPr>
        <w:t xml:space="preserve">), while males constituted 20 elements, making a percentage of 41 % of the study’s sample. Respondents’ gender </w:t>
      </w:r>
      <w:proofErr w:type="gramStart"/>
      <w:r w:rsidRPr="00D50069">
        <w:rPr>
          <w:rFonts w:eastAsia="Calibri"/>
          <w:kern w:val="2"/>
          <w:position w:val="0"/>
          <w14:ligatures w14:val="standardContextual"/>
        </w:rPr>
        <w:t>is summarized</w:t>
      </w:r>
      <w:proofErr w:type="gramEnd"/>
      <w:r w:rsidRPr="00D50069">
        <w:rPr>
          <w:rFonts w:eastAsia="Calibri"/>
          <w:kern w:val="2"/>
          <w:position w:val="0"/>
          <w14:ligatures w14:val="standardContextual"/>
        </w:rPr>
        <w:t xml:space="preserve"> in </w:t>
      </w:r>
      <w:r w:rsidRPr="00D50069">
        <w:rPr>
          <w:rFonts w:eastAsia="Calibri"/>
          <w:b/>
          <w:bCs/>
          <w:kern w:val="2"/>
          <w:position w:val="0"/>
          <w14:ligatures w14:val="standardContextual"/>
        </w:rPr>
        <w:t>Graph 01</w:t>
      </w:r>
      <w:r w:rsidRPr="00D50069">
        <w:rPr>
          <w:rFonts w:eastAsia="Calibri"/>
          <w:kern w:val="2"/>
          <w:position w:val="0"/>
          <w14:ligatures w14:val="standardContextual"/>
        </w:rPr>
        <w:t xml:space="preserve">. </w:t>
      </w:r>
    </w:p>
    <w:p w14:paraId="5881E53A" w14:textId="77777777" w:rsidR="00D50069" w:rsidRPr="00D50069" w:rsidRDefault="00D50069" w:rsidP="00D50069">
      <w:pPr>
        <w:keepNext/>
        <w:spacing w:before="240" w:after="160" w:line="480" w:lineRule="auto"/>
        <w:ind w:left="284"/>
        <w:rPr>
          <w:rFonts w:ascii="Calibri" w:eastAsia="Calibri" w:hAnsi="Calibri" w:cs="Arial"/>
          <w:kern w:val="2"/>
          <w:position w:val="0"/>
          <w:sz w:val="22"/>
          <w:szCs w:val="22"/>
          <w14:ligatures w14:val="standardContextual"/>
        </w:rPr>
      </w:pPr>
      <w:r w:rsidRPr="00D50069">
        <w:rPr>
          <w:rFonts w:ascii="Calibri" w:eastAsia="Calibri" w:hAnsi="Calibri" w:cs="Arial"/>
          <w:noProof/>
          <w:kern w:val="2"/>
          <w:position w:val="0"/>
          <w:sz w:val="22"/>
          <w:szCs w:val="22"/>
          <w:lang w:val="fr-FR" w:eastAsia="fr-FR"/>
          <w14:ligatures w14:val="standardContextual"/>
        </w:rPr>
        <w:drawing>
          <wp:inline distT="0" distB="0" distL="0" distR="0" wp14:anchorId="1B6DB5A6" wp14:editId="50E7D574">
            <wp:extent cx="4572000" cy="2743200"/>
            <wp:effectExtent l="0" t="0" r="0" b="0"/>
            <wp:docPr id="398654281" name="Chart 1">
              <a:extLst xmlns:a="http://schemas.openxmlformats.org/drawingml/2006/main">
                <a:ext uri="{FF2B5EF4-FFF2-40B4-BE49-F238E27FC236}">
                  <a16:creationId xmlns:a16="http://schemas.microsoft.com/office/drawing/2014/main"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3C0FD433-0E05-B705-AF9A-264B5F7EAB4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14:paraId="0A43BC96" w14:textId="3B04DEF6" w:rsidR="00D50069" w:rsidRPr="00D50069" w:rsidRDefault="00D50069" w:rsidP="00D50069">
      <w:pPr>
        <w:spacing w:after="200" w:line="480" w:lineRule="auto"/>
        <w:rPr>
          <w:rFonts w:eastAsia="Calibri"/>
          <w:i/>
          <w:iCs/>
          <w:kern w:val="2"/>
          <w:position w:val="0"/>
          <w:sz w:val="36"/>
          <w:szCs w:val="36"/>
          <w14:ligatures w14:val="standardContextual"/>
        </w:rPr>
      </w:pPr>
      <w:bookmarkStart w:id="186" w:name="_Toc199695816"/>
      <w:r w:rsidRPr="00D50069">
        <w:rPr>
          <w:rFonts w:eastAsia="Calibri"/>
          <w:b/>
          <w:bCs/>
          <w:kern w:val="2"/>
          <w:position w:val="0"/>
          <w14:ligatures w14:val="standardContextual"/>
        </w:rPr>
        <w:t xml:space="preserve">Graph </w:t>
      </w:r>
      <w:r w:rsidRPr="00D50069">
        <w:rPr>
          <w:rFonts w:eastAsia="Calibri"/>
          <w:b/>
          <w:bCs/>
          <w:kern w:val="2"/>
          <w:position w:val="0"/>
          <w14:ligatures w14:val="standardContextual"/>
        </w:rPr>
        <w:fldChar w:fldCharType="begin"/>
      </w:r>
      <w:r w:rsidRPr="00D50069">
        <w:rPr>
          <w:rFonts w:eastAsia="Calibri"/>
          <w:b/>
          <w:bCs/>
          <w:kern w:val="2"/>
          <w:position w:val="0"/>
          <w14:ligatures w14:val="standardContextual"/>
        </w:rPr>
        <w:instrText xml:space="preserve"> SEQ Graph \* ARABIC </w:instrText>
      </w:r>
      <w:r w:rsidRPr="00D50069">
        <w:rPr>
          <w:rFonts w:eastAsia="Calibri"/>
          <w:b/>
          <w:bCs/>
          <w:kern w:val="2"/>
          <w:position w:val="0"/>
          <w14:ligatures w14:val="standardContextual"/>
        </w:rPr>
        <w:fldChar w:fldCharType="separate"/>
      </w:r>
      <w:r w:rsidR="00DC3231">
        <w:rPr>
          <w:rFonts w:eastAsia="Calibri"/>
          <w:b/>
          <w:bCs/>
          <w:noProof/>
          <w:kern w:val="2"/>
          <w:position w:val="0"/>
          <w14:ligatures w14:val="standardContextual"/>
        </w:rPr>
        <w:t>1</w:t>
      </w:r>
      <w:r w:rsidRPr="00D50069">
        <w:rPr>
          <w:rFonts w:eastAsia="Calibri"/>
          <w:b/>
          <w:bCs/>
          <w:kern w:val="2"/>
          <w:position w:val="0"/>
          <w14:ligatures w14:val="standardContextual"/>
        </w:rPr>
        <w:fldChar w:fldCharType="end"/>
      </w:r>
      <w:r w:rsidRPr="00D50069">
        <w:rPr>
          <w:rFonts w:eastAsia="Calibri"/>
          <w:b/>
          <w:bCs/>
          <w:i/>
          <w:iCs/>
          <w:kern w:val="2"/>
          <w:position w:val="0"/>
          <w14:ligatures w14:val="standardContextual"/>
        </w:rPr>
        <w:t xml:space="preserve"> </w:t>
      </w:r>
      <w:r w:rsidRPr="00BC27CF">
        <w:rPr>
          <w:rFonts w:eastAsia="Calibri"/>
          <w:kern w:val="2"/>
          <w:position w:val="0"/>
          <w14:ligatures w14:val="standardContextual"/>
        </w:rPr>
        <w:t>Teachers’ Gender</w:t>
      </w:r>
      <w:bookmarkEnd w:id="186"/>
    </w:p>
    <w:p w14:paraId="7DD8BBF2" w14:textId="77777777" w:rsidR="00847F7C" w:rsidRDefault="00D50069" w:rsidP="00847F7C">
      <w:pPr>
        <w:spacing w:after="160" w:line="480" w:lineRule="auto"/>
        <w:ind w:firstLine="567"/>
        <w:jc w:val="both"/>
        <w:rPr>
          <w:color w:val="000000"/>
          <w:position w:val="0"/>
        </w:rPr>
      </w:pPr>
      <w:bookmarkStart w:id="187" w:name="_Hlk197930150"/>
      <w:r w:rsidRPr="00D50069">
        <w:rPr>
          <w:rFonts w:eastAsia="Calibri"/>
          <w:b/>
          <w:bCs/>
          <w:kern w:val="2"/>
          <w:position w:val="0"/>
          <w14:ligatures w14:val="standardContextual"/>
        </w:rPr>
        <w:t xml:space="preserve">           </w:t>
      </w:r>
      <w:r w:rsidRPr="00D50069">
        <w:rPr>
          <w:rFonts w:eastAsia="Calibri"/>
          <w:kern w:val="2"/>
          <w:position w:val="0"/>
          <w14:ligatures w14:val="standardContextual"/>
        </w:rPr>
        <w:t xml:space="preserve">As illustrated in </w:t>
      </w:r>
      <w:r w:rsidRPr="00D50069">
        <w:rPr>
          <w:rFonts w:eastAsia="Calibri"/>
          <w:b/>
          <w:bCs/>
          <w:kern w:val="2"/>
          <w:position w:val="0"/>
          <w14:ligatures w14:val="standardContextual"/>
        </w:rPr>
        <w:t>Table 0</w:t>
      </w:r>
      <w:r w:rsidR="00F01764">
        <w:rPr>
          <w:rFonts w:eastAsia="Calibri"/>
          <w:b/>
          <w:bCs/>
          <w:kern w:val="2"/>
          <w:position w:val="0"/>
          <w14:ligatures w14:val="standardContextual"/>
        </w:rPr>
        <w:t>3</w:t>
      </w:r>
      <w:r w:rsidRPr="00D50069">
        <w:rPr>
          <w:rFonts w:eastAsia="Calibri"/>
          <w:kern w:val="2"/>
          <w:position w:val="0"/>
          <w14:ligatures w14:val="standardContextual"/>
        </w:rPr>
        <w:t xml:space="preserve"> above and </w:t>
      </w:r>
      <w:r w:rsidRPr="00D50069">
        <w:rPr>
          <w:rFonts w:eastAsia="Calibri"/>
          <w:b/>
          <w:bCs/>
          <w:kern w:val="2"/>
          <w:position w:val="0"/>
          <w14:ligatures w14:val="standardContextual"/>
        </w:rPr>
        <w:t>Graph 02</w:t>
      </w:r>
      <w:r w:rsidRPr="00D50069">
        <w:rPr>
          <w:rFonts w:eastAsia="Calibri"/>
          <w:kern w:val="2"/>
          <w:position w:val="0"/>
          <w14:ligatures w14:val="standardContextual"/>
        </w:rPr>
        <w:t xml:space="preserve"> below, findings demonstrate that more than one-third of respondents 18 (</w:t>
      </w:r>
      <w:r w:rsidRPr="00D50069">
        <w:rPr>
          <w:color w:val="000000"/>
          <w:position w:val="0"/>
        </w:rPr>
        <w:t xml:space="preserve">37 %) work for more than 10 years, whereas those with 3-5 years involvement in teaching represent a considerable minority 15 </w:t>
      </w:r>
      <w:bookmarkStart w:id="188" w:name="_Hlk197970851"/>
      <w:r w:rsidRPr="00D50069">
        <w:rPr>
          <w:rFonts w:eastAsia="Calibri"/>
          <w:kern w:val="2"/>
          <w:position w:val="0"/>
          <w14:ligatures w14:val="standardContextual"/>
        </w:rPr>
        <w:t>(</w:t>
      </w:r>
      <w:r w:rsidRPr="00D50069">
        <w:rPr>
          <w:color w:val="000000"/>
          <w:position w:val="0"/>
        </w:rPr>
        <w:t>31 %)</w:t>
      </w:r>
      <w:bookmarkEnd w:id="188"/>
      <w:r w:rsidRPr="00D50069">
        <w:rPr>
          <w:color w:val="000000"/>
          <w:position w:val="0"/>
        </w:rPr>
        <w:t xml:space="preserve">. While only one “01” teacher </w:t>
      </w:r>
      <w:r w:rsidRPr="00D50069">
        <w:rPr>
          <w:rFonts w:eastAsia="Calibri"/>
          <w:kern w:val="2"/>
          <w:position w:val="0"/>
          <w14:ligatures w14:val="standardContextual"/>
        </w:rPr>
        <w:t>(</w:t>
      </w:r>
      <w:r w:rsidRPr="00D50069">
        <w:rPr>
          <w:color w:val="000000"/>
          <w:position w:val="0"/>
        </w:rPr>
        <w:t xml:space="preserve">2 %) has an experience of more than 20 years, 6 </w:t>
      </w:r>
      <w:r w:rsidRPr="00D50069">
        <w:rPr>
          <w:rFonts w:eastAsia="Calibri"/>
          <w:kern w:val="2"/>
          <w:position w:val="0"/>
          <w14:ligatures w14:val="standardContextual"/>
        </w:rPr>
        <w:t>(</w:t>
      </w:r>
      <w:r w:rsidRPr="00D50069">
        <w:rPr>
          <w:color w:val="000000"/>
          <w:position w:val="0"/>
        </w:rPr>
        <w:t xml:space="preserve">12 %) and </w:t>
      </w:r>
      <w:proofErr w:type="gramStart"/>
      <w:r w:rsidRPr="00D50069">
        <w:rPr>
          <w:color w:val="000000"/>
          <w:position w:val="0"/>
        </w:rPr>
        <w:t>9</w:t>
      </w:r>
      <w:proofErr w:type="gramEnd"/>
      <w:r w:rsidRPr="00D50069">
        <w:rPr>
          <w:color w:val="000000"/>
          <w:position w:val="0"/>
        </w:rPr>
        <w:t xml:space="preserve"> </w:t>
      </w:r>
      <w:r w:rsidRPr="00D50069">
        <w:rPr>
          <w:rFonts w:eastAsia="Calibri"/>
          <w:kern w:val="2"/>
          <w:position w:val="0"/>
          <w14:ligatures w14:val="standardContextual"/>
        </w:rPr>
        <w:t>(</w:t>
      </w:r>
      <w:r w:rsidRPr="00D50069">
        <w:rPr>
          <w:color w:val="000000"/>
          <w:position w:val="0"/>
        </w:rPr>
        <w:t>18 %) educators pursue a teaching career between 0-2 and 6-10 years respectively.</w:t>
      </w:r>
    </w:p>
    <w:p w14:paraId="5F07C0F9" w14:textId="5F5FEB74" w:rsidR="00D50069" w:rsidRPr="00D50069" w:rsidRDefault="00D50069" w:rsidP="00847F7C">
      <w:pPr>
        <w:spacing w:after="160" w:line="480" w:lineRule="auto"/>
        <w:ind w:firstLine="567"/>
        <w:jc w:val="both"/>
        <w:rPr>
          <w:color w:val="000000"/>
          <w:position w:val="0"/>
        </w:rPr>
      </w:pPr>
      <w:r w:rsidRPr="00D50069">
        <w:rPr>
          <w:color w:val="000000"/>
          <w:position w:val="0"/>
        </w:rPr>
        <w:t>Results emphasize a variety of professional experience levels in research participants. This point contributes to the subsequent interpretation and discussion of findings concerning OTCs members’ perceptions, knowledge and skills.</w:t>
      </w:r>
    </w:p>
    <w:bookmarkEnd w:id="187"/>
    <w:p w14:paraId="4783093E" w14:textId="77777777" w:rsidR="00D50069" w:rsidRPr="00D50069" w:rsidRDefault="00D50069" w:rsidP="00D50069">
      <w:pPr>
        <w:keepNext/>
        <w:spacing w:before="240" w:after="160" w:line="480" w:lineRule="auto"/>
        <w:ind w:left="284"/>
        <w:rPr>
          <w:rFonts w:ascii="Calibri" w:eastAsia="Calibri" w:hAnsi="Calibri" w:cs="Arial"/>
          <w:kern w:val="2"/>
          <w:position w:val="0"/>
          <w:sz w:val="22"/>
          <w:szCs w:val="22"/>
          <w14:ligatures w14:val="standardContextual"/>
        </w:rPr>
      </w:pPr>
      <w:r w:rsidRPr="00D50069">
        <w:rPr>
          <w:rFonts w:ascii="Calibri" w:eastAsia="Calibri" w:hAnsi="Calibri" w:cs="Arial"/>
          <w:noProof/>
          <w:kern w:val="2"/>
          <w:position w:val="0"/>
          <w:sz w:val="22"/>
          <w:szCs w:val="22"/>
          <w:lang w:val="fr-FR" w:eastAsia="fr-FR"/>
          <w14:ligatures w14:val="standardContextual"/>
        </w:rPr>
        <w:lastRenderedPageBreak/>
        <w:drawing>
          <wp:inline distT="0" distB="0" distL="0" distR="0" wp14:anchorId="207556AA" wp14:editId="508A77E5">
            <wp:extent cx="4572000" cy="2743200"/>
            <wp:effectExtent l="0" t="0" r="0" b="0"/>
            <wp:docPr id="453652337" name="Chart 1">
              <a:extLst xmlns:a="http://schemas.openxmlformats.org/drawingml/2006/main">
                <a:ext uri="{FF2B5EF4-FFF2-40B4-BE49-F238E27FC236}">
                  <a16:creationId xmlns:a16="http://schemas.microsoft.com/office/drawing/2014/main"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440B4B76-78BC-FE69-3CB2-2B4001D0D37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14:paraId="090661E0" w14:textId="0596E597" w:rsidR="00D50069" w:rsidRPr="00D50069" w:rsidRDefault="00D50069" w:rsidP="00D50069">
      <w:pPr>
        <w:spacing w:after="200" w:line="480" w:lineRule="auto"/>
        <w:rPr>
          <w:rFonts w:eastAsia="Calibri"/>
          <w:i/>
          <w:iCs/>
          <w:kern w:val="2"/>
          <w:position w:val="0"/>
          <w:sz w:val="36"/>
          <w:szCs w:val="36"/>
          <w14:ligatures w14:val="standardContextual"/>
        </w:rPr>
      </w:pPr>
      <w:bookmarkStart w:id="189" w:name="_Toc199695817"/>
      <w:r w:rsidRPr="00D50069">
        <w:rPr>
          <w:rFonts w:eastAsia="Calibri"/>
          <w:b/>
          <w:bCs/>
          <w:i/>
          <w:iCs/>
          <w:kern w:val="2"/>
          <w:position w:val="0"/>
          <w14:ligatures w14:val="standardContextual"/>
        </w:rPr>
        <w:t xml:space="preserve">Graph </w:t>
      </w:r>
      <w:r w:rsidRPr="00D50069">
        <w:rPr>
          <w:rFonts w:eastAsia="Calibri"/>
          <w:b/>
          <w:bCs/>
          <w:i/>
          <w:iCs/>
          <w:kern w:val="2"/>
          <w:position w:val="0"/>
          <w14:ligatures w14:val="standardContextual"/>
        </w:rPr>
        <w:fldChar w:fldCharType="begin"/>
      </w:r>
      <w:r w:rsidRPr="00D50069">
        <w:rPr>
          <w:rFonts w:eastAsia="Calibri"/>
          <w:b/>
          <w:bCs/>
          <w:i/>
          <w:iCs/>
          <w:kern w:val="2"/>
          <w:position w:val="0"/>
          <w14:ligatures w14:val="standardContextual"/>
        </w:rPr>
        <w:instrText xml:space="preserve"> SEQ Graph \* ARABIC </w:instrText>
      </w:r>
      <w:r w:rsidRPr="00D50069">
        <w:rPr>
          <w:rFonts w:eastAsia="Calibri"/>
          <w:b/>
          <w:bCs/>
          <w:i/>
          <w:iCs/>
          <w:kern w:val="2"/>
          <w:position w:val="0"/>
          <w14:ligatures w14:val="standardContextual"/>
        </w:rPr>
        <w:fldChar w:fldCharType="separate"/>
      </w:r>
      <w:r w:rsidR="00DC3231">
        <w:rPr>
          <w:rFonts w:eastAsia="Calibri"/>
          <w:b/>
          <w:bCs/>
          <w:i/>
          <w:iCs/>
          <w:noProof/>
          <w:kern w:val="2"/>
          <w:position w:val="0"/>
          <w14:ligatures w14:val="standardContextual"/>
        </w:rPr>
        <w:t>2</w:t>
      </w:r>
      <w:r w:rsidRPr="00D50069">
        <w:rPr>
          <w:rFonts w:eastAsia="Calibri"/>
          <w:b/>
          <w:bCs/>
          <w:i/>
          <w:iCs/>
          <w:kern w:val="2"/>
          <w:position w:val="0"/>
          <w14:ligatures w14:val="standardContextual"/>
        </w:rPr>
        <w:fldChar w:fldCharType="end"/>
      </w:r>
      <w:r w:rsidRPr="00D50069">
        <w:rPr>
          <w:rFonts w:eastAsia="Calibri"/>
          <w:b/>
          <w:bCs/>
          <w:i/>
          <w:iCs/>
          <w:kern w:val="2"/>
          <w:position w:val="0"/>
          <w14:ligatures w14:val="standardContextual"/>
        </w:rPr>
        <w:t xml:space="preserve"> </w:t>
      </w:r>
      <w:r w:rsidRPr="004476FF">
        <w:rPr>
          <w:rFonts w:eastAsia="Calibri"/>
          <w:kern w:val="2"/>
          <w:position w:val="0"/>
          <w14:ligatures w14:val="standardContextual"/>
        </w:rPr>
        <w:t>Teachers' Teaching Experience</w:t>
      </w:r>
      <w:bookmarkEnd w:id="189"/>
    </w:p>
    <w:p w14:paraId="018892D5" w14:textId="6D2D55FE" w:rsidR="00D50069" w:rsidRPr="00D50069" w:rsidRDefault="00D50069" w:rsidP="004476FF">
      <w:pPr>
        <w:spacing w:before="240" w:after="160" w:line="480" w:lineRule="auto"/>
        <w:ind w:firstLine="567"/>
        <w:jc w:val="both"/>
        <w:rPr>
          <w:rFonts w:eastAsia="Calibri"/>
          <w:kern w:val="2"/>
          <w:position w:val="0"/>
          <w14:ligatures w14:val="standardContextual"/>
        </w:rPr>
      </w:pPr>
      <w:r w:rsidRPr="00D50069">
        <w:rPr>
          <w:rFonts w:eastAsia="Calibri"/>
          <w:b/>
          <w:bCs/>
          <w:kern w:val="2"/>
          <w:position w:val="0"/>
          <w14:ligatures w14:val="standardContextual"/>
        </w:rPr>
        <w:t xml:space="preserve"> Table 0</w:t>
      </w:r>
      <w:r w:rsidR="00F01764">
        <w:rPr>
          <w:rFonts w:eastAsia="Calibri"/>
          <w:b/>
          <w:bCs/>
          <w:kern w:val="2"/>
          <w:position w:val="0"/>
          <w14:ligatures w14:val="standardContextual"/>
        </w:rPr>
        <w:t>8</w:t>
      </w:r>
      <w:r w:rsidRPr="00D50069">
        <w:rPr>
          <w:rFonts w:eastAsia="Calibri"/>
          <w:b/>
          <w:bCs/>
          <w:kern w:val="2"/>
          <w:position w:val="0"/>
          <w14:ligatures w14:val="standardContextual"/>
        </w:rPr>
        <w:t xml:space="preserve"> and Graph 03</w:t>
      </w:r>
      <w:r w:rsidRPr="00D50069">
        <w:rPr>
          <w:rFonts w:eastAsia="Calibri"/>
          <w:kern w:val="2"/>
          <w:position w:val="0"/>
          <w14:ligatures w14:val="standardContextual"/>
        </w:rPr>
        <w:t xml:space="preserve"> below present teachers’ involvement in online teacher communities. Data clearly indicate that the majority of teachers 41, accounting for 84 % of the total sample, participate in OTCs, while a significant minority 8 </w:t>
      </w:r>
      <w:bookmarkStart w:id="190" w:name="_Hlk198022372"/>
      <w:r w:rsidRPr="00D50069">
        <w:rPr>
          <w:rFonts w:eastAsia="Calibri"/>
          <w:kern w:val="2"/>
          <w:position w:val="0"/>
          <w14:ligatures w14:val="standardContextual"/>
        </w:rPr>
        <w:t xml:space="preserve">(16 %) </w:t>
      </w:r>
      <w:bookmarkEnd w:id="190"/>
      <w:r w:rsidRPr="00D50069">
        <w:rPr>
          <w:rFonts w:eastAsia="Calibri"/>
          <w:kern w:val="2"/>
          <w:position w:val="0"/>
          <w14:ligatures w14:val="standardContextual"/>
        </w:rPr>
        <w:t xml:space="preserve">reported not using it. This suggests a positive level of engagement with this resource for teachers’ professional learning. </w:t>
      </w:r>
    </w:p>
    <w:p w14:paraId="10577D49" w14:textId="304EB496" w:rsidR="004476FF" w:rsidRDefault="00D50069" w:rsidP="004476FF">
      <w:pPr>
        <w:keepNext/>
        <w:spacing w:after="200" w:line="276" w:lineRule="auto"/>
        <w:rPr>
          <w:rFonts w:eastAsia="Calibri"/>
          <w:b/>
          <w:bCs/>
          <w:i/>
          <w:iCs/>
          <w:kern w:val="2"/>
          <w:position w:val="0"/>
          <w14:ligatures w14:val="standardContextual"/>
        </w:rPr>
      </w:pPr>
      <w:bookmarkStart w:id="191" w:name="_Toc199832002"/>
      <w:bookmarkStart w:id="192" w:name="_Toc199832371"/>
      <w:bookmarkStart w:id="193" w:name="_Toc200446656"/>
      <w:r w:rsidRPr="00D50069">
        <w:rPr>
          <w:rFonts w:eastAsia="Calibri"/>
          <w:b/>
          <w:bCs/>
          <w:kern w:val="2"/>
          <w:position w:val="0"/>
          <w14:ligatures w14:val="standardContextual"/>
        </w:rPr>
        <w:t xml:space="preserve">Table </w:t>
      </w:r>
      <w:r w:rsidR="00274F6F" w:rsidRPr="001A44A7">
        <w:rPr>
          <w:rFonts w:eastAsia="Calibri"/>
          <w:b/>
          <w:bCs/>
          <w:kern w:val="2"/>
          <w:position w:val="0"/>
          <w14:ligatures w14:val="standardContextual"/>
        </w:rPr>
        <w:fldChar w:fldCharType="begin"/>
      </w:r>
      <w:r w:rsidR="00274F6F" w:rsidRPr="001A44A7">
        <w:rPr>
          <w:rFonts w:eastAsia="Calibri"/>
          <w:b/>
          <w:bCs/>
          <w:kern w:val="2"/>
          <w:position w:val="0"/>
          <w14:ligatures w14:val="standardContextual"/>
        </w:rPr>
        <w:instrText xml:space="preserve"> SEQ Table \* ARABIC </w:instrText>
      </w:r>
      <w:r w:rsidR="00274F6F" w:rsidRPr="001A44A7">
        <w:rPr>
          <w:rFonts w:eastAsia="Calibri"/>
          <w:b/>
          <w:bCs/>
          <w:kern w:val="2"/>
          <w:position w:val="0"/>
          <w14:ligatures w14:val="standardContextual"/>
        </w:rPr>
        <w:fldChar w:fldCharType="separate"/>
      </w:r>
      <w:r w:rsidR="00DC3231">
        <w:rPr>
          <w:rFonts w:eastAsia="Calibri"/>
          <w:b/>
          <w:bCs/>
          <w:noProof/>
          <w:kern w:val="2"/>
          <w:position w:val="0"/>
          <w14:ligatures w14:val="standardContextual"/>
        </w:rPr>
        <w:t>8</w:t>
      </w:r>
      <w:r w:rsidR="00274F6F" w:rsidRPr="001A44A7">
        <w:rPr>
          <w:rFonts w:eastAsia="Calibri"/>
          <w:b/>
          <w:bCs/>
          <w:kern w:val="2"/>
          <w:position w:val="0"/>
          <w14:ligatures w14:val="standardContextual"/>
        </w:rPr>
        <w:fldChar w:fldCharType="end"/>
      </w:r>
      <w:r w:rsidRPr="00D50069">
        <w:rPr>
          <w:rFonts w:eastAsia="Calibri"/>
          <w:b/>
          <w:bCs/>
          <w:i/>
          <w:iCs/>
          <w:kern w:val="2"/>
          <w:position w:val="0"/>
          <w14:ligatures w14:val="standardContextual"/>
        </w:rPr>
        <w:t xml:space="preserve"> </w:t>
      </w:r>
    </w:p>
    <w:p w14:paraId="6F759E23" w14:textId="1ECF4359" w:rsidR="00D50069" w:rsidRPr="00D50069" w:rsidRDefault="00D50069" w:rsidP="004476FF">
      <w:pPr>
        <w:keepNext/>
        <w:spacing w:after="200" w:line="276" w:lineRule="auto"/>
        <w:rPr>
          <w:rFonts w:eastAsia="Calibri"/>
          <w:i/>
          <w:iCs/>
          <w:kern w:val="2"/>
          <w:position w:val="0"/>
          <w14:ligatures w14:val="standardContextual"/>
        </w:rPr>
      </w:pPr>
      <w:r w:rsidRPr="004476FF">
        <w:rPr>
          <w:rFonts w:eastAsia="Calibri"/>
          <w:kern w:val="2"/>
          <w:position w:val="0"/>
          <w14:ligatures w14:val="standardContextual"/>
        </w:rPr>
        <w:t>Teachers’ Participation in OTCs</w:t>
      </w:r>
      <w:bookmarkEnd w:id="191"/>
      <w:bookmarkEnd w:id="192"/>
      <w:bookmarkEnd w:id="193"/>
    </w:p>
    <w:tbl>
      <w:tblPr>
        <w:tblStyle w:val="TableauGrille4-Accentuation1"/>
        <w:tblpPr w:leftFromText="180" w:rightFromText="180" w:vertAnchor="text" w:horzAnchor="margin" w:tblpY="3"/>
        <w:tblW w:w="6712" w:type="dxa"/>
        <w:tblLook w:val="04A0" w:firstRow="1" w:lastRow="0" w:firstColumn="1" w:lastColumn="0" w:noHBand="0" w:noVBand="1"/>
      </w:tblPr>
      <w:tblGrid>
        <w:gridCol w:w="1838"/>
        <w:gridCol w:w="2983"/>
        <w:gridCol w:w="1891"/>
      </w:tblGrid>
      <w:tr w:rsidR="00766384" w:rsidRPr="00D50069" w14:paraId="17FD15C8" w14:textId="77777777" w:rsidTr="00D50069">
        <w:trPr>
          <w:cnfStyle w:val="100000000000" w:firstRow="1" w:lastRow="0" w:firstColumn="0" w:lastColumn="0" w:oddVBand="0" w:evenVBand="0" w:oddHBand="0" w:evenHBand="0" w:firstRowFirstColumn="0" w:firstRowLastColumn="0" w:lastRowFirstColumn="0" w:lastRowLastColumn="0"/>
          <w:trHeight w:val="289"/>
        </w:trPr>
        <w:tc>
          <w:tcPr>
            <w:cnfStyle w:val="001000000000" w:firstRow="0" w:lastRow="0" w:firstColumn="1" w:lastColumn="0" w:oddVBand="0" w:evenVBand="0" w:oddHBand="0" w:evenHBand="0" w:firstRowFirstColumn="0" w:firstRowLastColumn="0" w:lastRowFirstColumn="0" w:lastRowLastColumn="0"/>
            <w:tcW w:w="1838" w:type="dxa"/>
            <w:noWrap/>
            <w:hideMark/>
          </w:tcPr>
          <w:p w14:paraId="0E409DBB" w14:textId="77777777" w:rsidR="00D50069" w:rsidRPr="00D50069" w:rsidRDefault="00D50069" w:rsidP="00D50069">
            <w:pPr>
              <w:spacing w:line="480" w:lineRule="auto"/>
              <w:rPr>
                <w:rFonts w:ascii="Times New Roman" w:eastAsia="Times New Roman" w:hAnsi="Times New Roman" w:cs="Times New Roman"/>
                <w:b w:val="0"/>
                <w:bCs w:val="0"/>
                <w:kern w:val="0"/>
                <w:position w:val="0"/>
                <w:szCs w:val="28"/>
                <w14:ligatures w14:val="none"/>
              </w:rPr>
            </w:pPr>
            <w:r w:rsidRPr="00D50069">
              <w:rPr>
                <w:rFonts w:ascii="Times New Roman" w:eastAsia="Times New Roman" w:hAnsi="Times New Roman" w:cs="Times New Roman"/>
                <w:kern w:val="0"/>
                <w:position w:val="0"/>
                <w:szCs w:val="28"/>
                <w14:ligatures w14:val="none"/>
              </w:rPr>
              <w:t>Response</w:t>
            </w:r>
          </w:p>
        </w:tc>
        <w:tc>
          <w:tcPr>
            <w:tcW w:w="2983" w:type="dxa"/>
            <w:noWrap/>
            <w:hideMark/>
          </w:tcPr>
          <w:p w14:paraId="5FEFB512" w14:textId="77777777" w:rsidR="00D50069" w:rsidRPr="00D50069" w:rsidRDefault="00D50069" w:rsidP="00D50069">
            <w:pPr>
              <w:spacing w:line="48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kern w:val="0"/>
                <w:position w:val="0"/>
                <w:szCs w:val="28"/>
                <w14:ligatures w14:val="none"/>
              </w:rPr>
            </w:pPr>
            <w:r w:rsidRPr="00D50069">
              <w:rPr>
                <w:rFonts w:ascii="Times New Roman" w:eastAsia="Times New Roman" w:hAnsi="Times New Roman" w:cs="Times New Roman"/>
                <w:kern w:val="0"/>
                <w:position w:val="0"/>
                <w:szCs w:val="28"/>
                <w14:ligatures w14:val="none"/>
              </w:rPr>
              <w:t>Number of teachers</w:t>
            </w:r>
          </w:p>
        </w:tc>
        <w:tc>
          <w:tcPr>
            <w:tcW w:w="1891" w:type="dxa"/>
            <w:noWrap/>
            <w:hideMark/>
          </w:tcPr>
          <w:p w14:paraId="0A025ED7" w14:textId="77777777" w:rsidR="00D50069" w:rsidRPr="00D50069" w:rsidRDefault="00D50069" w:rsidP="00D50069">
            <w:pPr>
              <w:spacing w:line="48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kern w:val="0"/>
                <w:position w:val="0"/>
                <w:szCs w:val="28"/>
                <w14:ligatures w14:val="none"/>
              </w:rPr>
            </w:pPr>
            <w:r w:rsidRPr="00D50069">
              <w:rPr>
                <w:rFonts w:ascii="Times New Roman" w:eastAsia="Times New Roman" w:hAnsi="Times New Roman" w:cs="Times New Roman"/>
                <w:kern w:val="0"/>
                <w:position w:val="0"/>
                <w:szCs w:val="28"/>
                <w14:ligatures w14:val="none"/>
              </w:rPr>
              <w:t>Percentage</w:t>
            </w:r>
          </w:p>
        </w:tc>
      </w:tr>
      <w:tr w:rsidR="00766384" w:rsidRPr="00D50069" w14:paraId="7051B901" w14:textId="77777777" w:rsidTr="00D50069">
        <w:trPr>
          <w:cnfStyle w:val="000000100000" w:firstRow="0" w:lastRow="0" w:firstColumn="0" w:lastColumn="0" w:oddVBand="0" w:evenVBand="0" w:oddHBand="1" w:evenHBand="0" w:firstRowFirstColumn="0" w:firstRowLastColumn="0" w:lastRowFirstColumn="0" w:lastRowLastColumn="0"/>
          <w:trHeight w:val="289"/>
        </w:trPr>
        <w:tc>
          <w:tcPr>
            <w:cnfStyle w:val="001000000000" w:firstRow="0" w:lastRow="0" w:firstColumn="1" w:lastColumn="0" w:oddVBand="0" w:evenVBand="0" w:oddHBand="0" w:evenHBand="0" w:firstRowFirstColumn="0" w:firstRowLastColumn="0" w:lastRowFirstColumn="0" w:lastRowLastColumn="0"/>
            <w:tcW w:w="1838" w:type="dxa"/>
            <w:noWrap/>
            <w:hideMark/>
          </w:tcPr>
          <w:p w14:paraId="63394B8F" w14:textId="77777777" w:rsidR="00D50069" w:rsidRPr="00D50069" w:rsidRDefault="00D50069" w:rsidP="00D50069">
            <w:pPr>
              <w:spacing w:line="480" w:lineRule="auto"/>
              <w:rPr>
                <w:rFonts w:ascii="Times New Roman" w:eastAsia="Times New Roman" w:hAnsi="Times New Roman" w:cs="Times New Roman"/>
                <w:kern w:val="0"/>
                <w:position w:val="0"/>
                <w:szCs w:val="28"/>
                <w14:ligatures w14:val="none"/>
              </w:rPr>
            </w:pPr>
            <w:r w:rsidRPr="00D50069">
              <w:rPr>
                <w:rFonts w:ascii="Times New Roman" w:eastAsia="Times New Roman" w:hAnsi="Times New Roman" w:cs="Times New Roman"/>
                <w:kern w:val="0"/>
                <w:position w:val="0"/>
                <w:szCs w:val="28"/>
                <w14:ligatures w14:val="none"/>
              </w:rPr>
              <w:t>no</w:t>
            </w:r>
          </w:p>
        </w:tc>
        <w:tc>
          <w:tcPr>
            <w:tcW w:w="2983" w:type="dxa"/>
            <w:noWrap/>
            <w:hideMark/>
          </w:tcPr>
          <w:p w14:paraId="281485BE" w14:textId="77777777" w:rsidR="00D50069" w:rsidRPr="00D50069" w:rsidRDefault="00D50069" w:rsidP="00D50069">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position w:val="0"/>
                <w:szCs w:val="28"/>
                <w14:ligatures w14:val="none"/>
              </w:rPr>
            </w:pPr>
            <w:r w:rsidRPr="00D50069">
              <w:rPr>
                <w:rFonts w:ascii="Times New Roman" w:eastAsia="Times New Roman" w:hAnsi="Times New Roman" w:cs="Times New Roman"/>
                <w:kern w:val="0"/>
                <w:position w:val="0"/>
                <w:szCs w:val="28"/>
                <w14:ligatures w14:val="none"/>
              </w:rPr>
              <w:t>8</w:t>
            </w:r>
          </w:p>
        </w:tc>
        <w:tc>
          <w:tcPr>
            <w:tcW w:w="1891" w:type="dxa"/>
            <w:noWrap/>
            <w:hideMark/>
          </w:tcPr>
          <w:p w14:paraId="365B86DE" w14:textId="77777777" w:rsidR="00D50069" w:rsidRPr="00D50069" w:rsidRDefault="00D50069" w:rsidP="00D50069">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position w:val="0"/>
                <w:szCs w:val="28"/>
                <w14:ligatures w14:val="none"/>
              </w:rPr>
            </w:pPr>
            <w:r w:rsidRPr="00D50069">
              <w:rPr>
                <w:rFonts w:ascii="Times New Roman" w:eastAsia="Times New Roman" w:hAnsi="Times New Roman" w:cs="Times New Roman"/>
                <w:kern w:val="0"/>
                <w:position w:val="0"/>
                <w:szCs w:val="28"/>
                <w14:ligatures w14:val="none"/>
              </w:rPr>
              <w:t>16%</w:t>
            </w:r>
          </w:p>
        </w:tc>
      </w:tr>
      <w:tr w:rsidR="00D50069" w:rsidRPr="00D50069" w14:paraId="63B4A3BD" w14:textId="77777777" w:rsidTr="00C141A1">
        <w:trPr>
          <w:trHeight w:val="289"/>
        </w:trPr>
        <w:tc>
          <w:tcPr>
            <w:cnfStyle w:val="001000000000" w:firstRow="0" w:lastRow="0" w:firstColumn="1" w:lastColumn="0" w:oddVBand="0" w:evenVBand="0" w:oddHBand="0" w:evenHBand="0" w:firstRowFirstColumn="0" w:firstRowLastColumn="0" w:lastRowFirstColumn="0" w:lastRowLastColumn="0"/>
            <w:tcW w:w="1838" w:type="dxa"/>
            <w:noWrap/>
            <w:hideMark/>
          </w:tcPr>
          <w:p w14:paraId="0A334AB6" w14:textId="77777777" w:rsidR="00D50069" w:rsidRPr="00D50069" w:rsidRDefault="00D50069" w:rsidP="00D50069">
            <w:pPr>
              <w:spacing w:line="480" w:lineRule="auto"/>
              <w:rPr>
                <w:rFonts w:ascii="Times New Roman" w:eastAsia="Times New Roman" w:hAnsi="Times New Roman" w:cs="Times New Roman"/>
                <w:kern w:val="0"/>
                <w:position w:val="0"/>
                <w:szCs w:val="28"/>
                <w14:ligatures w14:val="none"/>
              </w:rPr>
            </w:pPr>
            <w:r w:rsidRPr="00D50069">
              <w:rPr>
                <w:rFonts w:ascii="Times New Roman" w:eastAsia="Times New Roman" w:hAnsi="Times New Roman" w:cs="Times New Roman"/>
                <w:kern w:val="0"/>
                <w:position w:val="0"/>
                <w:szCs w:val="28"/>
                <w14:ligatures w14:val="none"/>
              </w:rPr>
              <w:t>yes</w:t>
            </w:r>
          </w:p>
        </w:tc>
        <w:tc>
          <w:tcPr>
            <w:tcW w:w="2983" w:type="dxa"/>
            <w:noWrap/>
            <w:hideMark/>
          </w:tcPr>
          <w:p w14:paraId="6CC5D898" w14:textId="77777777" w:rsidR="00D50069" w:rsidRPr="00D50069" w:rsidRDefault="00D50069" w:rsidP="00D50069">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position w:val="0"/>
                <w:szCs w:val="28"/>
                <w14:ligatures w14:val="none"/>
              </w:rPr>
            </w:pPr>
            <w:r w:rsidRPr="00D50069">
              <w:rPr>
                <w:rFonts w:ascii="Times New Roman" w:eastAsia="Times New Roman" w:hAnsi="Times New Roman" w:cs="Times New Roman"/>
                <w:kern w:val="0"/>
                <w:position w:val="0"/>
                <w:szCs w:val="28"/>
                <w14:ligatures w14:val="none"/>
              </w:rPr>
              <w:t>41</w:t>
            </w:r>
          </w:p>
        </w:tc>
        <w:tc>
          <w:tcPr>
            <w:tcW w:w="1891" w:type="dxa"/>
            <w:noWrap/>
            <w:hideMark/>
          </w:tcPr>
          <w:p w14:paraId="7D132D0F" w14:textId="77777777" w:rsidR="00D50069" w:rsidRPr="00D50069" w:rsidRDefault="00D50069" w:rsidP="00D50069">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position w:val="0"/>
                <w:szCs w:val="28"/>
                <w14:ligatures w14:val="none"/>
              </w:rPr>
            </w:pPr>
            <w:r w:rsidRPr="00D50069">
              <w:rPr>
                <w:rFonts w:ascii="Times New Roman" w:eastAsia="Times New Roman" w:hAnsi="Times New Roman" w:cs="Times New Roman"/>
                <w:kern w:val="0"/>
                <w:position w:val="0"/>
                <w:szCs w:val="28"/>
                <w14:ligatures w14:val="none"/>
              </w:rPr>
              <w:t>84%</w:t>
            </w:r>
          </w:p>
        </w:tc>
      </w:tr>
      <w:tr w:rsidR="00766384" w:rsidRPr="00D50069" w14:paraId="18D8F2DB" w14:textId="77777777" w:rsidTr="00D50069">
        <w:trPr>
          <w:cnfStyle w:val="000000100000" w:firstRow="0" w:lastRow="0" w:firstColumn="0" w:lastColumn="0" w:oddVBand="0" w:evenVBand="0" w:oddHBand="1" w:evenHBand="0" w:firstRowFirstColumn="0" w:firstRowLastColumn="0" w:lastRowFirstColumn="0" w:lastRowLastColumn="0"/>
          <w:trHeight w:val="289"/>
        </w:trPr>
        <w:tc>
          <w:tcPr>
            <w:cnfStyle w:val="001000000000" w:firstRow="0" w:lastRow="0" w:firstColumn="1" w:lastColumn="0" w:oddVBand="0" w:evenVBand="0" w:oddHBand="0" w:evenHBand="0" w:firstRowFirstColumn="0" w:firstRowLastColumn="0" w:lastRowFirstColumn="0" w:lastRowLastColumn="0"/>
            <w:tcW w:w="1838" w:type="dxa"/>
            <w:noWrap/>
            <w:hideMark/>
          </w:tcPr>
          <w:p w14:paraId="23FA7D47" w14:textId="77777777" w:rsidR="00D50069" w:rsidRPr="00D50069" w:rsidRDefault="00D50069" w:rsidP="00D50069">
            <w:pPr>
              <w:spacing w:line="480" w:lineRule="auto"/>
              <w:rPr>
                <w:rFonts w:ascii="Times New Roman" w:eastAsia="Times New Roman" w:hAnsi="Times New Roman" w:cs="Times New Roman"/>
                <w:kern w:val="0"/>
                <w:position w:val="0"/>
                <w:szCs w:val="28"/>
                <w14:ligatures w14:val="none"/>
              </w:rPr>
            </w:pPr>
            <w:r w:rsidRPr="00D50069">
              <w:rPr>
                <w:rFonts w:ascii="Times New Roman" w:eastAsia="Times New Roman" w:hAnsi="Times New Roman" w:cs="Times New Roman"/>
                <w:kern w:val="0"/>
                <w:position w:val="0"/>
                <w:szCs w:val="28"/>
                <w14:ligatures w14:val="none"/>
              </w:rPr>
              <w:t xml:space="preserve">Total </w:t>
            </w:r>
          </w:p>
        </w:tc>
        <w:tc>
          <w:tcPr>
            <w:tcW w:w="2983" w:type="dxa"/>
            <w:noWrap/>
            <w:hideMark/>
          </w:tcPr>
          <w:p w14:paraId="5BA4CAAF" w14:textId="77777777" w:rsidR="00D50069" w:rsidRPr="00D50069" w:rsidRDefault="00D50069" w:rsidP="00D50069">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position w:val="0"/>
                <w:szCs w:val="28"/>
                <w14:ligatures w14:val="none"/>
              </w:rPr>
            </w:pPr>
            <w:r w:rsidRPr="00D50069">
              <w:rPr>
                <w:rFonts w:ascii="Times New Roman" w:eastAsia="Times New Roman" w:hAnsi="Times New Roman" w:cs="Times New Roman"/>
                <w:kern w:val="0"/>
                <w:position w:val="0"/>
                <w:szCs w:val="28"/>
                <w14:ligatures w14:val="none"/>
              </w:rPr>
              <w:t>49</w:t>
            </w:r>
          </w:p>
        </w:tc>
        <w:tc>
          <w:tcPr>
            <w:tcW w:w="1891" w:type="dxa"/>
            <w:noWrap/>
            <w:hideMark/>
          </w:tcPr>
          <w:p w14:paraId="5C0076C3" w14:textId="77777777" w:rsidR="00D50069" w:rsidRPr="00D50069" w:rsidRDefault="00D50069" w:rsidP="00D50069">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position w:val="0"/>
                <w:szCs w:val="28"/>
                <w14:ligatures w14:val="none"/>
              </w:rPr>
            </w:pPr>
            <w:r w:rsidRPr="00D50069">
              <w:rPr>
                <w:rFonts w:ascii="Times New Roman" w:eastAsia="Times New Roman" w:hAnsi="Times New Roman" w:cs="Times New Roman"/>
                <w:kern w:val="0"/>
                <w:position w:val="0"/>
                <w:szCs w:val="28"/>
                <w14:ligatures w14:val="none"/>
              </w:rPr>
              <w:t>100%</w:t>
            </w:r>
          </w:p>
        </w:tc>
      </w:tr>
    </w:tbl>
    <w:p w14:paraId="55E97122" w14:textId="77777777" w:rsidR="00D50069" w:rsidRPr="00D50069" w:rsidRDefault="00D50069" w:rsidP="00D50069">
      <w:pPr>
        <w:spacing w:before="240" w:after="160" w:line="480" w:lineRule="auto"/>
        <w:ind w:left="284"/>
        <w:rPr>
          <w:rFonts w:eastAsia="Calibri"/>
          <w:b/>
          <w:bCs/>
          <w:kern w:val="2"/>
          <w:position w:val="0"/>
          <w14:ligatures w14:val="standardContextual"/>
        </w:rPr>
      </w:pPr>
    </w:p>
    <w:p w14:paraId="77A5FA51" w14:textId="77777777" w:rsidR="00D50069" w:rsidRPr="00D50069" w:rsidRDefault="00D50069" w:rsidP="00D50069">
      <w:pPr>
        <w:spacing w:before="240" w:after="160" w:line="480" w:lineRule="auto"/>
        <w:ind w:left="284"/>
        <w:rPr>
          <w:rFonts w:eastAsia="Calibri"/>
          <w:b/>
          <w:bCs/>
          <w:kern w:val="2"/>
          <w:position w:val="0"/>
          <w14:ligatures w14:val="standardContextual"/>
        </w:rPr>
      </w:pPr>
    </w:p>
    <w:p w14:paraId="3580F4E1" w14:textId="77777777" w:rsidR="00D50069" w:rsidRPr="00D50069" w:rsidRDefault="00D50069" w:rsidP="00D50069">
      <w:pPr>
        <w:spacing w:before="240" w:after="160" w:line="480" w:lineRule="auto"/>
        <w:ind w:left="284"/>
        <w:rPr>
          <w:rFonts w:eastAsia="Calibri"/>
          <w:b/>
          <w:bCs/>
          <w:kern w:val="2"/>
          <w:position w:val="0"/>
          <w14:ligatures w14:val="standardContextual"/>
        </w:rPr>
      </w:pPr>
    </w:p>
    <w:p w14:paraId="2F3F3488" w14:textId="77777777" w:rsidR="00D50069" w:rsidRPr="00D50069" w:rsidRDefault="00D50069" w:rsidP="00D50069">
      <w:pPr>
        <w:spacing w:before="240" w:after="160" w:line="480" w:lineRule="auto"/>
        <w:rPr>
          <w:rFonts w:eastAsia="Calibri"/>
          <w:b/>
          <w:bCs/>
          <w:kern w:val="2"/>
          <w:position w:val="0"/>
          <w14:ligatures w14:val="standardContextual"/>
        </w:rPr>
      </w:pPr>
    </w:p>
    <w:p w14:paraId="26CF0240" w14:textId="77777777" w:rsidR="00D50069" w:rsidRPr="00D50069" w:rsidRDefault="00D50069" w:rsidP="00D50069">
      <w:pPr>
        <w:keepNext/>
        <w:spacing w:before="240" w:after="160" w:line="480" w:lineRule="auto"/>
        <w:ind w:left="284"/>
        <w:rPr>
          <w:rFonts w:ascii="Calibri" w:eastAsia="Calibri" w:hAnsi="Calibri" w:cs="Arial"/>
          <w:kern w:val="2"/>
          <w:position w:val="0"/>
          <w:sz w:val="22"/>
          <w:szCs w:val="22"/>
          <w14:ligatures w14:val="standardContextual"/>
        </w:rPr>
      </w:pPr>
      <w:r w:rsidRPr="00D50069">
        <w:rPr>
          <w:rFonts w:ascii="Calibri" w:eastAsia="Calibri" w:hAnsi="Calibri" w:cs="Arial"/>
          <w:noProof/>
          <w:kern w:val="2"/>
          <w:position w:val="0"/>
          <w:sz w:val="22"/>
          <w:szCs w:val="22"/>
          <w:lang w:val="fr-FR" w:eastAsia="fr-FR"/>
          <w14:ligatures w14:val="standardContextual"/>
        </w:rPr>
        <w:lastRenderedPageBreak/>
        <w:drawing>
          <wp:inline distT="0" distB="0" distL="0" distR="0" wp14:anchorId="6B26789C" wp14:editId="70E9DD34">
            <wp:extent cx="4572000" cy="2743200"/>
            <wp:effectExtent l="38100" t="0" r="0" b="0"/>
            <wp:docPr id="92763776" name="Chart 1">
              <a:extLst xmlns:a="http://schemas.openxmlformats.org/drawingml/2006/main">
                <a:ext uri="{FF2B5EF4-FFF2-40B4-BE49-F238E27FC236}">
                  <a16:creationId xmlns:a16="http://schemas.microsoft.com/office/drawing/2014/main"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385E2997-F649-7C27-F483-FC77143B6E7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14:paraId="6E96179B" w14:textId="1E3B048E" w:rsidR="00D50069" w:rsidRPr="00D50069" w:rsidRDefault="00D50069" w:rsidP="00D50069">
      <w:pPr>
        <w:spacing w:after="200" w:line="480" w:lineRule="auto"/>
        <w:rPr>
          <w:rFonts w:eastAsia="Calibri"/>
          <w:b/>
          <w:bCs/>
          <w:i/>
          <w:iCs/>
          <w:kern w:val="2"/>
          <w:position w:val="0"/>
          <w:sz w:val="36"/>
          <w:szCs w:val="36"/>
          <w14:ligatures w14:val="standardContextual"/>
        </w:rPr>
      </w:pPr>
      <w:bookmarkStart w:id="194" w:name="_Toc199695818"/>
      <w:r w:rsidRPr="00D50069">
        <w:rPr>
          <w:rFonts w:eastAsia="Calibri"/>
          <w:b/>
          <w:bCs/>
          <w:kern w:val="2"/>
          <w:position w:val="0"/>
          <w14:ligatures w14:val="standardContextual"/>
        </w:rPr>
        <w:t xml:space="preserve">Graph </w:t>
      </w:r>
      <w:r w:rsidRPr="00D50069">
        <w:rPr>
          <w:rFonts w:eastAsia="Calibri"/>
          <w:b/>
          <w:bCs/>
          <w:kern w:val="2"/>
          <w:position w:val="0"/>
          <w14:ligatures w14:val="standardContextual"/>
        </w:rPr>
        <w:fldChar w:fldCharType="begin"/>
      </w:r>
      <w:r w:rsidRPr="00D50069">
        <w:rPr>
          <w:rFonts w:eastAsia="Calibri"/>
          <w:b/>
          <w:bCs/>
          <w:kern w:val="2"/>
          <w:position w:val="0"/>
          <w14:ligatures w14:val="standardContextual"/>
        </w:rPr>
        <w:instrText xml:space="preserve"> SEQ Graph \* ARABIC </w:instrText>
      </w:r>
      <w:r w:rsidRPr="00D50069">
        <w:rPr>
          <w:rFonts w:eastAsia="Calibri"/>
          <w:b/>
          <w:bCs/>
          <w:kern w:val="2"/>
          <w:position w:val="0"/>
          <w14:ligatures w14:val="standardContextual"/>
        </w:rPr>
        <w:fldChar w:fldCharType="separate"/>
      </w:r>
      <w:r w:rsidR="00DC3231">
        <w:rPr>
          <w:rFonts w:eastAsia="Calibri"/>
          <w:b/>
          <w:bCs/>
          <w:noProof/>
          <w:kern w:val="2"/>
          <w:position w:val="0"/>
          <w14:ligatures w14:val="standardContextual"/>
        </w:rPr>
        <w:t>3</w:t>
      </w:r>
      <w:r w:rsidRPr="00D50069">
        <w:rPr>
          <w:rFonts w:eastAsia="Calibri"/>
          <w:b/>
          <w:bCs/>
          <w:kern w:val="2"/>
          <w:position w:val="0"/>
          <w14:ligatures w14:val="standardContextual"/>
        </w:rPr>
        <w:fldChar w:fldCharType="end"/>
      </w:r>
      <w:r w:rsidRPr="00D50069">
        <w:rPr>
          <w:rFonts w:eastAsia="Calibri"/>
          <w:b/>
          <w:bCs/>
          <w:i/>
          <w:iCs/>
          <w:kern w:val="2"/>
          <w:position w:val="0"/>
          <w14:ligatures w14:val="standardContextual"/>
        </w:rPr>
        <w:t xml:space="preserve"> </w:t>
      </w:r>
      <w:r w:rsidRPr="004476FF">
        <w:rPr>
          <w:rFonts w:eastAsia="Calibri"/>
          <w:kern w:val="2"/>
          <w:position w:val="0"/>
          <w14:ligatures w14:val="standardContextual"/>
        </w:rPr>
        <w:t>Teachers’ Participation in OTCs</w:t>
      </w:r>
      <w:bookmarkEnd w:id="194"/>
    </w:p>
    <w:p w14:paraId="2131D183" w14:textId="5BCB0E34" w:rsidR="00D50069" w:rsidRPr="00D50069" w:rsidRDefault="00D50069" w:rsidP="004476FF">
      <w:pPr>
        <w:spacing w:before="240" w:after="160" w:line="480" w:lineRule="auto"/>
        <w:ind w:firstLine="567"/>
        <w:jc w:val="both"/>
        <w:rPr>
          <w:rFonts w:eastAsia="Calibri"/>
          <w:kern w:val="2"/>
          <w:position w:val="0"/>
          <w14:ligatures w14:val="standardContextual"/>
        </w:rPr>
      </w:pPr>
      <w:r w:rsidRPr="00D50069">
        <w:rPr>
          <w:rFonts w:eastAsia="Calibri"/>
          <w:kern w:val="2"/>
          <w:position w:val="0"/>
          <w14:ligatures w14:val="standardContextual"/>
        </w:rPr>
        <w:t xml:space="preserve"> </w:t>
      </w:r>
      <w:r w:rsidRPr="00D50069">
        <w:rPr>
          <w:rFonts w:eastAsia="Calibri"/>
          <w:b/>
          <w:bCs/>
          <w:kern w:val="2"/>
          <w:position w:val="0"/>
          <w14:ligatures w14:val="standardContextual"/>
        </w:rPr>
        <w:t xml:space="preserve">Graph 04 </w:t>
      </w:r>
      <w:r w:rsidRPr="00D50069">
        <w:rPr>
          <w:rFonts w:eastAsia="Calibri"/>
          <w:kern w:val="2"/>
          <w:position w:val="0"/>
          <w14:ligatures w14:val="standardContextual"/>
        </w:rPr>
        <w:t xml:space="preserve">bellow illustrates the frequency of teacher regular engagement with online discussion platforms. Findings reveal that most of the teachers recorded utilizing these </w:t>
      </w:r>
      <w:proofErr w:type="gramStart"/>
      <w:r w:rsidRPr="00D50069">
        <w:rPr>
          <w:rFonts w:eastAsia="Calibri"/>
          <w:kern w:val="2"/>
          <w:position w:val="0"/>
          <w14:ligatures w14:val="standardContextual"/>
        </w:rPr>
        <w:t>learning</w:t>
      </w:r>
      <w:proofErr w:type="gramEnd"/>
      <w:r w:rsidRPr="00D50069">
        <w:rPr>
          <w:rFonts w:eastAsia="Calibri"/>
          <w:kern w:val="2"/>
          <w:position w:val="0"/>
          <w14:ligatures w14:val="standardContextual"/>
        </w:rPr>
        <w:t xml:space="preserve"> communities either daily (40 %) or weekly </w:t>
      </w:r>
      <w:bookmarkStart w:id="195" w:name="_Hlk198027613"/>
      <w:r w:rsidRPr="00D50069">
        <w:rPr>
          <w:rFonts w:eastAsia="Calibri"/>
          <w:kern w:val="2"/>
          <w:position w:val="0"/>
          <w14:ligatures w14:val="standardContextual"/>
        </w:rPr>
        <w:t>(30 %)</w:t>
      </w:r>
      <w:bookmarkEnd w:id="195"/>
      <w:r w:rsidRPr="00D50069">
        <w:rPr>
          <w:rFonts w:eastAsia="Calibri"/>
          <w:kern w:val="2"/>
          <w:position w:val="0"/>
          <w14:ligatures w14:val="standardContextual"/>
        </w:rPr>
        <w:t>. This habitual use is a key indicator of OTCs significance in the commitment to collaborative professional development. Only 7 % of teachers reported participating in OTCs on a monthly basis, whereas 23 % stated that they rarely use it. The observed engagement disparity highlights teachers’ access to technological resources.</w:t>
      </w:r>
    </w:p>
    <w:p w14:paraId="0F3F5613" w14:textId="77777777" w:rsidR="00D50069" w:rsidRPr="00D50069" w:rsidRDefault="00D50069" w:rsidP="00D50069">
      <w:pPr>
        <w:keepNext/>
        <w:spacing w:before="240" w:after="160" w:line="480" w:lineRule="auto"/>
        <w:ind w:left="284"/>
        <w:rPr>
          <w:rFonts w:ascii="Calibri" w:eastAsia="Calibri" w:hAnsi="Calibri" w:cs="Arial"/>
          <w:kern w:val="2"/>
          <w:position w:val="0"/>
          <w:sz w:val="22"/>
          <w:szCs w:val="22"/>
          <w14:ligatures w14:val="standardContextual"/>
        </w:rPr>
      </w:pPr>
      <w:r w:rsidRPr="00D50069">
        <w:rPr>
          <w:rFonts w:eastAsia="Calibri"/>
          <w:noProof/>
          <w:kern w:val="2"/>
          <w:position w:val="0"/>
          <w:lang w:val="fr-FR" w:eastAsia="fr-FR"/>
          <w14:ligatures w14:val="standardContextual"/>
        </w:rPr>
        <w:lastRenderedPageBreak/>
        <w:drawing>
          <wp:inline distT="0" distB="0" distL="0" distR="0" wp14:anchorId="6C7D2630" wp14:editId="3D40112E">
            <wp:extent cx="4572000" cy="2743200"/>
            <wp:effectExtent l="0" t="0" r="0" b="0"/>
            <wp:docPr id="388235160" name="Chart 1">
              <a:extLst xmlns:a="http://schemas.openxmlformats.org/drawingml/2006/main">
                <a:ext uri="{FF2B5EF4-FFF2-40B4-BE49-F238E27FC236}">
                  <a16:creationId xmlns:a16="http://schemas.microsoft.com/office/drawing/2014/main"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9CB81646-5F91-5EB5-631D-B97AF8A891E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14:paraId="0BD5D552" w14:textId="155B190E" w:rsidR="00D50069" w:rsidRPr="00D50069" w:rsidRDefault="00D50069" w:rsidP="00D50069">
      <w:pPr>
        <w:spacing w:after="200" w:line="480" w:lineRule="auto"/>
        <w:rPr>
          <w:rFonts w:eastAsia="Calibri"/>
          <w:i/>
          <w:iCs/>
          <w:kern w:val="2"/>
          <w:position w:val="0"/>
          <w:sz w:val="36"/>
          <w:szCs w:val="36"/>
          <w14:ligatures w14:val="standardContextual"/>
        </w:rPr>
      </w:pPr>
      <w:bookmarkStart w:id="196" w:name="_Toc199695819"/>
      <w:r w:rsidRPr="00D50069">
        <w:rPr>
          <w:rFonts w:eastAsia="Calibri"/>
          <w:b/>
          <w:bCs/>
          <w:kern w:val="2"/>
          <w:position w:val="0"/>
          <w14:ligatures w14:val="standardContextual"/>
        </w:rPr>
        <w:t xml:space="preserve">Graph </w:t>
      </w:r>
      <w:r w:rsidRPr="00D50069">
        <w:rPr>
          <w:rFonts w:eastAsia="Calibri"/>
          <w:b/>
          <w:bCs/>
          <w:kern w:val="2"/>
          <w:position w:val="0"/>
          <w14:ligatures w14:val="standardContextual"/>
        </w:rPr>
        <w:fldChar w:fldCharType="begin"/>
      </w:r>
      <w:r w:rsidRPr="00D50069">
        <w:rPr>
          <w:rFonts w:eastAsia="Calibri"/>
          <w:b/>
          <w:bCs/>
          <w:kern w:val="2"/>
          <w:position w:val="0"/>
          <w14:ligatures w14:val="standardContextual"/>
        </w:rPr>
        <w:instrText xml:space="preserve"> SEQ Graph \* ARABIC </w:instrText>
      </w:r>
      <w:r w:rsidRPr="00D50069">
        <w:rPr>
          <w:rFonts w:eastAsia="Calibri"/>
          <w:b/>
          <w:bCs/>
          <w:kern w:val="2"/>
          <w:position w:val="0"/>
          <w14:ligatures w14:val="standardContextual"/>
        </w:rPr>
        <w:fldChar w:fldCharType="separate"/>
      </w:r>
      <w:r w:rsidR="00DC3231">
        <w:rPr>
          <w:rFonts w:eastAsia="Calibri"/>
          <w:b/>
          <w:bCs/>
          <w:noProof/>
          <w:kern w:val="2"/>
          <w:position w:val="0"/>
          <w14:ligatures w14:val="standardContextual"/>
        </w:rPr>
        <w:t>4</w:t>
      </w:r>
      <w:r w:rsidRPr="00D50069">
        <w:rPr>
          <w:rFonts w:eastAsia="Calibri"/>
          <w:b/>
          <w:bCs/>
          <w:kern w:val="2"/>
          <w:position w:val="0"/>
          <w14:ligatures w14:val="standardContextual"/>
        </w:rPr>
        <w:fldChar w:fldCharType="end"/>
      </w:r>
      <w:r w:rsidRPr="00D50069">
        <w:rPr>
          <w:rFonts w:eastAsia="Calibri"/>
          <w:b/>
          <w:bCs/>
          <w:i/>
          <w:iCs/>
          <w:kern w:val="2"/>
          <w:position w:val="0"/>
          <w14:ligatures w14:val="standardContextual"/>
        </w:rPr>
        <w:t xml:space="preserve"> </w:t>
      </w:r>
      <w:r w:rsidRPr="005F3ACD">
        <w:rPr>
          <w:rFonts w:eastAsia="Calibri"/>
          <w:kern w:val="2"/>
          <w:position w:val="0"/>
          <w14:ligatures w14:val="standardContextual"/>
        </w:rPr>
        <w:t>Frequency of Teachers’ Engagement in OTCs</w:t>
      </w:r>
      <w:bookmarkEnd w:id="196"/>
    </w:p>
    <w:p w14:paraId="25656A08" w14:textId="149EC65F" w:rsidR="00D50069" w:rsidRPr="00D50069" w:rsidRDefault="00D50069" w:rsidP="005F3ACD">
      <w:pPr>
        <w:spacing w:after="160" w:line="480" w:lineRule="auto"/>
        <w:ind w:firstLine="567"/>
        <w:jc w:val="both"/>
        <w:rPr>
          <w:rFonts w:eastAsia="Calibri"/>
          <w:kern w:val="2"/>
          <w:position w:val="0"/>
          <w14:ligatures w14:val="standardContextual"/>
        </w:rPr>
      </w:pPr>
      <w:r w:rsidRPr="00D50069">
        <w:rPr>
          <w:rFonts w:eastAsia="Calibri"/>
          <w:kern w:val="2"/>
          <w:position w:val="0"/>
          <w14:ligatures w14:val="standardContextual"/>
        </w:rPr>
        <w:t xml:space="preserve"> The clustered column chart “</w:t>
      </w:r>
      <w:r w:rsidRPr="00D50069">
        <w:rPr>
          <w:rFonts w:eastAsia="Calibri"/>
          <w:b/>
          <w:bCs/>
          <w:kern w:val="2"/>
          <w:position w:val="0"/>
          <w14:ligatures w14:val="standardContextual"/>
        </w:rPr>
        <w:t xml:space="preserve">Graph 05” </w:t>
      </w:r>
      <w:r w:rsidRPr="00D50069">
        <w:rPr>
          <w:rFonts w:eastAsia="Calibri"/>
          <w:kern w:val="2"/>
          <w:position w:val="0"/>
          <w14:ligatures w14:val="standardContextual"/>
        </w:rPr>
        <w:t xml:space="preserve">below compares teacher engagement in online teacher communities based on their years of professional experience. Involvement reaches 28 % among teachers whose experience ranges from </w:t>
      </w:r>
      <w:proofErr w:type="gramStart"/>
      <w:r w:rsidRPr="00D50069">
        <w:rPr>
          <w:rFonts w:eastAsia="Calibri"/>
          <w:kern w:val="2"/>
          <w:position w:val="0"/>
          <w14:ligatures w14:val="standardContextual"/>
        </w:rPr>
        <w:t>3</w:t>
      </w:r>
      <w:proofErr w:type="gramEnd"/>
      <w:r w:rsidRPr="00D50069">
        <w:rPr>
          <w:rFonts w:eastAsia="Calibri"/>
          <w:kern w:val="2"/>
          <w:position w:val="0"/>
          <w14:ligatures w14:val="standardContextual"/>
        </w:rPr>
        <w:t xml:space="preserve"> to 5 years, increasing to 35 % among those with over than ten years. </w:t>
      </w:r>
      <w:proofErr w:type="gramStart"/>
      <w:r w:rsidRPr="00D50069">
        <w:rPr>
          <w:rFonts w:eastAsia="Calibri"/>
          <w:kern w:val="2"/>
          <w:position w:val="0"/>
          <w14:ligatures w14:val="standardContextual"/>
        </w:rPr>
        <w:t>21 %</w:t>
      </w:r>
      <w:proofErr w:type="gramEnd"/>
      <w:r w:rsidRPr="00D50069">
        <w:rPr>
          <w:rFonts w:eastAsia="Calibri"/>
          <w:kern w:val="2"/>
          <w:position w:val="0"/>
          <w14:ligatures w14:val="standardContextual"/>
        </w:rPr>
        <w:t xml:space="preserve"> reports the login rate of teachers having between 6 and 10 years of teaching experience. The three groups mark the highest engagement within OTCs. However, more experienced (2 %) with more than 20 years and novice </w:t>
      </w:r>
      <w:bookmarkStart w:id="197" w:name="_Hlk198094850"/>
      <w:r w:rsidRPr="00D50069">
        <w:rPr>
          <w:rFonts w:eastAsia="Calibri"/>
          <w:kern w:val="2"/>
          <w:position w:val="0"/>
          <w14:ligatures w14:val="standardContextual"/>
        </w:rPr>
        <w:t>(14 %)</w:t>
      </w:r>
      <w:bookmarkEnd w:id="197"/>
      <w:r w:rsidRPr="00D50069">
        <w:rPr>
          <w:rFonts w:eastAsia="Calibri"/>
          <w:kern w:val="2"/>
          <w:position w:val="0"/>
          <w14:ligatures w14:val="standardContextual"/>
        </w:rPr>
        <w:t xml:space="preserve"> teachers with less than 2 years reported the lowest level.</w:t>
      </w:r>
    </w:p>
    <w:p w14:paraId="3EA17412" w14:textId="77777777" w:rsidR="00D50069" w:rsidRPr="00D50069" w:rsidRDefault="00D50069" w:rsidP="00D50069">
      <w:pPr>
        <w:keepNext/>
        <w:spacing w:before="240" w:after="160" w:line="480" w:lineRule="auto"/>
        <w:ind w:left="284"/>
        <w:rPr>
          <w:rFonts w:ascii="Calibri" w:eastAsia="Calibri" w:hAnsi="Calibri" w:cs="Arial"/>
          <w:kern w:val="2"/>
          <w:position w:val="0"/>
          <w:sz w:val="22"/>
          <w:szCs w:val="22"/>
          <w14:ligatures w14:val="standardContextual"/>
        </w:rPr>
      </w:pPr>
      <w:r w:rsidRPr="00D50069">
        <w:rPr>
          <w:rFonts w:ascii="Calibri" w:eastAsia="Calibri" w:hAnsi="Calibri" w:cs="Arial"/>
          <w:noProof/>
          <w:kern w:val="2"/>
          <w:position w:val="0"/>
          <w:sz w:val="22"/>
          <w:szCs w:val="22"/>
          <w:lang w:val="fr-FR" w:eastAsia="fr-FR"/>
          <w14:ligatures w14:val="standardContextual"/>
        </w:rPr>
        <w:lastRenderedPageBreak/>
        <w:drawing>
          <wp:inline distT="0" distB="0" distL="0" distR="0" wp14:anchorId="5B184AAB" wp14:editId="58CEB7F1">
            <wp:extent cx="4572000" cy="2743200"/>
            <wp:effectExtent l="0" t="0" r="0" b="0"/>
            <wp:docPr id="393807826" name="Chart 1">
              <a:extLst xmlns:a="http://schemas.openxmlformats.org/drawingml/2006/main">
                <a:ext uri="{FF2B5EF4-FFF2-40B4-BE49-F238E27FC236}">
                  <a16:creationId xmlns:a16="http://schemas.microsoft.com/office/drawing/2014/main"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A05269C2-E3D8-FDBC-CFD0-0F53AEFE165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14:paraId="52EEB519" w14:textId="2D956BB4" w:rsidR="00D50069" w:rsidRPr="003566FB" w:rsidRDefault="00D50069" w:rsidP="00D50069">
      <w:pPr>
        <w:spacing w:after="200" w:line="480" w:lineRule="auto"/>
        <w:rPr>
          <w:rFonts w:eastAsia="Calibri"/>
          <w:kern w:val="2"/>
          <w:position w:val="0"/>
          <w:sz w:val="36"/>
          <w:szCs w:val="36"/>
          <w14:ligatures w14:val="standardContextual"/>
        </w:rPr>
      </w:pPr>
      <w:bookmarkStart w:id="198" w:name="_Toc199695820"/>
      <w:r w:rsidRPr="00D50069">
        <w:rPr>
          <w:rFonts w:eastAsia="Calibri"/>
          <w:b/>
          <w:bCs/>
          <w:kern w:val="2"/>
          <w:position w:val="0"/>
          <w14:ligatures w14:val="standardContextual"/>
        </w:rPr>
        <w:t xml:space="preserve">Graph </w:t>
      </w:r>
      <w:r w:rsidRPr="00D50069">
        <w:rPr>
          <w:rFonts w:eastAsia="Calibri"/>
          <w:b/>
          <w:bCs/>
          <w:kern w:val="2"/>
          <w:position w:val="0"/>
          <w14:ligatures w14:val="standardContextual"/>
        </w:rPr>
        <w:fldChar w:fldCharType="begin"/>
      </w:r>
      <w:r w:rsidRPr="00D50069">
        <w:rPr>
          <w:rFonts w:eastAsia="Calibri"/>
          <w:b/>
          <w:bCs/>
          <w:kern w:val="2"/>
          <w:position w:val="0"/>
          <w14:ligatures w14:val="standardContextual"/>
        </w:rPr>
        <w:instrText xml:space="preserve"> SEQ Graph \* ARABIC </w:instrText>
      </w:r>
      <w:r w:rsidRPr="00D50069">
        <w:rPr>
          <w:rFonts w:eastAsia="Calibri"/>
          <w:b/>
          <w:bCs/>
          <w:kern w:val="2"/>
          <w:position w:val="0"/>
          <w14:ligatures w14:val="standardContextual"/>
        </w:rPr>
        <w:fldChar w:fldCharType="separate"/>
      </w:r>
      <w:r w:rsidR="00DC3231">
        <w:rPr>
          <w:rFonts w:eastAsia="Calibri"/>
          <w:b/>
          <w:bCs/>
          <w:noProof/>
          <w:kern w:val="2"/>
          <w:position w:val="0"/>
          <w14:ligatures w14:val="standardContextual"/>
        </w:rPr>
        <w:t>5</w:t>
      </w:r>
      <w:r w:rsidRPr="00D50069">
        <w:rPr>
          <w:rFonts w:eastAsia="Calibri"/>
          <w:b/>
          <w:bCs/>
          <w:kern w:val="2"/>
          <w:position w:val="0"/>
          <w14:ligatures w14:val="standardContextual"/>
        </w:rPr>
        <w:fldChar w:fldCharType="end"/>
      </w:r>
      <w:r w:rsidRPr="00D50069">
        <w:rPr>
          <w:rFonts w:eastAsia="Calibri"/>
          <w:b/>
          <w:bCs/>
          <w:i/>
          <w:iCs/>
          <w:kern w:val="2"/>
          <w:position w:val="0"/>
          <w14:ligatures w14:val="standardContextual"/>
        </w:rPr>
        <w:t xml:space="preserve"> </w:t>
      </w:r>
      <w:r w:rsidRPr="003566FB">
        <w:rPr>
          <w:rFonts w:eastAsia="Calibri"/>
          <w:kern w:val="2"/>
          <w:position w:val="0"/>
          <w14:ligatures w14:val="standardContextual"/>
        </w:rPr>
        <w:t>Frequency of Teachers’ Engagement in OTCs</w:t>
      </w:r>
      <w:bookmarkEnd w:id="198"/>
    </w:p>
    <w:p w14:paraId="4C27B525" w14:textId="5B422E9C" w:rsidR="00D50069" w:rsidRPr="00D50069" w:rsidRDefault="00D50069" w:rsidP="003566FB">
      <w:pPr>
        <w:spacing w:before="240" w:after="160" w:line="480" w:lineRule="auto"/>
        <w:ind w:firstLine="567"/>
        <w:jc w:val="both"/>
        <w:rPr>
          <w:rFonts w:eastAsia="Calibri"/>
          <w:kern w:val="2"/>
          <w:position w:val="0"/>
          <w14:ligatures w14:val="standardContextual"/>
        </w:rPr>
      </w:pPr>
      <w:r w:rsidRPr="00D50069">
        <w:rPr>
          <w:rFonts w:eastAsia="Calibri"/>
          <w:kern w:val="2"/>
          <w:position w:val="0"/>
          <w14:ligatures w14:val="standardContextual"/>
        </w:rPr>
        <w:t xml:space="preserve">Varied patterns of teacher engagement in OCTs </w:t>
      </w:r>
      <w:proofErr w:type="gramStart"/>
      <w:r w:rsidRPr="00D50069">
        <w:rPr>
          <w:rFonts w:eastAsia="Calibri"/>
          <w:kern w:val="2"/>
          <w:position w:val="0"/>
          <w14:ligatures w14:val="standardContextual"/>
        </w:rPr>
        <w:t>were noticed</w:t>
      </w:r>
      <w:proofErr w:type="gramEnd"/>
      <w:r w:rsidRPr="00D50069">
        <w:rPr>
          <w:rFonts w:eastAsia="Calibri"/>
          <w:kern w:val="2"/>
          <w:position w:val="0"/>
          <w14:ligatures w14:val="standardContextual"/>
        </w:rPr>
        <w:t xml:space="preserve">. As demonstrated in </w:t>
      </w:r>
      <w:r w:rsidRPr="00D50069">
        <w:rPr>
          <w:rFonts w:eastAsia="Calibri"/>
          <w:b/>
          <w:bCs/>
          <w:kern w:val="2"/>
          <w:position w:val="0"/>
          <w14:ligatures w14:val="standardContextual"/>
        </w:rPr>
        <w:t xml:space="preserve">Graph 06, </w:t>
      </w:r>
      <w:r w:rsidRPr="00D50069">
        <w:rPr>
          <w:rFonts w:eastAsia="Calibri"/>
          <w:kern w:val="2"/>
          <w:position w:val="0"/>
          <w14:ligatures w14:val="standardContextual"/>
        </w:rPr>
        <w:t xml:space="preserve">approximately 37 % of teachers access online communities primarily for participating in discussions. </w:t>
      </w:r>
      <w:proofErr w:type="gramStart"/>
      <w:r w:rsidRPr="00D50069">
        <w:rPr>
          <w:rFonts w:eastAsia="Calibri"/>
          <w:kern w:val="2"/>
          <w:position w:val="0"/>
          <w14:ligatures w14:val="standardContextual"/>
        </w:rPr>
        <w:t>32 %</w:t>
      </w:r>
      <w:proofErr w:type="gramEnd"/>
      <w:r w:rsidRPr="00D50069">
        <w:rPr>
          <w:rFonts w:eastAsia="Calibri"/>
          <w:kern w:val="2"/>
          <w:position w:val="0"/>
          <w14:ligatures w14:val="standardContextual"/>
        </w:rPr>
        <w:t xml:space="preserve"> of them find OTCs useful for refining and adapting others’ ideas, whereas 21 % focused on exchanging instructional resources. In contrast, only 10 % of educators consult these collaborative networks to ask for feedback. This distribution indicates a strong preference for peer support and mutual engagement that are essential for achieving transformative professional autonomy.</w:t>
      </w:r>
    </w:p>
    <w:p w14:paraId="2A5D3245" w14:textId="77777777" w:rsidR="00D50069" w:rsidRPr="00D50069" w:rsidRDefault="00D50069" w:rsidP="00D50069">
      <w:pPr>
        <w:keepNext/>
        <w:spacing w:after="160" w:line="480" w:lineRule="auto"/>
        <w:ind w:left="283"/>
        <w:jc w:val="both"/>
        <w:rPr>
          <w:rFonts w:ascii="Calibri" w:eastAsia="Calibri" w:hAnsi="Calibri" w:cs="Arial"/>
          <w:kern w:val="2"/>
          <w:position w:val="0"/>
          <w:sz w:val="22"/>
          <w:szCs w:val="22"/>
          <w14:ligatures w14:val="standardContextual"/>
        </w:rPr>
      </w:pPr>
      <w:r w:rsidRPr="00D50069">
        <w:rPr>
          <w:rFonts w:ascii="Calibri" w:eastAsia="Calibri" w:hAnsi="Calibri" w:cs="Arial"/>
          <w:noProof/>
          <w:kern w:val="2"/>
          <w:position w:val="0"/>
          <w:sz w:val="22"/>
          <w:szCs w:val="22"/>
          <w:lang w:val="fr-FR" w:eastAsia="fr-FR"/>
          <w14:ligatures w14:val="standardContextual"/>
        </w:rPr>
        <w:lastRenderedPageBreak/>
        <w:drawing>
          <wp:inline distT="0" distB="0" distL="0" distR="0" wp14:anchorId="5D8A27DA" wp14:editId="1827AF36">
            <wp:extent cx="5314950" cy="2743200"/>
            <wp:effectExtent l="0" t="0" r="0" b="0"/>
            <wp:docPr id="738164618" name="Chart 1">
              <a:extLst xmlns:a="http://schemas.openxmlformats.org/drawingml/2006/main">
                <a:ext uri="{FF2B5EF4-FFF2-40B4-BE49-F238E27FC236}">
                  <a16:creationId xmlns:a16="http://schemas.microsoft.com/office/drawing/2014/main"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F0886C35-4CE3-83B9-6BCA-E92C8B2CDBF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14:paraId="545E5523" w14:textId="65A84498" w:rsidR="00D50069" w:rsidRPr="00BB5248" w:rsidRDefault="00D50069" w:rsidP="00D50069">
      <w:pPr>
        <w:spacing w:after="200" w:line="480" w:lineRule="auto"/>
        <w:jc w:val="both"/>
        <w:rPr>
          <w:rFonts w:eastAsia="Calibri"/>
          <w:kern w:val="2"/>
          <w:position w:val="0"/>
          <w:sz w:val="36"/>
          <w:szCs w:val="36"/>
          <w14:ligatures w14:val="standardContextual"/>
        </w:rPr>
      </w:pPr>
      <w:bookmarkStart w:id="199" w:name="_Toc199695821"/>
      <w:r w:rsidRPr="00D50069">
        <w:rPr>
          <w:rFonts w:eastAsia="Calibri"/>
          <w:b/>
          <w:bCs/>
          <w:kern w:val="2"/>
          <w:position w:val="0"/>
          <w14:ligatures w14:val="standardContextual"/>
        </w:rPr>
        <w:t xml:space="preserve">Graph </w:t>
      </w:r>
      <w:r w:rsidRPr="00D50069">
        <w:rPr>
          <w:rFonts w:eastAsia="Calibri"/>
          <w:b/>
          <w:bCs/>
          <w:kern w:val="2"/>
          <w:position w:val="0"/>
          <w14:ligatures w14:val="standardContextual"/>
        </w:rPr>
        <w:fldChar w:fldCharType="begin"/>
      </w:r>
      <w:r w:rsidRPr="00D50069">
        <w:rPr>
          <w:rFonts w:eastAsia="Calibri"/>
          <w:b/>
          <w:bCs/>
          <w:kern w:val="2"/>
          <w:position w:val="0"/>
          <w14:ligatures w14:val="standardContextual"/>
        </w:rPr>
        <w:instrText xml:space="preserve"> SEQ Graph \* ARABIC </w:instrText>
      </w:r>
      <w:r w:rsidRPr="00D50069">
        <w:rPr>
          <w:rFonts w:eastAsia="Calibri"/>
          <w:b/>
          <w:bCs/>
          <w:kern w:val="2"/>
          <w:position w:val="0"/>
          <w14:ligatures w14:val="standardContextual"/>
        </w:rPr>
        <w:fldChar w:fldCharType="separate"/>
      </w:r>
      <w:r w:rsidR="00DC3231">
        <w:rPr>
          <w:rFonts w:eastAsia="Calibri"/>
          <w:b/>
          <w:bCs/>
          <w:noProof/>
          <w:kern w:val="2"/>
          <w:position w:val="0"/>
          <w14:ligatures w14:val="standardContextual"/>
        </w:rPr>
        <w:t>6</w:t>
      </w:r>
      <w:r w:rsidRPr="00D50069">
        <w:rPr>
          <w:rFonts w:eastAsia="Calibri"/>
          <w:b/>
          <w:bCs/>
          <w:kern w:val="2"/>
          <w:position w:val="0"/>
          <w14:ligatures w14:val="standardContextual"/>
        </w:rPr>
        <w:fldChar w:fldCharType="end"/>
      </w:r>
      <w:r w:rsidRPr="00D50069">
        <w:rPr>
          <w:rFonts w:eastAsia="Calibri"/>
          <w:b/>
          <w:bCs/>
          <w:i/>
          <w:iCs/>
          <w:kern w:val="2"/>
          <w:position w:val="0"/>
          <w14:ligatures w14:val="standardContextual"/>
        </w:rPr>
        <w:t xml:space="preserve"> </w:t>
      </w:r>
      <w:r w:rsidRPr="00BB5248">
        <w:rPr>
          <w:rFonts w:eastAsia="Calibri"/>
          <w:kern w:val="2"/>
          <w:position w:val="0"/>
          <w14:ligatures w14:val="standardContextual"/>
        </w:rPr>
        <w:t>Distribution of Activities Practiced in OTCs</w:t>
      </w:r>
      <w:bookmarkEnd w:id="199"/>
    </w:p>
    <w:p w14:paraId="18690AFE" w14:textId="77777777" w:rsidR="002024FF" w:rsidRDefault="00D50069" w:rsidP="002024FF">
      <w:pPr>
        <w:spacing w:before="240" w:after="160" w:line="480" w:lineRule="auto"/>
        <w:ind w:firstLine="567"/>
        <w:jc w:val="both"/>
        <w:rPr>
          <w:rFonts w:eastAsia="Calibri"/>
          <w:kern w:val="2"/>
          <w:position w:val="0"/>
          <w14:ligatures w14:val="standardContextual"/>
        </w:rPr>
      </w:pPr>
      <w:r w:rsidRPr="00D50069">
        <w:rPr>
          <w:rFonts w:eastAsia="Calibri"/>
          <w:kern w:val="2"/>
          <w:position w:val="0"/>
          <w14:ligatures w14:val="standardContextual"/>
        </w:rPr>
        <w:t xml:space="preserve"> When asked about their thoughts whether these online communities offer opportunities for structured summative </w:t>
      </w:r>
      <w:proofErr w:type="gramStart"/>
      <w:r w:rsidRPr="00D50069">
        <w:rPr>
          <w:rFonts w:eastAsia="Calibri"/>
          <w:kern w:val="2"/>
          <w:position w:val="0"/>
          <w14:ligatures w14:val="standardContextual"/>
        </w:rPr>
        <w:t>assessment literacy training programs</w:t>
      </w:r>
      <w:proofErr w:type="gramEnd"/>
      <w:r w:rsidRPr="00D50069">
        <w:rPr>
          <w:rFonts w:eastAsia="Calibri"/>
          <w:kern w:val="2"/>
          <w:position w:val="0"/>
          <w14:ligatures w14:val="standardContextual"/>
        </w:rPr>
        <w:t xml:space="preserve">, most of responses were positive. While only 28 % answered “no” depicting the informality of most of communities, a considerable proportion of District 4 members (72 %) confirmed their effectiveness in enhancing summative assessment literacy. Their justifications were centered </w:t>
      </w:r>
      <w:proofErr w:type="gramStart"/>
      <w:r w:rsidRPr="00D50069">
        <w:rPr>
          <w:rFonts w:eastAsia="Calibri"/>
          <w:kern w:val="2"/>
          <w:position w:val="0"/>
          <w14:ligatures w14:val="standardContextual"/>
        </w:rPr>
        <w:t>around</w:t>
      </w:r>
      <w:proofErr w:type="gramEnd"/>
      <w:r w:rsidRPr="00D50069">
        <w:rPr>
          <w:rFonts w:eastAsia="Calibri"/>
          <w:kern w:val="2"/>
          <w:position w:val="0"/>
          <w14:ligatures w14:val="standardContextual"/>
        </w:rPr>
        <w:t xml:space="preserve"> their utility for sharing assessment tools and remedial materials, seeking and giving feedback. They also provide continuous peer collaboration and practical solutions. The results highlight the importance of formalizing these communities’ practices. </w:t>
      </w:r>
    </w:p>
    <w:p w14:paraId="0CBE78A1" w14:textId="77777777" w:rsidR="002024FF" w:rsidRDefault="00D50069" w:rsidP="002024FF">
      <w:pPr>
        <w:spacing w:before="240" w:after="160" w:line="480" w:lineRule="auto"/>
        <w:ind w:firstLine="567"/>
        <w:jc w:val="both"/>
        <w:rPr>
          <w:rFonts w:eastAsia="Calibri"/>
          <w:kern w:val="2"/>
          <w:position w:val="0"/>
          <w14:ligatures w14:val="standardContextual"/>
        </w:rPr>
      </w:pPr>
      <w:r w:rsidRPr="00D50069">
        <w:rPr>
          <w:rFonts w:eastAsia="Calibri"/>
          <w:kern w:val="2"/>
          <w:position w:val="0"/>
          <w14:textOutline w14:w="9525" w14:cap="rnd" w14:cmpd="sng" w14:algn="ctr">
            <w14:noFill/>
            <w14:prstDash w14:val="solid"/>
            <w14:bevel/>
          </w14:textOutline>
          <w14:ligatures w14:val="standardContextual"/>
        </w:rPr>
        <w:t xml:space="preserve">In response to open-ended questions regarding their perspectives on OTCs effectiveness in enhancing assessment literacy, respondents offered comparative insights contrasting these online networks with formal professional development programs. </w:t>
      </w:r>
      <w:proofErr w:type="gramStart"/>
      <w:r w:rsidRPr="00D50069">
        <w:rPr>
          <w:rFonts w:eastAsia="Calibri"/>
          <w:kern w:val="2"/>
          <w:position w:val="0"/>
          <w14:textOutline w14:w="9525" w14:cap="rnd" w14:cmpd="sng" w14:algn="ctr">
            <w14:noFill/>
            <w14:prstDash w14:val="solid"/>
            <w14:bevel/>
          </w14:textOutline>
          <w14:ligatures w14:val="standardContextual"/>
        </w:rPr>
        <w:t>37 %</w:t>
      </w:r>
      <w:proofErr w:type="gramEnd"/>
      <w:r w:rsidRPr="00D50069">
        <w:rPr>
          <w:rFonts w:eastAsia="Calibri"/>
          <w:kern w:val="2"/>
          <w:position w:val="0"/>
          <w14:textOutline w14:w="9525" w14:cap="rnd" w14:cmpd="sng" w14:algn="ctr">
            <w14:noFill/>
            <w14:prstDash w14:val="solid"/>
            <w14:bevel/>
          </w14:textOutline>
          <w14:ligatures w14:val="standardContextual"/>
        </w:rPr>
        <w:t xml:space="preserve"> of the participants acknowledged that </w:t>
      </w:r>
      <w:r w:rsidR="00714B6D">
        <w:rPr>
          <w:rFonts w:eastAsia="Calibri"/>
          <w:kern w:val="2"/>
          <w:position w:val="0"/>
          <w14:textOutline w14:w="9525" w14:cap="rnd" w14:cmpd="sng" w14:algn="ctr">
            <w14:noFill/>
            <w14:prstDash w14:val="solid"/>
            <w14:bevel/>
          </w14:textOutline>
          <w14:ligatures w14:val="standardContextual"/>
        </w:rPr>
        <w:t>OTCs</w:t>
      </w:r>
      <w:r w:rsidRPr="00D50069">
        <w:rPr>
          <w:rFonts w:eastAsia="Calibri"/>
          <w:kern w:val="2"/>
          <w:position w:val="0"/>
          <w14:textOutline w14:w="9525" w14:cap="rnd" w14:cmpd="sng" w14:algn="ctr">
            <w14:noFill/>
            <w14:prstDash w14:val="solid"/>
            <w14:bevel/>
          </w14:textOutline>
          <w14:ligatures w14:val="standardContextual"/>
        </w:rPr>
        <w:t xml:space="preserve"> are more effective due to multiple factors. Firstly, they provide access to a diverse range of ideas and educational resources. Further, distinct educational needs </w:t>
      </w:r>
      <w:proofErr w:type="gramStart"/>
      <w:r w:rsidRPr="00D50069">
        <w:rPr>
          <w:rFonts w:eastAsia="Calibri"/>
          <w:kern w:val="2"/>
          <w:position w:val="0"/>
          <w14:textOutline w14:w="9525" w14:cap="rnd" w14:cmpd="sng" w14:algn="ctr">
            <w14:noFill/>
            <w14:prstDash w14:val="solid"/>
            <w14:bevel/>
          </w14:textOutline>
          <w14:ligatures w14:val="standardContextual"/>
        </w:rPr>
        <w:t>are met</w:t>
      </w:r>
      <w:proofErr w:type="gramEnd"/>
      <w:r w:rsidRPr="00D50069">
        <w:rPr>
          <w:rFonts w:eastAsia="Calibri"/>
          <w:kern w:val="2"/>
          <w:position w:val="0"/>
          <w14:textOutline w14:w="9525" w14:cap="rnd" w14:cmpd="sng" w14:algn="ctr">
            <w14:noFill/>
            <w14:prstDash w14:val="solid"/>
            <w14:bevel/>
          </w14:textOutline>
          <w14:ligatures w14:val="standardContextual"/>
        </w:rPr>
        <w:t xml:space="preserve"> through the provision of peer and mentor feedback. The illustrations provided </w:t>
      </w:r>
      <w:proofErr w:type="gramStart"/>
      <w:r w:rsidRPr="00D50069">
        <w:rPr>
          <w:rFonts w:eastAsia="Calibri"/>
          <w:kern w:val="2"/>
          <w:position w:val="0"/>
          <w14:textOutline w14:w="9525" w14:cap="rnd" w14:cmpd="sng" w14:algn="ctr">
            <w14:noFill/>
            <w14:prstDash w14:val="solid"/>
            <w14:bevel/>
          </w14:textOutline>
          <w14:ligatures w14:val="standardContextual"/>
        </w:rPr>
        <w:t>may have been based</w:t>
      </w:r>
      <w:proofErr w:type="gramEnd"/>
      <w:r w:rsidRPr="00D50069">
        <w:rPr>
          <w:rFonts w:eastAsia="Calibri"/>
          <w:kern w:val="2"/>
          <w:position w:val="0"/>
          <w14:textOutline w14:w="9525" w14:cap="rnd" w14:cmpd="sng" w14:algn="ctr">
            <w14:noFill/>
            <w14:prstDash w14:val="solid"/>
            <w14:bevel/>
          </w14:textOutline>
          <w14:ligatures w14:val="standardContextual"/>
        </w:rPr>
        <w:t xml:space="preserve"> on the BEM guide document. In addition to being experience-oriented, OTCs were </w:t>
      </w:r>
      <w:r w:rsidRPr="00D50069">
        <w:rPr>
          <w:rFonts w:eastAsia="Calibri"/>
          <w:kern w:val="2"/>
          <w:position w:val="0"/>
          <w14:textOutline w14:w="9525" w14:cap="rnd" w14:cmpd="sng" w14:algn="ctr">
            <w14:noFill/>
            <w14:prstDash w14:val="solid"/>
            <w14:bevel/>
          </w14:textOutline>
          <w14:ligatures w14:val="standardContextual"/>
        </w:rPr>
        <w:lastRenderedPageBreak/>
        <w:t xml:space="preserve">described as cost-free, easily accessible, </w:t>
      </w:r>
      <w:proofErr w:type="gramStart"/>
      <w:r w:rsidRPr="00D50069">
        <w:rPr>
          <w:rFonts w:eastAsia="Calibri"/>
          <w:kern w:val="2"/>
          <w:position w:val="0"/>
          <w14:textOutline w14:w="9525" w14:cap="rnd" w14:cmpd="sng" w14:algn="ctr">
            <w14:noFill/>
            <w14:prstDash w14:val="solid"/>
            <w14:bevel/>
          </w14:textOutline>
          <w14:ligatures w14:val="standardContextual"/>
        </w:rPr>
        <w:t>time-saving</w:t>
      </w:r>
      <w:proofErr w:type="gramEnd"/>
      <w:r w:rsidRPr="00D50069">
        <w:rPr>
          <w:rFonts w:eastAsia="Calibri"/>
          <w:kern w:val="2"/>
          <w:position w:val="0"/>
          <w14:textOutline w14:w="9525" w14:cap="rnd" w14:cmpd="sng" w14:algn="ctr">
            <w14:noFill/>
            <w14:prstDash w14:val="solid"/>
            <w14:bevel/>
          </w14:textOutline>
          <w14:ligatures w14:val="standardContextual"/>
        </w:rPr>
        <w:t xml:space="preserve"> and valuable for practical hands-on training opportunities.</w:t>
      </w:r>
    </w:p>
    <w:p w14:paraId="024E2286" w14:textId="4F15A742" w:rsidR="00D50069" w:rsidRPr="002024FF" w:rsidRDefault="00D50069" w:rsidP="002024FF">
      <w:pPr>
        <w:spacing w:before="240" w:after="160" w:line="480" w:lineRule="auto"/>
        <w:ind w:firstLine="567"/>
        <w:jc w:val="both"/>
        <w:rPr>
          <w:rFonts w:eastAsia="Calibri"/>
          <w:kern w:val="2"/>
          <w:position w:val="0"/>
          <w14:ligatures w14:val="standardContextual"/>
        </w:rPr>
      </w:pPr>
      <w:r w:rsidRPr="00D50069">
        <w:rPr>
          <w:rFonts w:eastAsia="Calibri"/>
          <w:kern w:val="2"/>
          <w:position w:val="0"/>
          <w14:textOutline w14:w="9525" w14:cap="rnd" w14:cmpd="sng" w14:algn="ctr">
            <w14:noFill/>
            <w14:prstDash w14:val="solid"/>
            <w14:bevel/>
          </w14:textOutline>
          <w14:ligatures w14:val="standardContextual"/>
        </w:rPr>
        <w:t xml:space="preserve">Conversely, only a few participants </w:t>
      </w:r>
      <w:r w:rsidRPr="00D50069">
        <w:rPr>
          <w:rFonts w:eastAsia="Calibri"/>
          <w:kern w:val="2"/>
          <w:position w:val="0"/>
          <w14:ligatures w14:val="standardContextual"/>
        </w:rPr>
        <w:t>(16 %)</w:t>
      </w:r>
      <w:r w:rsidRPr="00D50069">
        <w:rPr>
          <w:rFonts w:eastAsia="Calibri"/>
          <w:kern w:val="2"/>
          <w:position w:val="0"/>
          <w14:textOutline w14:w="9525" w14:cap="rnd" w14:cmpd="sng" w14:algn="ctr">
            <w14:noFill/>
            <w14:prstDash w14:val="solid"/>
            <w14:bevel/>
          </w14:textOutline>
          <w14:ligatures w14:val="standardContextual"/>
        </w:rPr>
        <w:t xml:space="preserve"> viewed that formal PD programs offer greater effectiveness and structure. However, </w:t>
      </w:r>
      <w:proofErr w:type="gramStart"/>
      <w:r w:rsidRPr="00D50069">
        <w:rPr>
          <w:rFonts w:eastAsia="Calibri"/>
          <w:kern w:val="2"/>
          <w:position w:val="0"/>
          <w14:textOutline w14:w="9525" w14:cap="rnd" w14:cmpd="sng" w14:algn="ctr">
            <w14:noFill/>
            <w14:prstDash w14:val="solid"/>
            <w14:bevel/>
          </w14:textOutline>
          <w14:ligatures w14:val="standardContextual"/>
        </w:rPr>
        <w:t xml:space="preserve">OTCs were highlighted by a considerable proportion </w:t>
      </w:r>
      <w:r w:rsidRPr="00D50069">
        <w:rPr>
          <w:rFonts w:eastAsia="Calibri"/>
          <w:kern w:val="2"/>
          <w:position w:val="0"/>
          <w14:ligatures w14:val="standardContextual"/>
        </w:rPr>
        <w:t>(47 %) as a valuable means of supporting and complementing existing formal professional development programs</w:t>
      </w:r>
      <w:proofErr w:type="gramEnd"/>
      <w:r w:rsidRPr="00D50069">
        <w:rPr>
          <w:rFonts w:eastAsia="Calibri"/>
          <w:kern w:val="2"/>
          <w:position w:val="0"/>
          <w14:ligatures w14:val="standardContextual"/>
        </w:rPr>
        <w:t>. This integrated approach reflects a perspective that frames technology as a constructive pedagogical improvement</w:t>
      </w:r>
      <w:r w:rsidRPr="00D50069">
        <w:rPr>
          <w:rFonts w:eastAsia="Calibri"/>
          <w:kern w:val="2"/>
          <w:position w:val="0"/>
          <w14:textOutline w14:w="9525" w14:cap="rnd" w14:cmpd="sng" w14:algn="ctr">
            <w14:noFill/>
            <w14:prstDash w14:val="solid"/>
            <w14:bevel/>
          </w14:textOutline>
          <w14:ligatures w14:val="standardContextual"/>
        </w:rPr>
        <w:t>.</w:t>
      </w:r>
    </w:p>
    <w:p w14:paraId="0A8F16C5" w14:textId="17AB0E3B" w:rsidR="00D50069" w:rsidRPr="00D50069" w:rsidRDefault="00737D8D" w:rsidP="00AA5DBF">
      <w:pPr>
        <w:pStyle w:val="Titre1"/>
        <w:rPr>
          <w:rFonts w:eastAsia="Calibri"/>
        </w:rPr>
      </w:pPr>
      <w:bookmarkStart w:id="200" w:name="_Toc200486082"/>
      <w:bookmarkStart w:id="201" w:name="_Hlk198576309"/>
      <w:r>
        <w:rPr>
          <w:rFonts w:eastAsia="Calibri"/>
        </w:rPr>
        <w:t xml:space="preserve">2.2.3.2 </w:t>
      </w:r>
      <w:r w:rsidR="00D50069" w:rsidRPr="00D50069">
        <w:rPr>
          <w:rFonts w:eastAsia="Calibri"/>
        </w:rPr>
        <w:t>Analysis of the Second Questionnaire Section</w:t>
      </w:r>
      <w:bookmarkEnd w:id="200"/>
    </w:p>
    <w:bookmarkEnd w:id="201"/>
    <w:p w14:paraId="72C2A3E1" w14:textId="633BD1A7" w:rsidR="00D50069" w:rsidRPr="00D50069" w:rsidRDefault="00D50069" w:rsidP="00737D8D">
      <w:pPr>
        <w:spacing w:after="160" w:line="480" w:lineRule="auto"/>
        <w:ind w:firstLine="567"/>
        <w:jc w:val="both"/>
        <w:rPr>
          <w:rFonts w:eastAsia="Calibri"/>
          <w:kern w:val="2"/>
          <w:position w:val="0"/>
          <w14:ligatures w14:val="standardContextual"/>
        </w:rPr>
      </w:pPr>
      <w:r w:rsidRPr="00D50069">
        <w:rPr>
          <w:rFonts w:eastAsia="Calibri"/>
          <w:kern w:val="2"/>
          <w:position w:val="0"/>
          <w14:ligatures w14:val="standardContextual"/>
        </w:rPr>
        <w:t xml:space="preserve">The second section of the questionnaire explores how online teacher communities enhance teachers’ knowledge in relation to summative assessment literacy. The analysis of Likert scale responses, clustered across several items as it </w:t>
      </w:r>
      <w:proofErr w:type="gramStart"/>
      <w:r w:rsidRPr="00D50069">
        <w:rPr>
          <w:rFonts w:eastAsia="Calibri"/>
          <w:kern w:val="2"/>
          <w:position w:val="0"/>
          <w14:ligatures w14:val="standardContextual"/>
        </w:rPr>
        <w:t>is demonstrated</w:t>
      </w:r>
      <w:proofErr w:type="gramEnd"/>
      <w:r w:rsidRPr="00D50069">
        <w:rPr>
          <w:rFonts w:eastAsia="Calibri"/>
          <w:kern w:val="2"/>
          <w:position w:val="0"/>
          <w14:ligatures w14:val="standardContextual"/>
        </w:rPr>
        <w:t xml:space="preserve"> in </w:t>
      </w:r>
      <w:r w:rsidRPr="00D50069">
        <w:rPr>
          <w:rFonts w:eastAsia="Calibri"/>
          <w:b/>
          <w:bCs/>
          <w:kern w:val="2"/>
          <w:position w:val="0"/>
          <w14:ligatures w14:val="standardContextual"/>
        </w:rPr>
        <w:t>Graph 07</w:t>
      </w:r>
      <w:r w:rsidRPr="00D50069">
        <w:rPr>
          <w:rFonts w:eastAsia="Calibri"/>
          <w:kern w:val="2"/>
          <w:position w:val="0"/>
          <w14:ligatures w14:val="standardContextual"/>
        </w:rPr>
        <w:t xml:space="preserve"> and </w:t>
      </w:r>
      <w:r w:rsidRPr="00D50069">
        <w:rPr>
          <w:rFonts w:eastAsia="Calibri"/>
          <w:b/>
          <w:bCs/>
          <w:kern w:val="2"/>
          <w:position w:val="0"/>
          <w14:ligatures w14:val="standardContextual"/>
        </w:rPr>
        <w:t>Table 0</w:t>
      </w:r>
      <w:r w:rsidR="001619B9">
        <w:rPr>
          <w:rFonts w:eastAsia="Calibri"/>
          <w:b/>
          <w:bCs/>
          <w:kern w:val="2"/>
          <w:position w:val="0"/>
          <w14:ligatures w14:val="standardContextual"/>
        </w:rPr>
        <w:t>9</w:t>
      </w:r>
      <w:r w:rsidRPr="00D50069">
        <w:rPr>
          <w:rFonts w:eastAsia="Calibri"/>
          <w:kern w:val="2"/>
          <w:position w:val="0"/>
          <w14:ligatures w14:val="standardContextual"/>
        </w:rPr>
        <w:t xml:space="preserve"> below, reflects an overall positive perception of online teacher communities. </w:t>
      </w:r>
    </w:p>
    <w:p w14:paraId="3015F473" w14:textId="77777777" w:rsidR="00D50069" w:rsidRPr="00D50069" w:rsidRDefault="00D50069" w:rsidP="00D50069">
      <w:pPr>
        <w:keepNext/>
        <w:spacing w:after="160" w:line="480" w:lineRule="auto"/>
        <w:ind w:left="283"/>
        <w:rPr>
          <w:rFonts w:ascii="Calibri" w:eastAsia="Calibri" w:hAnsi="Calibri" w:cs="Arial"/>
          <w:kern w:val="2"/>
          <w:position w:val="0"/>
          <w:sz w:val="22"/>
          <w:szCs w:val="22"/>
          <w14:ligatures w14:val="standardContextual"/>
        </w:rPr>
      </w:pPr>
      <w:r w:rsidRPr="00D50069">
        <w:rPr>
          <w:rFonts w:ascii="Calibri" w:eastAsia="Calibri" w:hAnsi="Calibri" w:cs="Arial"/>
          <w:noProof/>
          <w:kern w:val="2"/>
          <w:position w:val="0"/>
          <w:sz w:val="22"/>
          <w:szCs w:val="22"/>
          <w:lang w:val="fr-FR" w:eastAsia="fr-FR"/>
          <w14:ligatures w14:val="standardContextual"/>
        </w:rPr>
        <w:drawing>
          <wp:inline distT="0" distB="0" distL="0" distR="0" wp14:anchorId="45797C5D" wp14:editId="34CC5334">
            <wp:extent cx="5760720" cy="3010535"/>
            <wp:effectExtent l="0" t="0" r="11430" b="18415"/>
            <wp:docPr id="591122938" name="Chart 1">
              <a:extLst xmlns:a="http://schemas.openxmlformats.org/drawingml/2006/main">
                <a:ext uri="{FF2B5EF4-FFF2-40B4-BE49-F238E27FC236}">
                  <a16:creationId xmlns:a16="http://schemas.microsoft.com/office/drawing/2014/main"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446DF3A8-56B9-B676-187C-E9CEF5E0E75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14:paraId="501FA674" w14:textId="1308B5E0" w:rsidR="00D50069" w:rsidRPr="00926391" w:rsidRDefault="00D50069" w:rsidP="006218EC">
      <w:pPr>
        <w:spacing w:after="200" w:line="480" w:lineRule="auto"/>
        <w:rPr>
          <w:rFonts w:eastAsia="Calibri"/>
          <w:kern w:val="2"/>
          <w:position w:val="0"/>
          <w14:ligatures w14:val="standardContextual"/>
        </w:rPr>
      </w:pPr>
      <w:bookmarkStart w:id="202" w:name="_Toc199695822"/>
      <w:r w:rsidRPr="00D50069">
        <w:rPr>
          <w:rFonts w:eastAsia="Calibri"/>
          <w:b/>
          <w:bCs/>
          <w:kern w:val="2"/>
          <w:position w:val="0"/>
          <w14:ligatures w14:val="standardContextual"/>
        </w:rPr>
        <w:t xml:space="preserve">Graph </w:t>
      </w:r>
      <w:r w:rsidRPr="00D50069">
        <w:rPr>
          <w:rFonts w:eastAsia="Calibri"/>
          <w:b/>
          <w:bCs/>
          <w:kern w:val="2"/>
          <w:position w:val="0"/>
          <w14:ligatures w14:val="standardContextual"/>
        </w:rPr>
        <w:fldChar w:fldCharType="begin"/>
      </w:r>
      <w:r w:rsidRPr="00D50069">
        <w:rPr>
          <w:rFonts w:eastAsia="Calibri"/>
          <w:b/>
          <w:bCs/>
          <w:kern w:val="2"/>
          <w:position w:val="0"/>
          <w14:ligatures w14:val="standardContextual"/>
        </w:rPr>
        <w:instrText xml:space="preserve"> SEQ Graph \* ARABIC </w:instrText>
      </w:r>
      <w:r w:rsidRPr="00D50069">
        <w:rPr>
          <w:rFonts w:eastAsia="Calibri"/>
          <w:b/>
          <w:bCs/>
          <w:kern w:val="2"/>
          <w:position w:val="0"/>
          <w14:ligatures w14:val="standardContextual"/>
        </w:rPr>
        <w:fldChar w:fldCharType="separate"/>
      </w:r>
      <w:r w:rsidR="00DC3231">
        <w:rPr>
          <w:rFonts w:eastAsia="Calibri"/>
          <w:b/>
          <w:bCs/>
          <w:noProof/>
          <w:kern w:val="2"/>
          <w:position w:val="0"/>
          <w14:ligatures w14:val="standardContextual"/>
        </w:rPr>
        <w:t>7</w:t>
      </w:r>
      <w:r w:rsidRPr="00D50069">
        <w:rPr>
          <w:rFonts w:eastAsia="Calibri"/>
          <w:b/>
          <w:bCs/>
          <w:kern w:val="2"/>
          <w:position w:val="0"/>
          <w14:ligatures w14:val="standardContextual"/>
        </w:rPr>
        <w:fldChar w:fldCharType="end"/>
      </w:r>
      <w:r w:rsidRPr="00D50069">
        <w:rPr>
          <w:rFonts w:eastAsia="Calibri"/>
          <w:b/>
          <w:bCs/>
          <w:i/>
          <w:iCs/>
          <w:kern w:val="2"/>
          <w:position w:val="0"/>
          <w14:ligatures w14:val="standardContextual"/>
        </w:rPr>
        <w:t xml:space="preserve">  </w:t>
      </w:r>
      <w:r w:rsidRPr="00926391">
        <w:rPr>
          <w:rFonts w:eastAsia="Calibri"/>
          <w:kern w:val="2"/>
          <w:position w:val="0"/>
          <w14:ligatures w14:val="standardContextual"/>
        </w:rPr>
        <w:t>Distribution of Responses on the Questionnaire’s First Section Likert Scale</w:t>
      </w:r>
      <w:bookmarkEnd w:id="202"/>
    </w:p>
    <w:p w14:paraId="69417EBD" w14:textId="77777777" w:rsidR="00D50069" w:rsidRPr="00D50069" w:rsidRDefault="00D50069" w:rsidP="00D50069">
      <w:pPr>
        <w:spacing w:after="160" w:line="278" w:lineRule="auto"/>
        <w:rPr>
          <w:rFonts w:ascii="Calibri" w:eastAsia="Calibri" w:hAnsi="Calibri" w:cs="Arial"/>
          <w:kern w:val="2"/>
          <w:position w:val="0"/>
          <w:sz w:val="22"/>
          <w:szCs w:val="22"/>
          <w14:ligatures w14:val="standardContextual"/>
        </w:rPr>
      </w:pPr>
    </w:p>
    <w:p w14:paraId="484D521F" w14:textId="67231D39" w:rsidR="00926391" w:rsidRDefault="00D50069" w:rsidP="00926391">
      <w:pPr>
        <w:keepNext/>
        <w:spacing w:after="200" w:line="276" w:lineRule="auto"/>
        <w:rPr>
          <w:rFonts w:eastAsia="Calibri"/>
          <w:b/>
          <w:bCs/>
          <w:kern w:val="2"/>
          <w:position w:val="0"/>
          <w14:ligatures w14:val="standardContextual"/>
        </w:rPr>
      </w:pPr>
      <w:bookmarkStart w:id="203" w:name="_Toc199832003"/>
      <w:bookmarkStart w:id="204" w:name="_Toc199832372"/>
      <w:bookmarkStart w:id="205" w:name="_Toc200446657"/>
      <w:r w:rsidRPr="00D50069">
        <w:rPr>
          <w:rFonts w:eastAsia="Calibri"/>
          <w:b/>
          <w:bCs/>
          <w:kern w:val="2"/>
          <w:position w:val="0"/>
          <w14:ligatures w14:val="standardContextual"/>
        </w:rPr>
        <w:lastRenderedPageBreak/>
        <w:t xml:space="preserve">Table </w:t>
      </w:r>
      <w:r w:rsidR="00274F6F" w:rsidRPr="001619B9">
        <w:rPr>
          <w:rFonts w:eastAsia="Calibri"/>
          <w:b/>
          <w:bCs/>
          <w:kern w:val="2"/>
          <w:position w:val="0"/>
          <w14:ligatures w14:val="standardContextual"/>
        </w:rPr>
        <w:fldChar w:fldCharType="begin"/>
      </w:r>
      <w:r w:rsidR="00274F6F" w:rsidRPr="001619B9">
        <w:rPr>
          <w:rFonts w:eastAsia="Calibri"/>
          <w:b/>
          <w:bCs/>
          <w:kern w:val="2"/>
          <w:position w:val="0"/>
          <w14:ligatures w14:val="standardContextual"/>
        </w:rPr>
        <w:instrText xml:space="preserve"> SEQ Table \* ARABIC </w:instrText>
      </w:r>
      <w:r w:rsidR="00274F6F" w:rsidRPr="001619B9">
        <w:rPr>
          <w:rFonts w:eastAsia="Calibri"/>
          <w:b/>
          <w:bCs/>
          <w:kern w:val="2"/>
          <w:position w:val="0"/>
          <w14:ligatures w14:val="standardContextual"/>
        </w:rPr>
        <w:fldChar w:fldCharType="separate"/>
      </w:r>
      <w:r w:rsidR="00DC3231">
        <w:rPr>
          <w:rFonts w:eastAsia="Calibri"/>
          <w:b/>
          <w:bCs/>
          <w:noProof/>
          <w:kern w:val="2"/>
          <w:position w:val="0"/>
          <w14:ligatures w14:val="standardContextual"/>
        </w:rPr>
        <w:t>9</w:t>
      </w:r>
      <w:r w:rsidR="00274F6F" w:rsidRPr="001619B9">
        <w:rPr>
          <w:rFonts w:eastAsia="Calibri"/>
          <w:b/>
          <w:bCs/>
          <w:kern w:val="2"/>
          <w:position w:val="0"/>
          <w14:ligatures w14:val="standardContextual"/>
        </w:rPr>
        <w:fldChar w:fldCharType="end"/>
      </w:r>
    </w:p>
    <w:p w14:paraId="10A80742" w14:textId="78FACB11" w:rsidR="00D50069" w:rsidRPr="00D50069" w:rsidRDefault="00D50069" w:rsidP="00926391">
      <w:pPr>
        <w:keepNext/>
        <w:spacing w:after="200" w:line="276" w:lineRule="auto"/>
        <w:rPr>
          <w:rFonts w:eastAsia="Calibri"/>
          <w:i/>
          <w:iCs/>
          <w:kern w:val="2"/>
          <w:position w:val="0"/>
          <w14:ligatures w14:val="standardContextual"/>
        </w:rPr>
      </w:pPr>
      <w:r w:rsidRPr="00D50069">
        <w:rPr>
          <w:rFonts w:eastAsia="Calibri"/>
          <w:i/>
          <w:iCs/>
          <w:kern w:val="2"/>
          <w:position w:val="0"/>
          <w14:ligatures w14:val="standardContextual"/>
        </w:rPr>
        <w:t xml:space="preserve"> </w:t>
      </w:r>
      <w:r w:rsidRPr="00926391">
        <w:rPr>
          <w:rFonts w:eastAsia="Calibri"/>
          <w:kern w:val="2"/>
          <w:position w:val="0"/>
          <w14:ligatures w14:val="standardContextual"/>
        </w:rPr>
        <w:t>Distribution of Responses on the Questionnaire’s First Section Likert Scale</w:t>
      </w:r>
      <w:bookmarkEnd w:id="203"/>
      <w:bookmarkEnd w:id="204"/>
      <w:bookmarkEnd w:id="205"/>
    </w:p>
    <w:tbl>
      <w:tblPr>
        <w:tblStyle w:val="Tableausimple2"/>
        <w:tblW w:w="9351" w:type="dxa"/>
        <w:tblLook w:val="04A0" w:firstRow="1" w:lastRow="0" w:firstColumn="1" w:lastColumn="0" w:noHBand="0" w:noVBand="1"/>
      </w:tblPr>
      <w:tblGrid>
        <w:gridCol w:w="3264"/>
        <w:gridCol w:w="1105"/>
        <w:gridCol w:w="1105"/>
        <w:gridCol w:w="1003"/>
        <w:gridCol w:w="875"/>
        <w:gridCol w:w="1092"/>
        <w:gridCol w:w="907"/>
      </w:tblGrid>
      <w:tr w:rsidR="00D50069" w:rsidRPr="00D50069" w14:paraId="7BA2ECEF" w14:textId="77777777" w:rsidTr="006218EC">
        <w:trPr>
          <w:cnfStyle w:val="100000000000" w:firstRow="1" w:lastRow="0" w:firstColumn="0" w:lastColumn="0" w:oddVBand="0" w:evenVBand="0" w:oddHBand="0" w:evenHBand="0" w:firstRowFirstColumn="0" w:firstRowLastColumn="0" w:lastRowFirstColumn="0" w:lastRowLastColumn="0"/>
          <w:trHeight w:val="275"/>
        </w:trPr>
        <w:tc>
          <w:tcPr>
            <w:cnfStyle w:val="001000000000" w:firstRow="0" w:lastRow="0" w:firstColumn="1" w:lastColumn="0" w:oddVBand="0" w:evenVBand="0" w:oddHBand="0" w:evenHBand="0" w:firstRowFirstColumn="0" w:firstRowLastColumn="0" w:lastRowFirstColumn="0" w:lastRowLastColumn="0"/>
            <w:tcW w:w="3264" w:type="dxa"/>
            <w:vMerge w:val="restart"/>
          </w:tcPr>
          <w:p w14:paraId="192B265A" w14:textId="77777777" w:rsidR="00D50069" w:rsidRPr="00D50069" w:rsidRDefault="00D50069" w:rsidP="001213FA">
            <w:pPr>
              <w:spacing w:line="276" w:lineRule="auto"/>
              <w:rPr>
                <w:rFonts w:ascii="Times New Roman" w:eastAsia="Calibri" w:hAnsi="Times New Roman" w:cs="Times New Roman"/>
                <w:b w:val="0"/>
                <w:bCs w:val="0"/>
                <w:position w:val="0"/>
              </w:rPr>
            </w:pPr>
          </w:p>
          <w:p w14:paraId="276B0717" w14:textId="77777777" w:rsidR="00D50069" w:rsidRPr="00D50069" w:rsidRDefault="00D50069" w:rsidP="001213FA">
            <w:pPr>
              <w:spacing w:line="276" w:lineRule="auto"/>
              <w:rPr>
                <w:rFonts w:ascii="Times New Roman" w:eastAsia="Calibri" w:hAnsi="Times New Roman" w:cs="Times New Roman"/>
                <w:b w:val="0"/>
                <w:bCs w:val="0"/>
                <w:position w:val="0"/>
              </w:rPr>
            </w:pPr>
            <w:r w:rsidRPr="00D50069">
              <w:rPr>
                <w:rFonts w:ascii="Times New Roman" w:eastAsia="Calibri" w:hAnsi="Times New Roman" w:cs="Times New Roman"/>
                <w:position w:val="0"/>
              </w:rPr>
              <w:t>Statements</w:t>
            </w:r>
          </w:p>
          <w:p w14:paraId="4FFBC044" w14:textId="77777777" w:rsidR="00D50069" w:rsidRPr="00D50069" w:rsidRDefault="00D50069" w:rsidP="001213FA">
            <w:pPr>
              <w:spacing w:line="276" w:lineRule="auto"/>
              <w:rPr>
                <w:rFonts w:ascii="Times New Roman" w:eastAsia="Calibri" w:hAnsi="Times New Roman" w:cs="Times New Roman"/>
                <w:position w:val="0"/>
              </w:rPr>
            </w:pPr>
          </w:p>
        </w:tc>
        <w:tc>
          <w:tcPr>
            <w:tcW w:w="1105" w:type="dxa"/>
          </w:tcPr>
          <w:p w14:paraId="080BD26A" w14:textId="77777777" w:rsidR="00D50069" w:rsidRPr="00D50069" w:rsidRDefault="00D50069" w:rsidP="001213FA">
            <w:pPr>
              <w:spacing w:line="276" w:lineRule="auto"/>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Strongly Disagree</w:t>
            </w:r>
          </w:p>
        </w:tc>
        <w:tc>
          <w:tcPr>
            <w:tcW w:w="1105" w:type="dxa"/>
          </w:tcPr>
          <w:p w14:paraId="4893DA97" w14:textId="77777777" w:rsidR="00D50069" w:rsidRPr="00D50069" w:rsidRDefault="00D50069" w:rsidP="001213FA">
            <w:pPr>
              <w:spacing w:line="276" w:lineRule="auto"/>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Disagree</w:t>
            </w:r>
          </w:p>
        </w:tc>
        <w:tc>
          <w:tcPr>
            <w:tcW w:w="1003" w:type="dxa"/>
          </w:tcPr>
          <w:p w14:paraId="6B35A187" w14:textId="77777777" w:rsidR="00D50069" w:rsidRPr="00D50069" w:rsidRDefault="00D50069" w:rsidP="001213FA">
            <w:pPr>
              <w:spacing w:line="276" w:lineRule="auto"/>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Neutral</w:t>
            </w:r>
          </w:p>
        </w:tc>
        <w:tc>
          <w:tcPr>
            <w:tcW w:w="875" w:type="dxa"/>
          </w:tcPr>
          <w:p w14:paraId="0382AD9C" w14:textId="77777777" w:rsidR="00D50069" w:rsidRPr="00D50069" w:rsidRDefault="00D50069" w:rsidP="001213FA">
            <w:pPr>
              <w:spacing w:line="276" w:lineRule="auto"/>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Agree</w:t>
            </w:r>
          </w:p>
        </w:tc>
        <w:tc>
          <w:tcPr>
            <w:tcW w:w="1092" w:type="dxa"/>
          </w:tcPr>
          <w:p w14:paraId="474AECFF" w14:textId="77777777" w:rsidR="00D50069" w:rsidRPr="00D50069" w:rsidRDefault="00D50069" w:rsidP="001213FA">
            <w:pPr>
              <w:spacing w:line="276" w:lineRule="auto"/>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Strongly</w:t>
            </w:r>
          </w:p>
          <w:p w14:paraId="2072DCBD" w14:textId="77777777" w:rsidR="00D50069" w:rsidRPr="00D50069" w:rsidRDefault="00D50069" w:rsidP="001213FA">
            <w:pPr>
              <w:spacing w:line="276" w:lineRule="auto"/>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agree</w:t>
            </w:r>
          </w:p>
        </w:tc>
        <w:tc>
          <w:tcPr>
            <w:tcW w:w="907" w:type="dxa"/>
          </w:tcPr>
          <w:p w14:paraId="718AF9ED" w14:textId="77777777" w:rsidR="00D50069" w:rsidRPr="00D50069" w:rsidRDefault="00D50069" w:rsidP="001213FA">
            <w:pPr>
              <w:spacing w:line="276" w:lineRule="auto"/>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Total</w:t>
            </w:r>
          </w:p>
        </w:tc>
      </w:tr>
      <w:tr w:rsidR="00D50069" w:rsidRPr="00D50069" w14:paraId="65F7444C" w14:textId="77777777" w:rsidTr="006218EC">
        <w:trPr>
          <w:cnfStyle w:val="000000100000" w:firstRow="0" w:lastRow="0" w:firstColumn="0" w:lastColumn="0" w:oddVBand="0" w:evenVBand="0" w:oddHBand="1" w:evenHBand="0" w:firstRowFirstColumn="0" w:firstRowLastColumn="0" w:lastRowFirstColumn="0" w:lastRowLastColumn="0"/>
          <w:trHeight w:val="275"/>
        </w:trPr>
        <w:tc>
          <w:tcPr>
            <w:cnfStyle w:val="001000000000" w:firstRow="0" w:lastRow="0" w:firstColumn="1" w:lastColumn="0" w:oddVBand="0" w:evenVBand="0" w:oddHBand="0" w:evenHBand="0" w:firstRowFirstColumn="0" w:firstRowLastColumn="0" w:lastRowFirstColumn="0" w:lastRowLastColumn="0"/>
            <w:tcW w:w="3264" w:type="dxa"/>
            <w:vMerge/>
          </w:tcPr>
          <w:p w14:paraId="34688622" w14:textId="77777777" w:rsidR="00D50069" w:rsidRPr="00D50069" w:rsidRDefault="00D50069" w:rsidP="001213FA">
            <w:pPr>
              <w:spacing w:line="276" w:lineRule="auto"/>
              <w:rPr>
                <w:rFonts w:ascii="Times New Roman" w:eastAsia="Calibri" w:hAnsi="Times New Roman" w:cs="Times New Roman"/>
                <w:position w:val="0"/>
              </w:rPr>
            </w:pPr>
          </w:p>
        </w:tc>
        <w:tc>
          <w:tcPr>
            <w:tcW w:w="6087" w:type="dxa"/>
            <w:gridSpan w:val="6"/>
          </w:tcPr>
          <w:p w14:paraId="28EEA330" w14:textId="77777777" w:rsidR="00D50069" w:rsidRPr="00D50069" w:rsidRDefault="00D50069" w:rsidP="001213F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 xml:space="preserve">Frequency and Percentage </w:t>
            </w:r>
          </w:p>
        </w:tc>
      </w:tr>
      <w:tr w:rsidR="00D50069" w:rsidRPr="00D50069" w14:paraId="6878EF9F" w14:textId="77777777" w:rsidTr="006218EC">
        <w:tc>
          <w:tcPr>
            <w:cnfStyle w:val="001000000000" w:firstRow="0" w:lastRow="0" w:firstColumn="1" w:lastColumn="0" w:oddVBand="0" w:evenVBand="0" w:oddHBand="0" w:evenHBand="0" w:firstRowFirstColumn="0" w:firstRowLastColumn="0" w:lastRowFirstColumn="0" w:lastRowLastColumn="0"/>
            <w:tcW w:w="3264" w:type="dxa"/>
          </w:tcPr>
          <w:p w14:paraId="5A040BF9" w14:textId="77777777" w:rsidR="00D50069" w:rsidRPr="00D50069" w:rsidRDefault="00D50069" w:rsidP="001213FA">
            <w:pPr>
              <w:spacing w:line="276" w:lineRule="auto"/>
              <w:rPr>
                <w:rFonts w:ascii="Times New Roman" w:eastAsia="Calibri" w:hAnsi="Times New Roman" w:cs="Times New Roman"/>
                <w:position w:val="0"/>
              </w:rPr>
            </w:pPr>
            <w:r w:rsidRPr="00D50069">
              <w:rPr>
                <w:rFonts w:ascii="Times New Roman" w:eastAsia="Calibri" w:hAnsi="Times New Roman" w:cs="Times New Roman"/>
                <w:position w:val="0"/>
              </w:rPr>
              <w:t>1. Online communities promote my understanding of key concepts related to summative assessment.</w:t>
            </w:r>
          </w:p>
          <w:p w14:paraId="684C2CAA" w14:textId="77777777" w:rsidR="00D50069" w:rsidRPr="00D50069" w:rsidRDefault="00D50069" w:rsidP="001213FA">
            <w:pPr>
              <w:spacing w:line="276" w:lineRule="auto"/>
              <w:rPr>
                <w:rFonts w:ascii="Times New Roman" w:eastAsia="Calibri" w:hAnsi="Times New Roman" w:cs="Times New Roman"/>
                <w:position w:val="0"/>
              </w:rPr>
            </w:pPr>
          </w:p>
        </w:tc>
        <w:tc>
          <w:tcPr>
            <w:tcW w:w="1105" w:type="dxa"/>
          </w:tcPr>
          <w:p w14:paraId="4D5A7476" w14:textId="77777777" w:rsidR="00D50069" w:rsidRPr="00D50069" w:rsidRDefault="00D50069" w:rsidP="001213F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00</w:t>
            </w:r>
          </w:p>
          <w:p w14:paraId="2232B2A1" w14:textId="77777777" w:rsidR="00D50069" w:rsidRPr="00D50069" w:rsidRDefault="00D50069" w:rsidP="001213F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00 %</w:t>
            </w:r>
          </w:p>
        </w:tc>
        <w:tc>
          <w:tcPr>
            <w:tcW w:w="1105" w:type="dxa"/>
          </w:tcPr>
          <w:p w14:paraId="0DFB8336" w14:textId="77777777" w:rsidR="00D50069" w:rsidRPr="00D50069" w:rsidRDefault="00D50069" w:rsidP="001213F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00</w:t>
            </w:r>
          </w:p>
          <w:p w14:paraId="04E5755A" w14:textId="77777777" w:rsidR="00D50069" w:rsidRPr="00D50069" w:rsidRDefault="00D50069" w:rsidP="001213F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00 %</w:t>
            </w:r>
          </w:p>
        </w:tc>
        <w:tc>
          <w:tcPr>
            <w:tcW w:w="1003" w:type="dxa"/>
          </w:tcPr>
          <w:p w14:paraId="71D3C327" w14:textId="77777777" w:rsidR="00D50069" w:rsidRPr="00D50069" w:rsidRDefault="00D50069" w:rsidP="001213F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09</w:t>
            </w:r>
          </w:p>
          <w:p w14:paraId="63F2979E" w14:textId="77777777" w:rsidR="00D50069" w:rsidRPr="00D50069" w:rsidRDefault="00D50069" w:rsidP="001213F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20 %</w:t>
            </w:r>
          </w:p>
        </w:tc>
        <w:tc>
          <w:tcPr>
            <w:tcW w:w="875" w:type="dxa"/>
          </w:tcPr>
          <w:p w14:paraId="6CAF6A54" w14:textId="77777777" w:rsidR="00D50069" w:rsidRPr="00D50069" w:rsidRDefault="00D50069" w:rsidP="001213F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32</w:t>
            </w:r>
          </w:p>
          <w:p w14:paraId="208F01DE" w14:textId="77777777" w:rsidR="00D50069" w:rsidRPr="00D50069" w:rsidRDefault="00D50069" w:rsidP="001213F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70 %</w:t>
            </w:r>
          </w:p>
        </w:tc>
        <w:tc>
          <w:tcPr>
            <w:tcW w:w="1092" w:type="dxa"/>
          </w:tcPr>
          <w:p w14:paraId="2947641D" w14:textId="77777777" w:rsidR="00D50069" w:rsidRPr="00D50069" w:rsidRDefault="00D50069" w:rsidP="001213F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05</w:t>
            </w:r>
          </w:p>
          <w:p w14:paraId="32D8646F" w14:textId="77777777" w:rsidR="00D50069" w:rsidRPr="00D50069" w:rsidRDefault="00D50069" w:rsidP="001213F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10 %</w:t>
            </w:r>
          </w:p>
        </w:tc>
        <w:tc>
          <w:tcPr>
            <w:tcW w:w="907" w:type="dxa"/>
          </w:tcPr>
          <w:p w14:paraId="3291BD22" w14:textId="77777777" w:rsidR="00D50069" w:rsidRPr="00D50069" w:rsidRDefault="00D50069" w:rsidP="001213F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46</w:t>
            </w:r>
          </w:p>
          <w:p w14:paraId="1C118DC8" w14:textId="77777777" w:rsidR="00D50069" w:rsidRPr="00D50069" w:rsidRDefault="00D50069" w:rsidP="001213F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100 %</w:t>
            </w:r>
          </w:p>
        </w:tc>
      </w:tr>
      <w:tr w:rsidR="00D50069" w:rsidRPr="00D50069" w14:paraId="4C3EB41D" w14:textId="77777777" w:rsidTr="006218E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64" w:type="dxa"/>
          </w:tcPr>
          <w:p w14:paraId="028D88EC" w14:textId="77777777" w:rsidR="00D50069" w:rsidRPr="00D50069" w:rsidRDefault="00D50069" w:rsidP="001213FA">
            <w:pPr>
              <w:spacing w:line="276" w:lineRule="auto"/>
              <w:rPr>
                <w:rFonts w:ascii="Times New Roman" w:eastAsia="Calibri" w:hAnsi="Times New Roman" w:cs="Times New Roman"/>
                <w:position w:val="0"/>
              </w:rPr>
            </w:pPr>
            <w:r w:rsidRPr="00D50069">
              <w:rPr>
                <w:rFonts w:ascii="Times New Roman" w:eastAsia="Calibri" w:hAnsi="Times New Roman" w:cs="Times New Roman"/>
                <w:position w:val="0"/>
              </w:rPr>
              <w:t>2. Online teacher communities have improved my knowledge of summative assessment tools.</w:t>
            </w:r>
          </w:p>
          <w:p w14:paraId="0ACA7744" w14:textId="77777777" w:rsidR="00D50069" w:rsidRPr="00D50069" w:rsidRDefault="00D50069" w:rsidP="001213FA">
            <w:pPr>
              <w:spacing w:line="276" w:lineRule="auto"/>
              <w:rPr>
                <w:rFonts w:ascii="Times New Roman" w:eastAsia="Calibri" w:hAnsi="Times New Roman" w:cs="Times New Roman"/>
                <w:position w:val="0"/>
              </w:rPr>
            </w:pPr>
          </w:p>
        </w:tc>
        <w:tc>
          <w:tcPr>
            <w:tcW w:w="1105" w:type="dxa"/>
          </w:tcPr>
          <w:p w14:paraId="144E21A8" w14:textId="77777777" w:rsidR="00D50069" w:rsidRPr="00D50069" w:rsidRDefault="00D50069" w:rsidP="001213F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00</w:t>
            </w:r>
          </w:p>
          <w:p w14:paraId="146DEC1D" w14:textId="77777777" w:rsidR="00D50069" w:rsidRPr="00D50069" w:rsidRDefault="00D50069" w:rsidP="001213F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00 %</w:t>
            </w:r>
          </w:p>
        </w:tc>
        <w:tc>
          <w:tcPr>
            <w:tcW w:w="1105" w:type="dxa"/>
          </w:tcPr>
          <w:p w14:paraId="5807C0B4" w14:textId="77777777" w:rsidR="00D50069" w:rsidRPr="00D50069" w:rsidRDefault="00D50069" w:rsidP="001213F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01</w:t>
            </w:r>
          </w:p>
          <w:p w14:paraId="3C78A95F" w14:textId="77777777" w:rsidR="00D50069" w:rsidRPr="00D50069" w:rsidRDefault="00D50069" w:rsidP="001213F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02 %</w:t>
            </w:r>
          </w:p>
        </w:tc>
        <w:tc>
          <w:tcPr>
            <w:tcW w:w="1003" w:type="dxa"/>
          </w:tcPr>
          <w:p w14:paraId="7C0679EC" w14:textId="77777777" w:rsidR="00D50069" w:rsidRPr="00D50069" w:rsidRDefault="00D50069" w:rsidP="001213F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04</w:t>
            </w:r>
          </w:p>
          <w:p w14:paraId="1F805FD4" w14:textId="77777777" w:rsidR="00D50069" w:rsidRPr="00D50069" w:rsidRDefault="00D50069" w:rsidP="001213F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09 %</w:t>
            </w:r>
          </w:p>
        </w:tc>
        <w:tc>
          <w:tcPr>
            <w:tcW w:w="875" w:type="dxa"/>
          </w:tcPr>
          <w:p w14:paraId="1AE8FCB1" w14:textId="77777777" w:rsidR="00D50069" w:rsidRPr="00D50069" w:rsidRDefault="00D50069" w:rsidP="001213F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41</w:t>
            </w:r>
          </w:p>
          <w:p w14:paraId="7732E05F" w14:textId="77777777" w:rsidR="00D50069" w:rsidRPr="00D50069" w:rsidRDefault="00D50069" w:rsidP="001213F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87 %</w:t>
            </w:r>
          </w:p>
        </w:tc>
        <w:tc>
          <w:tcPr>
            <w:tcW w:w="1092" w:type="dxa"/>
          </w:tcPr>
          <w:p w14:paraId="75D6A70D" w14:textId="77777777" w:rsidR="00D50069" w:rsidRPr="00D50069" w:rsidRDefault="00D50069" w:rsidP="001213F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01</w:t>
            </w:r>
          </w:p>
          <w:p w14:paraId="46D39861" w14:textId="77777777" w:rsidR="00D50069" w:rsidRPr="00D50069" w:rsidRDefault="00D50069" w:rsidP="001213F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02 %</w:t>
            </w:r>
          </w:p>
        </w:tc>
        <w:tc>
          <w:tcPr>
            <w:tcW w:w="907" w:type="dxa"/>
          </w:tcPr>
          <w:p w14:paraId="3E89A86A" w14:textId="77777777" w:rsidR="00D50069" w:rsidRPr="00D50069" w:rsidRDefault="00D50069" w:rsidP="001213F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47</w:t>
            </w:r>
          </w:p>
          <w:p w14:paraId="420EC8EB" w14:textId="77777777" w:rsidR="00D50069" w:rsidRPr="00D50069" w:rsidRDefault="00D50069" w:rsidP="001213F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100 %</w:t>
            </w:r>
          </w:p>
        </w:tc>
      </w:tr>
      <w:tr w:rsidR="00D50069" w:rsidRPr="00D50069" w14:paraId="7033E91C" w14:textId="77777777" w:rsidTr="006218EC">
        <w:tc>
          <w:tcPr>
            <w:cnfStyle w:val="001000000000" w:firstRow="0" w:lastRow="0" w:firstColumn="1" w:lastColumn="0" w:oddVBand="0" w:evenVBand="0" w:oddHBand="0" w:evenHBand="0" w:firstRowFirstColumn="0" w:firstRowLastColumn="0" w:lastRowFirstColumn="0" w:lastRowLastColumn="0"/>
            <w:tcW w:w="3264" w:type="dxa"/>
          </w:tcPr>
          <w:p w14:paraId="1C90A716" w14:textId="77777777" w:rsidR="00D50069" w:rsidRPr="00D50069" w:rsidRDefault="00D50069" w:rsidP="001213FA">
            <w:pPr>
              <w:spacing w:line="276" w:lineRule="auto"/>
              <w:rPr>
                <w:rFonts w:ascii="Times New Roman" w:eastAsia="Calibri" w:hAnsi="Times New Roman" w:cs="Times New Roman"/>
                <w:position w:val="0"/>
              </w:rPr>
            </w:pPr>
            <w:r w:rsidRPr="00D50069">
              <w:rPr>
                <w:rFonts w:ascii="Times New Roman" w:eastAsia="Calibri" w:hAnsi="Times New Roman" w:cs="Times New Roman"/>
                <w:position w:val="0"/>
              </w:rPr>
              <w:t>3. I have discovered new summative assessment methods through online platforms.</w:t>
            </w:r>
          </w:p>
          <w:p w14:paraId="7466B5B4" w14:textId="77777777" w:rsidR="00D50069" w:rsidRPr="00D50069" w:rsidRDefault="00D50069" w:rsidP="001213FA">
            <w:pPr>
              <w:spacing w:line="276" w:lineRule="auto"/>
              <w:rPr>
                <w:rFonts w:ascii="Times New Roman" w:eastAsia="Calibri" w:hAnsi="Times New Roman" w:cs="Times New Roman"/>
                <w:position w:val="0"/>
              </w:rPr>
            </w:pPr>
          </w:p>
        </w:tc>
        <w:tc>
          <w:tcPr>
            <w:tcW w:w="1105" w:type="dxa"/>
          </w:tcPr>
          <w:p w14:paraId="2355BBDE" w14:textId="77777777" w:rsidR="00D50069" w:rsidRPr="00D50069" w:rsidRDefault="00D50069" w:rsidP="001213F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01</w:t>
            </w:r>
          </w:p>
          <w:p w14:paraId="2B1508B2" w14:textId="77777777" w:rsidR="00D50069" w:rsidRPr="00D50069" w:rsidRDefault="00D50069" w:rsidP="001213F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02 %</w:t>
            </w:r>
          </w:p>
        </w:tc>
        <w:tc>
          <w:tcPr>
            <w:tcW w:w="1105" w:type="dxa"/>
          </w:tcPr>
          <w:p w14:paraId="60FB4E5B" w14:textId="77777777" w:rsidR="00D50069" w:rsidRPr="00D50069" w:rsidRDefault="00D50069" w:rsidP="001213F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02</w:t>
            </w:r>
          </w:p>
          <w:p w14:paraId="23F9F405" w14:textId="77777777" w:rsidR="00D50069" w:rsidRPr="00D50069" w:rsidRDefault="00D50069" w:rsidP="001213F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04 %</w:t>
            </w:r>
          </w:p>
        </w:tc>
        <w:tc>
          <w:tcPr>
            <w:tcW w:w="1003" w:type="dxa"/>
          </w:tcPr>
          <w:p w14:paraId="47131A10" w14:textId="77777777" w:rsidR="00D50069" w:rsidRPr="00D50069" w:rsidRDefault="00D50069" w:rsidP="001213F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06</w:t>
            </w:r>
          </w:p>
          <w:p w14:paraId="42DBC522" w14:textId="77777777" w:rsidR="00D50069" w:rsidRPr="00D50069" w:rsidRDefault="00D50069" w:rsidP="001213F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13 %</w:t>
            </w:r>
          </w:p>
        </w:tc>
        <w:tc>
          <w:tcPr>
            <w:tcW w:w="875" w:type="dxa"/>
          </w:tcPr>
          <w:p w14:paraId="042683B8" w14:textId="77777777" w:rsidR="00D50069" w:rsidRPr="00D50069" w:rsidRDefault="00D50069" w:rsidP="001213F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34</w:t>
            </w:r>
          </w:p>
          <w:p w14:paraId="5497DF91" w14:textId="77777777" w:rsidR="00D50069" w:rsidRPr="00D50069" w:rsidRDefault="00D50069" w:rsidP="001213F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72 %</w:t>
            </w:r>
          </w:p>
        </w:tc>
        <w:tc>
          <w:tcPr>
            <w:tcW w:w="1092" w:type="dxa"/>
          </w:tcPr>
          <w:p w14:paraId="6168A094" w14:textId="77777777" w:rsidR="00D50069" w:rsidRPr="00D50069" w:rsidRDefault="00D50069" w:rsidP="001213F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04</w:t>
            </w:r>
          </w:p>
          <w:p w14:paraId="05E544FB" w14:textId="77777777" w:rsidR="00D50069" w:rsidRPr="00D50069" w:rsidRDefault="00D50069" w:rsidP="001213F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09 %</w:t>
            </w:r>
          </w:p>
        </w:tc>
        <w:tc>
          <w:tcPr>
            <w:tcW w:w="907" w:type="dxa"/>
          </w:tcPr>
          <w:p w14:paraId="47940449" w14:textId="77777777" w:rsidR="00D50069" w:rsidRPr="00D50069" w:rsidRDefault="00D50069" w:rsidP="001213F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47</w:t>
            </w:r>
          </w:p>
          <w:p w14:paraId="147539B7" w14:textId="77777777" w:rsidR="00D50069" w:rsidRPr="00D50069" w:rsidRDefault="00D50069" w:rsidP="001213F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100 %</w:t>
            </w:r>
          </w:p>
        </w:tc>
      </w:tr>
      <w:tr w:rsidR="00D50069" w:rsidRPr="00D50069" w14:paraId="0A22DDC1" w14:textId="77777777" w:rsidTr="006218E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64" w:type="dxa"/>
          </w:tcPr>
          <w:p w14:paraId="1282C9E4" w14:textId="77777777" w:rsidR="00D50069" w:rsidRPr="00D50069" w:rsidRDefault="00D50069" w:rsidP="001213FA">
            <w:pPr>
              <w:spacing w:line="276" w:lineRule="auto"/>
              <w:rPr>
                <w:rFonts w:ascii="Times New Roman" w:eastAsia="Calibri" w:hAnsi="Times New Roman" w:cs="Times New Roman"/>
                <w:position w:val="0"/>
              </w:rPr>
            </w:pPr>
            <w:r w:rsidRPr="00D50069">
              <w:rPr>
                <w:rFonts w:ascii="Times New Roman" w:eastAsia="Calibri" w:hAnsi="Times New Roman" w:cs="Times New Roman"/>
                <w:position w:val="0"/>
              </w:rPr>
              <w:t>4. OTCs support me to have a solid pedagogical background that enables me to distinguish between different summative assessments.</w:t>
            </w:r>
          </w:p>
        </w:tc>
        <w:tc>
          <w:tcPr>
            <w:tcW w:w="1105" w:type="dxa"/>
          </w:tcPr>
          <w:p w14:paraId="3E87E6E7" w14:textId="77777777" w:rsidR="00D50069" w:rsidRPr="00D50069" w:rsidRDefault="00D50069" w:rsidP="001213F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00</w:t>
            </w:r>
          </w:p>
          <w:p w14:paraId="7EB1F2CC" w14:textId="77777777" w:rsidR="00D50069" w:rsidRPr="00D50069" w:rsidRDefault="00D50069" w:rsidP="001213F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00 %</w:t>
            </w:r>
          </w:p>
        </w:tc>
        <w:tc>
          <w:tcPr>
            <w:tcW w:w="1105" w:type="dxa"/>
          </w:tcPr>
          <w:p w14:paraId="0BBC75DF" w14:textId="77777777" w:rsidR="00D50069" w:rsidRPr="00D50069" w:rsidRDefault="00D50069" w:rsidP="001213F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05</w:t>
            </w:r>
          </w:p>
          <w:p w14:paraId="5802A5EE" w14:textId="77777777" w:rsidR="00D50069" w:rsidRPr="00D50069" w:rsidRDefault="00D50069" w:rsidP="001213F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11 %</w:t>
            </w:r>
          </w:p>
        </w:tc>
        <w:tc>
          <w:tcPr>
            <w:tcW w:w="1003" w:type="dxa"/>
          </w:tcPr>
          <w:p w14:paraId="78A484F5" w14:textId="77777777" w:rsidR="00D50069" w:rsidRPr="00D50069" w:rsidRDefault="00D50069" w:rsidP="001213F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09</w:t>
            </w:r>
          </w:p>
          <w:p w14:paraId="5A8DA19D" w14:textId="77777777" w:rsidR="00D50069" w:rsidRPr="00D50069" w:rsidRDefault="00D50069" w:rsidP="001213F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20 %</w:t>
            </w:r>
          </w:p>
        </w:tc>
        <w:tc>
          <w:tcPr>
            <w:tcW w:w="875" w:type="dxa"/>
          </w:tcPr>
          <w:p w14:paraId="067DF28F" w14:textId="77777777" w:rsidR="00D50069" w:rsidRPr="00D50069" w:rsidRDefault="00D50069" w:rsidP="001213F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31</w:t>
            </w:r>
          </w:p>
          <w:p w14:paraId="28CF085B" w14:textId="77777777" w:rsidR="00D50069" w:rsidRPr="00D50069" w:rsidRDefault="00D50069" w:rsidP="001213F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67 %</w:t>
            </w:r>
          </w:p>
        </w:tc>
        <w:tc>
          <w:tcPr>
            <w:tcW w:w="1092" w:type="dxa"/>
          </w:tcPr>
          <w:p w14:paraId="29804B93" w14:textId="77777777" w:rsidR="00D50069" w:rsidRPr="00D50069" w:rsidRDefault="00D50069" w:rsidP="001213F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01</w:t>
            </w:r>
          </w:p>
          <w:p w14:paraId="39E008F0" w14:textId="77777777" w:rsidR="00D50069" w:rsidRPr="00D50069" w:rsidRDefault="00D50069" w:rsidP="001213F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02 %</w:t>
            </w:r>
          </w:p>
        </w:tc>
        <w:tc>
          <w:tcPr>
            <w:tcW w:w="907" w:type="dxa"/>
          </w:tcPr>
          <w:p w14:paraId="62C3C46A" w14:textId="77777777" w:rsidR="00D50069" w:rsidRPr="00D50069" w:rsidRDefault="00D50069" w:rsidP="001213F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46</w:t>
            </w:r>
          </w:p>
          <w:p w14:paraId="0B52FF90" w14:textId="77777777" w:rsidR="00D50069" w:rsidRPr="00D50069" w:rsidRDefault="00D50069" w:rsidP="001213F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100 %</w:t>
            </w:r>
          </w:p>
        </w:tc>
      </w:tr>
      <w:tr w:rsidR="00D50069" w:rsidRPr="00D50069" w14:paraId="4EBAA4FE" w14:textId="77777777" w:rsidTr="006218EC">
        <w:tc>
          <w:tcPr>
            <w:cnfStyle w:val="001000000000" w:firstRow="0" w:lastRow="0" w:firstColumn="1" w:lastColumn="0" w:oddVBand="0" w:evenVBand="0" w:oddHBand="0" w:evenHBand="0" w:firstRowFirstColumn="0" w:firstRowLastColumn="0" w:lastRowFirstColumn="0" w:lastRowLastColumn="0"/>
            <w:tcW w:w="3264" w:type="dxa"/>
          </w:tcPr>
          <w:p w14:paraId="76A1EF8E" w14:textId="77777777" w:rsidR="00D50069" w:rsidRPr="00D50069" w:rsidRDefault="00D50069" w:rsidP="001213FA">
            <w:pPr>
              <w:spacing w:line="276" w:lineRule="auto"/>
              <w:rPr>
                <w:rFonts w:ascii="Times New Roman" w:eastAsia="Calibri" w:hAnsi="Times New Roman" w:cs="Times New Roman"/>
                <w:position w:val="0"/>
              </w:rPr>
            </w:pPr>
            <w:r w:rsidRPr="00D50069">
              <w:rPr>
                <w:rFonts w:ascii="Times New Roman" w:eastAsia="Calibri" w:hAnsi="Times New Roman" w:cs="Times New Roman"/>
                <w:position w:val="0"/>
              </w:rPr>
              <w:t>5. I use social media platforms to enhance my assessment practices.</w:t>
            </w:r>
          </w:p>
          <w:p w14:paraId="3D700E80" w14:textId="77777777" w:rsidR="00D50069" w:rsidRPr="00D50069" w:rsidRDefault="00D50069" w:rsidP="001213FA">
            <w:pPr>
              <w:spacing w:line="276" w:lineRule="auto"/>
              <w:rPr>
                <w:rFonts w:ascii="Times New Roman" w:eastAsia="Calibri" w:hAnsi="Times New Roman" w:cs="Times New Roman"/>
                <w:position w:val="0"/>
              </w:rPr>
            </w:pPr>
          </w:p>
          <w:p w14:paraId="0EE91E58" w14:textId="77777777" w:rsidR="00D50069" w:rsidRPr="00D50069" w:rsidRDefault="00D50069" w:rsidP="001213FA">
            <w:pPr>
              <w:spacing w:line="276" w:lineRule="auto"/>
              <w:rPr>
                <w:rFonts w:ascii="Times New Roman" w:eastAsia="Calibri" w:hAnsi="Times New Roman" w:cs="Times New Roman"/>
                <w:position w:val="0"/>
              </w:rPr>
            </w:pPr>
          </w:p>
        </w:tc>
        <w:tc>
          <w:tcPr>
            <w:tcW w:w="1105" w:type="dxa"/>
          </w:tcPr>
          <w:p w14:paraId="203DC148" w14:textId="77777777" w:rsidR="00D50069" w:rsidRPr="00D50069" w:rsidRDefault="00D50069" w:rsidP="001213F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00</w:t>
            </w:r>
          </w:p>
          <w:p w14:paraId="7C2C9A2E" w14:textId="77777777" w:rsidR="00D50069" w:rsidRPr="00D50069" w:rsidRDefault="00D50069" w:rsidP="001213F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00 %</w:t>
            </w:r>
          </w:p>
        </w:tc>
        <w:tc>
          <w:tcPr>
            <w:tcW w:w="1105" w:type="dxa"/>
          </w:tcPr>
          <w:p w14:paraId="5623CB4C" w14:textId="77777777" w:rsidR="00D50069" w:rsidRPr="00D50069" w:rsidRDefault="00D50069" w:rsidP="001213F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01</w:t>
            </w:r>
          </w:p>
          <w:p w14:paraId="363B14BA" w14:textId="77777777" w:rsidR="00D50069" w:rsidRPr="00D50069" w:rsidRDefault="00D50069" w:rsidP="001213F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02 %</w:t>
            </w:r>
          </w:p>
        </w:tc>
        <w:tc>
          <w:tcPr>
            <w:tcW w:w="1003" w:type="dxa"/>
          </w:tcPr>
          <w:p w14:paraId="1396EF8D" w14:textId="77777777" w:rsidR="00D50069" w:rsidRPr="00D50069" w:rsidRDefault="00D50069" w:rsidP="001213F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04</w:t>
            </w:r>
          </w:p>
          <w:p w14:paraId="2070AEBE" w14:textId="77777777" w:rsidR="00D50069" w:rsidRPr="00D50069" w:rsidRDefault="00D50069" w:rsidP="001213F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09 %</w:t>
            </w:r>
          </w:p>
        </w:tc>
        <w:tc>
          <w:tcPr>
            <w:tcW w:w="875" w:type="dxa"/>
          </w:tcPr>
          <w:p w14:paraId="1DEC838C" w14:textId="77777777" w:rsidR="00D50069" w:rsidRPr="00D50069" w:rsidRDefault="00D50069" w:rsidP="001213F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37</w:t>
            </w:r>
          </w:p>
          <w:p w14:paraId="157F4124" w14:textId="77777777" w:rsidR="00D50069" w:rsidRPr="00D50069" w:rsidRDefault="00D50069" w:rsidP="001213F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79 %</w:t>
            </w:r>
          </w:p>
          <w:p w14:paraId="4DF2CD28" w14:textId="77777777" w:rsidR="00D50069" w:rsidRPr="00D50069" w:rsidRDefault="00D50069" w:rsidP="001213F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position w:val="0"/>
              </w:rPr>
            </w:pPr>
          </w:p>
        </w:tc>
        <w:tc>
          <w:tcPr>
            <w:tcW w:w="1092" w:type="dxa"/>
          </w:tcPr>
          <w:p w14:paraId="76B55184" w14:textId="77777777" w:rsidR="00D50069" w:rsidRPr="00D50069" w:rsidRDefault="00D50069" w:rsidP="001213F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05</w:t>
            </w:r>
          </w:p>
          <w:p w14:paraId="25053AED" w14:textId="77777777" w:rsidR="00D50069" w:rsidRPr="00D50069" w:rsidRDefault="00D50069" w:rsidP="001213F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10 %</w:t>
            </w:r>
          </w:p>
        </w:tc>
        <w:tc>
          <w:tcPr>
            <w:tcW w:w="907" w:type="dxa"/>
          </w:tcPr>
          <w:p w14:paraId="54B2673E" w14:textId="77777777" w:rsidR="00D50069" w:rsidRPr="00D50069" w:rsidRDefault="00D50069" w:rsidP="001213F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47</w:t>
            </w:r>
          </w:p>
          <w:p w14:paraId="5B2FAADC" w14:textId="77777777" w:rsidR="00D50069" w:rsidRPr="00D50069" w:rsidRDefault="00D50069" w:rsidP="001213F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100 %</w:t>
            </w:r>
          </w:p>
        </w:tc>
      </w:tr>
      <w:tr w:rsidR="00D50069" w:rsidRPr="00D50069" w14:paraId="7CEC42D3" w14:textId="77777777" w:rsidTr="006218E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64" w:type="dxa"/>
          </w:tcPr>
          <w:p w14:paraId="695893C4" w14:textId="77777777" w:rsidR="00D50069" w:rsidRPr="00D50069" w:rsidRDefault="00D50069" w:rsidP="001213FA">
            <w:pPr>
              <w:spacing w:line="276" w:lineRule="auto"/>
              <w:rPr>
                <w:rFonts w:ascii="Times New Roman" w:eastAsia="Calibri" w:hAnsi="Times New Roman" w:cs="Times New Roman"/>
                <w:position w:val="0"/>
              </w:rPr>
            </w:pPr>
            <w:r w:rsidRPr="00D50069">
              <w:rPr>
                <w:rFonts w:ascii="Times New Roman" w:eastAsia="Calibri" w:hAnsi="Times New Roman" w:cs="Times New Roman"/>
                <w:position w:val="0"/>
              </w:rPr>
              <w:t>6. Online discussions enhance my understanding of grading rubrics and criteria.</w:t>
            </w:r>
          </w:p>
          <w:p w14:paraId="0629AAD6" w14:textId="77777777" w:rsidR="00D50069" w:rsidRPr="00D50069" w:rsidRDefault="00D50069" w:rsidP="001213FA">
            <w:pPr>
              <w:spacing w:line="276" w:lineRule="auto"/>
              <w:rPr>
                <w:rFonts w:ascii="Times New Roman" w:eastAsia="Calibri" w:hAnsi="Times New Roman" w:cs="Times New Roman"/>
                <w:position w:val="0"/>
              </w:rPr>
            </w:pPr>
          </w:p>
        </w:tc>
        <w:tc>
          <w:tcPr>
            <w:tcW w:w="1105" w:type="dxa"/>
          </w:tcPr>
          <w:p w14:paraId="078B850C" w14:textId="77777777" w:rsidR="00D50069" w:rsidRPr="00D50069" w:rsidRDefault="00D50069" w:rsidP="001213F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00</w:t>
            </w:r>
          </w:p>
          <w:p w14:paraId="0E7BE4C5" w14:textId="77777777" w:rsidR="00D50069" w:rsidRPr="00D50069" w:rsidRDefault="00D50069" w:rsidP="001213F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00 %</w:t>
            </w:r>
          </w:p>
        </w:tc>
        <w:tc>
          <w:tcPr>
            <w:tcW w:w="1105" w:type="dxa"/>
          </w:tcPr>
          <w:p w14:paraId="42041103" w14:textId="77777777" w:rsidR="00D50069" w:rsidRPr="00D50069" w:rsidRDefault="00D50069" w:rsidP="001213F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02</w:t>
            </w:r>
          </w:p>
          <w:p w14:paraId="310D89D1" w14:textId="77777777" w:rsidR="00D50069" w:rsidRPr="00D50069" w:rsidRDefault="00D50069" w:rsidP="001213F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04 %</w:t>
            </w:r>
          </w:p>
        </w:tc>
        <w:tc>
          <w:tcPr>
            <w:tcW w:w="1003" w:type="dxa"/>
          </w:tcPr>
          <w:p w14:paraId="6F6CD5B7" w14:textId="77777777" w:rsidR="00D50069" w:rsidRPr="00D50069" w:rsidRDefault="00D50069" w:rsidP="001213F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08</w:t>
            </w:r>
          </w:p>
          <w:p w14:paraId="3D4FAF90" w14:textId="77777777" w:rsidR="00D50069" w:rsidRPr="00D50069" w:rsidRDefault="00D50069" w:rsidP="001213F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17 %</w:t>
            </w:r>
          </w:p>
        </w:tc>
        <w:tc>
          <w:tcPr>
            <w:tcW w:w="875" w:type="dxa"/>
          </w:tcPr>
          <w:p w14:paraId="350EF850" w14:textId="77777777" w:rsidR="00D50069" w:rsidRPr="00D50069" w:rsidRDefault="00D50069" w:rsidP="001213F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34</w:t>
            </w:r>
          </w:p>
          <w:p w14:paraId="1A58D61A" w14:textId="77777777" w:rsidR="00D50069" w:rsidRPr="00D50069" w:rsidRDefault="00D50069" w:rsidP="001213F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72 %</w:t>
            </w:r>
          </w:p>
        </w:tc>
        <w:tc>
          <w:tcPr>
            <w:tcW w:w="1092" w:type="dxa"/>
          </w:tcPr>
          <w:p w14:paraId="5D1A7065" w14:textId="77777777" w:rsidR="00D50069" w:rsidRPr="00D50069" w:rsidRDefault="00D50069" w:rsidP="001213F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03</w:t>
            </w:r>
          </w:p>
          <w:p w14:paraId="5A56C16F" w14:textId="77777777" w:rsidR="00D50069" w:rsidRPr="00D50069" w:rsidRDefault="00D50069" w:rsidP="001213F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06 %</w:t>
            </w:r>
          </w:p>
        </w:tc>
        <w:tc>
          <w:tcPr>
            <w:tcW w:w="907" w:type="dxa"/>
          </w:tcPr>
          <w:p w14:paraId="4D47AAFF" w14:textId="77777777" w:rsidR="00D50069" w:rsidRPr="00D50069" w:rsidRDefault="00D50069" w:rsidP="001213F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47</w:t>
            </w:r>
          </w:p>
          <w:p w14:paraId="5177D326" w14:textId="77777777" w:rsidR="00D50069" w:rsidRPr="00D50069" w:rsidRDefault="00D50069" w:rsidP="001213F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100 %</w:t>
            </w:r>
          </w:p>
        </w:tc>
      </w:tr>
      <w:tr w:rsidR="00D50069" w:rsidRPr="00D50069" w14:paraId="5BF7766D" w14:textId="77777777" w:rsidTr="006218EC">
        <w:tc>
          <w:tcPr>
            <w:cnfStyle w:val="001000000000" w:firstRow="0" w:lastRow="0" w:firstColumn="1" w:lastColumn="0" w:oddVBand="0" w:evenVBand="0" w:oddHBand="0" w:evenHBand="0" w:firstRowFirstColumn="0" w:firstRowLastColumn="0" w:lastRowFirstColumn="0" w:lastRowLastColumn="0"/>
            <w:tcW w:w="3264" w:type="dxa"/>
          </w:tcPr>
          <w:p w14:paraId="0ECC99AF" w14:textId="77777777" w:rsidR="00D50069" w:rsidRPr="00D50069" w:rsidRDefault="00D50069" w:rsidP="001213FA">
            <w:pPr>
              <w:spacing w:line="276" w:lineRule="auto"/>
              <w:rPr>
                <w:rFonts w:ascii="Times New Roman" w:eastAsia="Calibri" w:hAnsi="Times New Roman" w:cs="Times New Roman"/>
                <w:position w:val="0"/>
              </w:rPr>
            </w:pPr>
            <w:r w:rsidRPr="00D50069">
              <w:rPr>
                <w:rFonts w:ascii="Times New Roman" w:eastAsia="Calibri" w:hAnsi="Times New Roman" w:cs="Times New Roman"/>
                <w:position w:val="0"/>
              </w:rPr>
              <w:t>7. I regularly find and apply templates or examples of summative assessments from online sources.</w:t>
            </w:r>
          </w:p>
        </w:tc>
        <w:tc>
          <w:tcPr>
            <w:tcW w:w="1105" w:type="dxa"/>
          </w:tcPr>
          <w:p w14:paraId="5A3079F5" w14:textId="77777777" w:rsidR="00D50069" w:rsidRPr="00D50069" w:rsidRDefault="00D50069" w:rsidP="001213F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00</w:t>
            </w:r>
          </w:p>
          <w:p w14:paraId="10C38C5D" w14:textId="77777777" w:rsidR="00D50069" w:rsidRPr="00D50069" w:rsidRDefault="00D50069" w:rsidP="001213F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00 %</w:t>
            </w:r>
          </w:p>
        </w:tc>
        <w:tc>
          <w:tcPr>
            <w:tcW w:w="1105" w:type="dxa"/>
          </w:tcPr>
          <w:p w14:paraId="38EC95E4" w14:textId="77777777" w:rsidR="00D50069" w:rsidRPr="00D50069" w:rsidRDefault="00D50069" w:rsidP="001213F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03</w:t>
            </w:r>
          </w:p>
          <w:p w14:paraId="673F17F4" w14:textId="77777777" w:rsidR="00D50069" w:rsidRPr="00D50069" w:rsidRDefault="00D50069" w:rsidP="001213F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06 %</w:t>
            </w:r>
          </w:p>
        </w:tc>
        <w:tc>
          <w:tcPr>
            <w:tcW w:w="1003" w:type="dxa"/>
          </w:tcPr>
          <w:p w14:paraId="7A86DA75" w14:textId="77777777" w:rsidR="00D50069" w:rsidRPr="00D50069" w:rsidRDefault="00D50069" w:rsidP="001213F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11</w:t>
            </w:r>
          </w:p>
          <w:p w14:paraId="2277AD25" w14:textId="77777777" w:rsidR="00D50069" w:rsidRPr="00D50069" w:rsidRDefault="00D50069" w:rsidP="001213F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24 %</w:t>
            </w:r>
          </w:p>
        </w:tc>
        <w:tc>
          <w:tcPr>
            <w:tcW w:w="875" w:type="dxa"/>
          </w:tcPr>
          <w:p w14:paraId="643A3AFB" w14:textId="77777777" w:rsidR="00D50069" w:rsidRPr="00D50069" w:rsidRDefault="00D50069" w:rsidP="001213F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32</w:t>
            </w:r>
          </w:p>
          <w:p w14:paraId="28F5A785" w14:textId="77777777" w:rsidR="00D50069" w:rsidRPr="00D50069" w:rsidRDefault="00D50069" w:rsidP="001213F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70 %</w:t>
            </w:r>
          </w:p>
        </w:tc>
        <w:tc>
          <w:tcPr>
            <w:tcW w:w="1092" w:type="dxa"/>
          </w:tcPr>
          <w:p w14:paraId="73286837" w14:textId="77777777" w:rsidR="00D50069" w:rsidRPr="00D50069" w:rsidRDefault="00D50069" w:rsidP="001213F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00</w:t>
            </w:r>
          </w:p>
          <w:p w14:paraId="7032EA15" w14:textId="77777777" w:rsidR="00D50069" w:rsidRPr="00D50069" w:rsidRDefault="00D50069" w:rsidP="001213F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00 %</w:t>
            </w:r>
          </w:p>
        </w:tc>
        <w:tc>
          <w:tcPr>
            <w:tcW w:w="907" w:type="dxa"/>
          </w:tcPr>
          <w:p w14:paraId="6C4B1B3E" w14:textId="77777777" w:rsidR="00D50069" w:rsidRPr="00D50069" w:rsidRDefault="00D50069" w:rsidP="001213F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46</w:t>
            </w:r>
          </w:p>
          <w:p w14:paraId="1860FDDB" w14:textId="77777777" w:rsidR="00D50069" w:rsidRPr="00D50069" w:rsidRDefault="00D50069" w:rsidP="001213F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100 %</w:t>
            </w:r>
          </w:p>
        </w:tc>
      </w:tr>
    </w:tbl>
    <w:p w14:paraId="2B09C4E5" w14:textId="77777777" w:rsidR="006218EC" w:rsidRDefault="006218EC" w:rsidP="006218EC">
      <w:pPr>
        <w:spacing w:after="160" w:line="480" w:lineRule="auto"/>
        <w:ind w:left="283"/>
        <w:jc w:val="both"/>
        <w:rPr>
          <w:rFonts w:eastAsia="Calibri"/>
          <w:kern w:val="2"/>
          <w:position w:val="0"/>
          <w14:ligatures w14:val="standardContextual"/>
        </w:rPr>
      </w:pPr>
      <w:r>
        <w:rPr>
          <w:rFonts w:eastAsia="Calibri"/>
          <w:kern w:val="2"/>
          <w:position w:val="0"/>
          <w14:ligatures w14:val="standardContextual"/>
        </w:rPr>
        <w:t xml:space="preserve">       </w:t>
      </w:r>
    </w:p>
    <w:p w14:paraId="23853C58" w14:textId="77777777" w:rsidR="00926391" w:rsidRDefault="006218EC" w:rsidP="00926391">
      <w:pPr>
        <w:spacing w:after="160" w:line="480" w:lineRule="auto"/>
        <w:ind w:firstLine="567"/>
        <w:jc w:val="both"/>
        <w:rPr>
          <w:rFonts w:eastAsia="Calibri"/>
          <w:kern w:val="2"/>
          <w:position w:val="0"/>
          <w14:ligatures w14:val="standardContextual"/>
        </w:rPr>
      </w:pPr>
      <w:r>
        <w:rPr>
          <w:rFonts w:eastAsia="Calibri"/>
          <w:kern w:val="2"/>
          <w:position w:val="0"/>
          <w14:ligatures w14:val="standardContextual"/>
        </w:rPr>
        <w:lastRenderedPageBreak/>
        <w:t xml:space="preserve"> </w:t>
      </w:r>
      <w:r w:rsidRPr="00D50069">
        <w:rPr>
          <w:rFonts w:eastAsia="Calibri"/>
          <w:kern w:val="2"/>
          <w:position w:val="0"/>
          <w14:ligatures w14:val="standardContextual"/>
        </w:rPr>
        <w:t xml:space="preserve">Agreement levels remained consistently high throughout the entire set of statements related to concepts, tools, methods and digital literacy. The first item demonstrates that </w:t>
      </w:r>
      <w:bookmarkStart w:id="206" w:name="_Hlk198497557"/>
      <w:r w:rsidRPr="00D50069">
        <w:rPr>
          <w:rFonts w:eastAsia="Calibri"/>
          <w:kern w:val="2"/>
          <w:position w:val="0"/>
          <w14:ligatures w14:val="standardContextual"/>
        </w:rPr>
        <w:t>70 %</w:t>
      </w:r>
      <w:bookmarkEnd w:id="206"/>
      <w:r w:rsidRPr="00D50069">
        <w:rPr>
          <w:rFonts w:eastAsia="Calibri"/>
          <w:kern w:val="2"/>
          <w:position w:val="0"/>
          <w14:ligatures w14:val="standardContextual"/>
        </w:rPr>
        <w:t xml:space="preserve"> of the teachers developed their understanding of summative assessment key concepts within online communities, whereas only 20 % remained uncertain. In the second and third statements, </w:t>
      </w:r>
      <w:bookmarkStart w:id="207" w:name="_Hlk198500488"/>
      <w:r w:rsidRPr="00D50069">
        <w:rPr>
          <w:rFonts w:eastAsia="Calibri"/>
          <w:kern w:val="2"/>
          <w:position w:val="0"/>
          <w14:ligatures w14:val="standardContextual"/>
        </w:rPr>
        <w:t>87 %</w:t>
      </w:r>
      <w:bookmarkEnd w:id="207"/>
      <w:r w:rsidRPr="00D50069">
        <w:rPr>
          <w:rFonts w:eastAsia="Calibri"/>
          <w:kern w:val="2"/>
          <w:position w:val="0"/>
          <w14:ligatures w14:val="standardContextual"/>
        </w:rPr>
        <w:t xml:space="preserve"> and 72 % respondents confirmed that OTCs improved their knowledge of summative assessment tools and aided them to discover novel assessment methods. </w:t>
      </w:r>
    </w:p>
    <w:p w14:paraId="40742971" w14:textId="77777777" w:rsidR="004A7539" w:rsidRDefault="006218EC" w:rsidP="004A7539">
      <w:pPr>
        <w:spacing w:after="160" w:line="480" w:lineRule="auto"/>
        <w:ind w:firstLine="567"/>
        <w:jc w:val="both"/>
        <w:rPr>
          <w:rFonts w:eastAsia="Calibri"/>
          <w:kern w:val="2"/>
          <w:position w:val="0"/>
          <w14:ligatures w14:val="standardContextual"/>
        </w:rPr>
      </w:pPr>
      <w:r w:rsidRPr="00D50069">
        <w:rPr>
          <w:rFonts w:eastAsia="Calibri"/>
          <w:kern w:val="2"/>
          <w:position w:val="0"/>
          <w14:ligatures w14:val="standardContextual"/>
        </w:rPr>
        <w:t xml:space="preserve">Furthermore, “OTCs support me to have a solid pedagogical background that enables me to distinguish between different summative </w:t>
      </w:r>
      <w:proofErr w:type="gramStart"/>
      <w:r w:rsidRPr="00D50069">
        <w:rPr>
          <w:rFonts w:eastAsia="Calibri"/>
          <w:kern w:val="2"/>
          <w:position w:val="0"/>
          <w14:ligatures w14:val="standardContextual"/>
        </w:rPr>
        <w:t>assessment</w:t>
      </w:r>
      <w:proofErr w:type="gramEnd"/>
      <w:r w:rsidRPr="00D50069">
        <w:rPr>
          <w:rFonts w:eastAsia="Calibri"/>
          <w:kern w:val="2"/>
          <w:position w:val="0"/>
          <w14:ligatures w14:val="standardContextual"/>
        </w:rPr>
        <w:t>” received an agreement level of 67 %. It is evident that the neutral response option did not exceed 20 % within all categories of the scale. Hence, 79 % of participants assumed that they use these social media platforms to enhance their assessment practices. Similarly, 72 % reported utilizing a variety of grading rubrics and criteria discussed within online collaborative forums, and 70 % affirmed that these online sources offer templates of summative assessments for teachers to apply on a regular basis. The responses provided evidence that most respondents valued online teacher communities for enhancing their content knowledge (assessment literacy).</w:t>
      </w:r>
    </w:p>
    <w:p w14:paraId="2C1AF911" w14:textId="77777777" w:rsidR="004A7539" w:rsidRDefault="006218EC" w:rsidP="004A7539">
      <w:pPr>
        <w:spacing w:after="160" w:line="480" w:lineRule="auto"/>
        <w:ind w:firstLine="567"/>
        <w:jc w:val="both"/>
        <w:rPr>
          <w:rFonts w:eastAsia="Calibri"/>
          <w:kern w:val="2"/>
          <w:position w:val="0"/>
          <w14:ligatures w14:val="standardContextual"/>
        </w:rPr>
      </w:pPr>
      <w:r w:rsidRPr="00D50069">
        <w:rPr>
          <w:rFonts w:eastAsia="Calibri"/>
          <w:kern w:val="2"/>
          <w:position w:val="0"/>
          <w14:ligatures w14:val="standardContextual"/>
        </w:rPr>
        <w:t xml:space="preserve"> A very low level of disagreement was observed; it ranges from 00 % to 11 % across the whole range of responses (“disagree” and “strongly disagree”). In brief, these findings reveal a strong consensus among respondents. This uniformity suggests consistency, validity and clarity of the items.</w:t>
      </w:r>
    </w:p>
    <w:p w14:paraId="4698FC5F" w14:textId="3443E7A8" w:rsidR="00D50069" w:rsidRPr="00D50069" w:rsidRDefault="00D50069" w:rsidP="004A7539">
      <w:pPr>
        <w:spacing w:after="160" w:line="480" w:lineRule="auto"/>
        <w:ind w:firstLine="567"/>
        <w:jc w:val="both"/>
        <w:rPr>
          <w:rFonts w:eastAsia="Calibri"/>
          <w:kern w:val="2"/>
          <w:position w:val="0"/>
          <w14:ligatures w14:val="standardContextual"/>
        </w:rPr>
      </w:pPr>
      <w:r w:rsidRPr="00D50069">
        <w:rPr>
          <w:rFonts w:eastAsia="Calibri"/>
          <w:b/>
          <w:bCs/>
          <w:kern w:val="2"/>
          <w:position w:val="0"/>
          <w14:ligatures w14:val="standardContextual"/>
        </w:rPr>
        <w:t xml:space="preserve"> Table </w:t>
      </w:r>
      <w:r w:rsidR="0060583C">
        <w:rPr>
          <w:rFonts w:eastAsia="Calibri"/>
          <w:b/>
          <w:bCs/>
          <w:kern w:val="2"/>
          <w:position w:val="0"/>
          <w14:ligatures w14:val="standardContextual"/>
        </w:rPr>
        <w:t>10</w:t>
      </w:r>
      <w:r w:rsidRPr="00D50069">
        <w:rPr>
          <w:rFonts w:eastAsia="Calibri"/>
          <w:kern w:val="2"/>
          <w:position w:val="0"/>
          <w14:ligatures w14:val="standardContextual"/>
        </w:rPr>
        <w:t xml:space="preserve"> and </w:t>
      </w:r>
      <w:r w:rsidRPr="00D50069">
        <w:rPr>
          <w:rFonts w:eastAsia="Calibri"/>
          <w:b/>
          <w:bCs/>
          <w:kern w:val="2"/>
          <w:position w:val="0"/>
          <w14:ligatures w14:val="standardContextual"/>
        </w:rPr>
        <w:t xml:space="preserve">Graph 08 </w:t>
      </w:r>
      <w:r w:rsidRPr="00D50069">
        <w:rPr>
          <w:rFonts w:eastAsia="Calibri"/>
          <w:kern w:val="2"/>
          <w:position w:val="0"/>
          <w14:ligatures w14:val="standardContextual"/>
        </w:rPr>
        <w:t xml:space="preserve">below display the central tendency of data as shown through important statistical measures, including the mean, median, mode and standard deviation. These values describe and summarize the main features of the questionnaire’s Likert scale data set. They provide a clear overview of how data is distributed and allow for easier interpretation </w:t>
      </w:r>
      <w:r w:rsidRPr="00D50069">
        <w:rPr>
          <w:rFonts w:eastAsia="Calibri"/>
          <w:kern w:val="2"/>
          <w:position w:val="0"/>
          <w14:ligatures w14:val="standardContextual"/>
        </w:rPr>
        <w:lastRenderedPageBreak/>
        <w:t>and discussion of findings about the effectiveness of online teacher communities in enhancing teachers’ summative assessment knowledge.</w:t>
      </w:r>
    </w:p>
    <w:p w14:paraId="0656CD79" w14:textId="354E0E10" w:rsidR="004A7539" w:rsidRDefault="00D50069" w:rsidP="004A7539">
      <w:pPr>
        <w:keepNext/>
        <w:spacing w:after="200" w:line="276" w:lineRule="auto"/>
        <w:rPr>
          <w:rFonts w:eastAsia="Calibri"/>
          <w:b/>
          <w:bCs/>
          <w:i/>
          <w:iCs/>
          <w:kern w:val="2"/>
          <w:position w:val="0"/>
          <w14:ligatures w14:val="standardContextual"/>
        </w:rPr>
      </w:pPr>
      <w:bookmarkStart w:id="208" w:name="_Toc199832004"/>
      <w:bookmarkStart w:id="209" w:name="_Toc199832373"/>
      <w:bookmarkStart w:id="210" w:name="_Toc200446658"/>
      <w:r w:rsidRPr="00D50069">
        <w:rPr>
          <w:rFonts w:eastAsia="Calibri"/>
          <w:b/>
          <w:bCs/>
          <w:kern w:val="2"/>
          <w:position w:val="0"/>
          <w14:ligatures w14:val="standardContextual"/>
        </w:rPr>
        <w:t xml:space="preserve">Table </w:t>
      </w:r>
      <w:r w:rsidR="00274F6F" w:rsidRPr="009B681F">
        <w:rPr>
          <w:rFonts w:eastAsia="Calibri"/>
          <w:b/>
          <w:bCs/>
          <w:kern w:val="2"/>
          <w:position w:val="0"/>
          <w14:ligatures w14:val="standardContextual"/>
        </w:rPr>
        <w:fldChar w:fldCharType="begin"/>
      </w:r>
      <w:r w:rsidR="00274F6F" w:rsidRPr="009B681F">
        <w:rPr>
          <w:rFonts w:eastAsia="Calibri"/>
          <w:b/>
          <w:bCs/>
          <w:kern w:val="2"/>
          <w:position w:val="0"/>
          <w14:ligatures w14:val="standardContextual"/>
        </w:rPr>
        <w:instrText xml:space="preserve"> SEQ Table \* ARABIC </w:instrText>
      </w:r>
      <w:r w:rsidR="00274F6F" w:rsidRPr="009B681F">
        <w:rPr>
          <w:rFonts w:eastAsia="Calibri"/>
          <w:b/>
          <w:bCs/>
          <w:kern w:val="2"/>
          <w:position w:val="0"/>
          <w14:ligatures w14:val="standardContextual"/>
        </w:rPr>
        <w:fldChar w:fldCharType="separate"/>
      </w:r>
      <w:r w:rsidR="00DC3231">
        <w:rPr>
          <w:rFonts w:eastAsia="Calibri"/>
          <w:b/>
          <w:bCs/>
          <w:noProof/>
          <w:kern w:val="2"/>
          <w:position w:val="0"/>
          <w14:ligatures w14:val="standardContextual"/>
        </w:rPr>
        <w:t>10</w:t>
      </w:r>
      <w:r w:rsidR="00274F6F" w:rsidRPr="009B681F">
        <w:rPr>
          <w:rFonts w:eastAsia="Calibri"/>
          <w:b/>
          <w:bCs/>
          <w:kern w:val="2"/>
          <w:position w:val="0"/>
          <w14:ligatures w14:val="standardContextual"/>
        </w:rPr>
        <w:fldChar w:fldCharType="end"/>
      </w:r>
      <w:r w:rsidRPr="00D50069">
        <w:rPr>
          <w:rFonts w:eastAsia="Calibri"/>
          <w:b/>
          <w:bCs/>
          <w:i/>
          <w:iCs/>
          <w:kern w:val="2"/>
          <w:position w:val="0"/>
          <w14:ligatures w14:val="standardContextual"/>
        </w:rPr>
        <w:t xml:space="preserve"> </w:t>
      </w:r>
    </w:p>
    <w:p w14:paraId="7616B4EE" w14:textId="21D1BD45" w:rsidR="00D50069" w:rsidRPr="004A7539" w:rsidRDefault="00D50069" w:rsidP="004A7539">
      <w:pPr>
        <w:keepNext/>
        <w:spacing w:after="200" w:line="276" w:lineRule="auto"/>
        <w:rPr>
          <w:rFonts w:eastAsia="Calibri"/>
          <w:b/>
          <w:bCs/>
          <w:kern w:val="2"/>
          <w:position w:val="0"/>
          <w14:ligatures w14:val="standardContextual"/>
        </w:rPr>
      </w:pPr>
      <w:r w:rsidRPr="004A7539">
        <w:rPr>
          <w:rFonts w:eastAsia="Calibri"/>
          <w:kern w:val="2"/>
          <w:position w:val="0"/>
          <w14:ligatures w14:val="standardContextual"/>
        </w:rPr>
        <w:t>Summary of Descriptive Measures for Likert Scale Items 01</w:t>
      </w:r>
      <w:bookmarkEnd w:id="208"/>
      <w:bookmarkEnd w:id="209"/>
      <w:bookmarkEnd w:id="210"/>
    </w:p>
    <w:tbl>
      <w:tblPr>
        <w:tblW w:w="9138" w:type="dxa"/>
        <w:jc w:val="center"/>
        <w:tblLook w:val="04A0" w:firstRow="1" w:lastRow="0" w:firstColumn="1" w:lastColumn="0" w:noHBand="0" w:noVBand="1"/>
      </w:tblPr>
      <w:tblGrid>
        <w:gridCol w:w="2170"/>
        <w:gridCol w:w="974"/>
        <w:gridCol w:w="990"/>
        <w:gridCol w:w="1008"/>
        <w:gridCol w:w="990"/>
        <w:gridCol w:w="1076"/>
        <w:gridCol w:w="956"/>
        <w:gridCol w:w="974"/>
      </w:tblGrid>
      <w:tr w:rsidR="00D50069" w:rsidRPr="00D50069" w14:paraId="72C90041" w14:textId="77777777" w:rsidTr="00DE6875">
        <w:trPr>
          <w:trHeight w:val="325"/>
          <w:jc w:val="center"/>
        </w:trPr>
        <w:tc>
          <w:tcPr>
            <w:tcW w:w="2170" w:type="dxa"/>
            <w:tcBorders>
              <w:top w:val="single" w:sz="8" w:space="0" w:color="auto"/>
              <w:left w:val="nil"/>
              <w:bottom w:val="single" w:sz="8" w:space="0" w:color="auto"/>
              <w:right w:val="nil"/>
            </w:tcBorders>
            <w:shd w:val="clear" w:color="auto" w:fill="auto"/>
            <w:noWrap/>
            <w:vAlign w:val="center"/>
            <w:hideMark/>
          </w:tcPr>
          <w:p w14:paraId="6028084B" w14:textId="77777777" w:rsidR="00D50069" w:rsidRPr="00DE6875" w:rsidRDefault="00D50069" w:rsidP="00DE6875">
            <w:pPr>
              <w:spacing w:line="360" w:lineRule="auto"/>
              <w:rPr>
                <w:b/>
                <w:bCs/>
                <w:color w:val="000000"/>
                <w:position w:val="0"/>
              </w:rPr>
            </w:pPr>
            <w:r w:rsidRPr="00DE6875">
              <w:rPr>
                <w:b/>
                <w:bCs/>
                <w:color w:val="000000"/>
                <w:position w:val="0"/>
              </w:rPr>
              <w:t>Central Tendency Values</w:t>
            </w:r>
          </w:p>
        </w:tc>
        <w:tc>
          <w:tcPr>
            <w:tcW w:w="974" w:type="dxa"/>
            <w:tcBorders>
              <w:top w:val="single" w:sz="8" w:space="0" w:color="auto"/>
              <w:left w:val="nil"/>
              <w:bottom w:val="single" w:sz="8" w:space="0" w:color="auto"/>
              <w:right w:val="nil"/>
            </w:tcBorders>
            <w:shd w:val="clear" w:color="auto" w:fill="auto"/>
            <w:noWrap/>
            <w:vAlign w:val="center"/>
            <w:hideMark/>
          </w:tcPr>
          <w:p w14:paraId="7AD30C92" w14:textId="6E45A215" w:rsidR="00D50069" w:rsidRPr="00DE6875" w:rsidRDefault="00D50069" w:rsidP="00D50069">
            <w:pPr>
              <w:spacing w:line="360" w:lineRule="auto"/>
              <w:jc w:val="center"/>
              <w:rPr>
                <w:b/>
                <w:bCs/>
                <w:color w:val="000000"/>
                <w:position w:val="0"/>
              </w:rPr>
            </w:pPr>
            <w:r w:rsidRPr="00DE6875">
              <w:rPr>
                <w:b/>
                <w:bCs/>
                <w:color w:val="000000"/>
                <w:position w:val="0"/>
              </w:rPr>
              <w:t>Q 1</w:t>
            </w:r>
          </w:p>
        </w:tc>
        <w:tc>
          <w:tcPr>
            <w:tcW w:w="990" w:type="dxa"/>
            <w:tcBorders>
              <w:top w:val="single" w:sz="8" w:space="0" w:color="auto"/>
              <w:left w:val="nil"/>
              <w:bottom w:val="single" w:sz="8" w:space="0" w:color="auto"/>
              <w:right w:val="nil"/>
            </w:tcBorders>
            <w:shd w:val="clear" w:color="auto" w:fill="auto"/>
            <w:noWrap/>
            <w:vAlign w:val="center"/>
            <w:hideMark/>
          </w:tcPr>
          <w:p w14:paraId="0D962964" w14:textId="0067DF3E" w:rsidR="00D50069" w:rsidRPr="00DE6875" w:rsidRDefault="00D50069" w:rsidP="00D50069">
            <w:pPr>
              <w:spacing w:line="360" w:lineRule="auto"/>
              <w:jc w:val="center"/>
              <w:rPr>
                <w:b/>
                <w:bCs/>
                <w:color w:val="000000"/>
                <w:position w:val="0"/>
              </w:rPr>
            </w:pPr>
            <w:r w:rsidRPr="00DE6875">
              <w:rPr>
                <w:b/>
                <w:bCs/>
                <w:color w:val="000000"/>
                <w:position w:val="0"/>
              </w:rPr>
              <w:t>Q 2</w:t>
            </w:r>
          </w:p>
        </w:tc>
        <w:tc>
          <w:tcPr>
            <w:tcW w:w="1008" w:type="dxa"/>
            <w:tcBorders>
              <w:top w:val="single" w:sz="8" w:space="0" w:color="auto"/>
              <w:left w:val="nil"/>
              <w:bottom w:val="single" w:sz="8" w:space="0" w:color="auto"/>
              <w:right w:val="nil"/>
            </w:tcBorders>
            <w:shd w:val="clear" w:color="auto" w:fill="auto"/>
            <w:noWrap/>
            <w:vAlign w:val="center"/>
            <w:hideMark/>
          </w:tcPr>
          <w:p w14:paraId="54BE879E" w14:textId="2BEBF84F" w:rsidR="00D50069" w:rsidRPr="00DE6875" w:rsidRDefault="00D50069" w:rsidP="00D50069">
            <w:pPr>
              <w:spacing w:line="360" w:lineRule="auto"/>
              <w:jc w:val="center"/>
              <w:rPr>
                <w:b/>
                <w:bCs/>
                <w:color w:val="000000"/>
                <w:position w:val="0"/>
              </w:rPr>
            </w:pPr>
            <w:r w:rsidRPr="00DE6875">
              <w:rPr>
                <w:b/>
                <w:bCs/>
                <w:color w:val="000000"/>
                <w:position w:val="0"/>
              </w:rPr>
              <w:t>Q 3</w:t>
            </w:r>
          </w:p>
        </w:tc>
        <w:tc>
          <w:tcPr>
            <w:tcW w:w="990" w:type="dxa"/>
            <w:tcBorders>
              <w:top w:val="single" w:sz="8" w:space="0" w:color="auto"/>
              <w:left w:val="nil"/>
              <w:bottom w:val="single" w:sz="8" w:space="0" w:color="auto"/>
              <w:right w:val="nil"/>
            </w:tcBorders>
            <w:shd w:val="clear" w:color="auto" w:fill="auto"/>
            <w:noWrap/>
            <w:vAlign w:val="center"/>
            <w:hideMark/>
          </w:tcPr>
          <w:p w14:paraId="2C658B45" w14:textId="16A1BDAE" w:rsidR="00D50069" w:rsidRPr="00DE6875" w:rsidRDefault="00D50069" w:rsidP="00D50069">
            <w:pPr>
              <w:spacing w:line="360" w:lineRule="auto"/>
              <w:jc w:val="center"/>
              <w:rPr>
                <w:b/>
                <w:bCs/>
                <w:color w:val="000000"/>
                <w:position w:val="0"/>
              </w:rPr>
            </w:pPr>
            <w:r w:rsidRPr="00DE6875">
              <w:rPr>
                <w:b/>
                <w:bCs/>
                <w:color w:val="000000"/>
                <w:position w:val="0"/>
              </w:rPr>
              <w:t>Q4</w:t>
            </w:r>
          </w:p>
        </w:tc>
        <w:tc>
          <w:tcPr>
            <w:tcW w:w="1076" w:type="dxa"/>
            <w:tcBorders>
              <w:top w:val="single" w:sz="8" w:space="0" w:color="auto"/>
              <w:left w:val="nil"/>
              <w:bottom w:val="single" w:sz="8" w:space="0" w:color="auto"/>
              <w:right w:val="nil"/>
            </w:tcBorders>
            <w:shd w:val="clear" w:color="auto" w:fill="auto"/>
            <w:noWrap/>
            <w:vAlign w:val="center"/>
            <w:hideMark/>
          </w:tcPr>
          <w:p w14:paraId="4E9CABDC" w14:textId="55F668F1" w:rsidR="00D50069" w:rsidRPr="00DE6875" w:rsidRDefault="00D50069" w:rsidP="00D50069">
            <w:pPr>
              <w:spacing w:line="360" w:lineRule="auto"/>
              <w:jc w:val="center"/>
              <w:rPr>
                <w:b/>
                <w:bCs/>
                <w:color w:val="000000"/>
                <w:position w:val="0"/>
              </w:rPr>
            </w:pPr>
            <w:r w:rsidRPr="00DE6875">
              <w:rPr>
                <w:b/>
                <w:bCs/>
                <w:color w:val="000000"/>
                <w:position w:val="0"/>
              </w:rPr>
              <w:t>Q 5</w:t>
            </w:r>
          </w:p>
        </w:tc>
        <w:tc>
          <w:tcPr>
            <w:tcW w:w="956" w:type="dxa"/>
            <w:tcBorders>
              <w:top w:val="single" w:sz="8" w:space="0" w:color="auto"/>
              <w:left w:val="nil"/>
              <w:bottom w:val="single" w:sz="8" w:space="0" w:color="auto"/>
              <w:right w:val="nil"/>
            </w:tcBorders>
            <w:shd w:val="clear" w:color="auto" w:fill="auto"/>
            <w:noWrap/>
            <w:vAlign w:val="center"/>
            <w:hideMark/>
          </w:tcPr>
          <w:p w14:paraId="6B79EFEF" w14:textId="6924D03F" w:rsidR="00D50069" w:rsidRPr="00DE6875" w:rsidRDefault="00D50069" w:rsidP="00D50069">
            <w:pPr>
              <w:spacing w:line="360" w:lineRule="auto"/>
              <w:jc w:val="center"/>
              <w:rPr>
                <w:b/>
                <w:bCs/>
                <w:color w:val="000000"/>
                <w:position w:val="0"/>
              </w:rPr>
            </w:pPr>
            <w:r w:rsidRPr="00DE6875">
              <w:rPr>
                <w:b/>
                <w:bCs/>
                <w:color w:val="000000"/>
                <w:position w:val="0"/>
              </w:rPr>
              <w:t>Q 6</w:t>
            </w:r>
          </w:p>
        </w:tc>
        <w:tc>
          <w:tcPr>
            <w:tcW w:w="974" w:type="dxa"/>
            <w:tcBorders>
              <w:top w:val="single" w:sz="8" w:space="0" w:color="auto"/>
              <w:left w:val="nil"/>
              <w:bottom w:val="single" w:sz="8" w:space="0" w:color="auto"/>
              <w:right w:val="nil"/>
            </w:tcBorders>
            <w:shd w:val="clear" w:color="auto" w:fill="auto"/>
            <w:noWrap/>
            <w:vAlign w:val="center"/>
            <w:hideMark/>
          </w:tcPr>
          <w:p w14:paraId="3FF69BEF" w14:textId="4455F3E7" w:rsidR="00D50069" w:rsidRPr="00DE6875" w:rsidRDefault="00D50069" w:rsidP="00D50069">
            <w:pPr>
              <w:spacing w:line="360" w:lineRule="auto"/>
              <w:jc w:val="center"/>
              <w:rPr>
                <w:b/>
                <w:bCs/>
                <w:color w:val="000000"/>
                <w:position w:val="0"/>
              </w:rPr>
            </w:pPr>
            <w:r w:rsidRPr="00DE6875">
              <w:rPr>
                <w:b/>
                <w:bCs/>
                <w:color w:val="000000"/>
                <w:position w:val="0"/>
              </w:rPr>
              <w:t>Q 7</w:t>
            </w:r>
          </w:p>
        </w:tc>
      </w:tr>
      <w:tr w:rsidR="00D50069" w:rsidRPr="00D50069" w14:paraId="5299A7BC" w14:textId="77777777" w:rsidTr="00DE6875">
        <w:trPr>
          <w:trHeight w:val="315"/>
          <w:jc w:val="center"/>
        </w:trPr>
        <w:tc>
          <w:tcPr>
            <w:tcW w:w="2170" w:type="dxa"/>
            <w:tcBorders>
              <w:top w:val="nil"/>
              <w:left w:val="nil"/>
              <w:bottom w:val="nil"/>
              <w:right w:val="nil"/>
            </w:tcBorders>
            <w:shd w:val="clear" w:color="auto" w:fill="auto"/>
            <w:noWrap/>
            <w:vAlign w:val="bottom"/>
            <w:hideMark/>
          </w:tcPr>
          <w:p w14:paraId="241BB50D" w14:textId="77777777" w:rsidR="00D50069" w:rsidRPr="00D50069" w:rsidRDefault="00D50069" w:rsidP="00D50069">
            <w:pPr>
              <w:spacing w:line="360" w:lineRule="auto"/>
              <w:jc w:val="center"/>
              <w:rPr>
                <w:b/>
                <w:bCs/>
                <w:i/>
                <w:iCs/>
                <w:color w:val="000000"/>
                <w:position w:val="0"/>
              </w:rPr>
            </w:pPr>
          </w:p>
        </w:tc>
        <w:tc>
          <w:tcPr>
            <w:tcW w:w="974" w:type="dxa"/>
            <w:tcBorders>
              <w:top w:val="nil"/>
              <w:left w:val="nil"/>
              <w:bottom w:val="nil"/>
              <w:right w:val="nil"/>
            </w:tcBorders>
            <w:shd w:val="clear" w:color="auto" w:fill="auto"/>
            <w:noWrap/>
            <w:vAlign w:val="bottom"/>
            <w:hideMark/>
          </w:tcPr>
          <w:p w14:paraId="55FD7BE1" w14:textId="77777777" w:rsidR="00D50069" w:rsidRPr="00D50069" w:rsidRDefault="00D50069" w:rsidP="00D50069">
            <w:pPr>
              <w:spacing w:line="360" w:lineRule="auto"/>
              <w:rPr>
                <w:position w:val="0"/>
              </w:rPr>
            </w:pPr>
          </w:p>
        </w:tc>
        <w:tc>
          <w:tcPr>
            <w:tcW w:w="990" w:type="dxa"/>
            <w:tcBorders>
              <w:top w:val="nil"/>
              <w:left w:val="nil"/>
              <w:bottom w:val="nil"/>
              <w:right w:val="nil"/>
            </w:tcBorders>
            <w:shd w:val="clear" w:color="auto" w:fill="auto"/>
            <w:noWrap/>
            <w:vAlign w:val="bottom"/>
            <w:hideMark/>
          </w:tcPr>
          <w:p w14:paraId="78863D81" w14:textId="77777777" w:rsidR="00D50069" w:rsidRPr="00D50069" w:rsidRDefault="00D50069" w:rsidP="00D50069">
            <w:pPr>
              <w:spacing w:line="360" w:lineRule="auto"/>
              <w:rPr>
                <w:position w:val="0"/>
              </w:rPr>
            </w:pPr>
          </w:p>
        </w:tc>
        <w:tc>
          <w:tcPr>
            <w:tcW w:w="1008" w:type="dxa"/>
            <w:tcBorders>
              <w:top w:val="nil"/>
              <w:left w:val="nil"/>
              <w:bottom w:val="nil"/>
              <w:right w:val="nil"/>
            </w:tcBorders>
            <w:shd w:val="clear" w:color="auto" w:fill="auto"/>
            <w:noWrap/>
            <w:vAlign w:val="bottom"/>
            <w:hideMark/>
          </w:tcPr>
          <w:p w14:paraId="50F264BD" w14:textId="77777777" w:rsidR="00D50069" w:rsidRPr="00D50069" w:rsidRDefault="00D50069" w:rsidP="00D50069">
            <w:pPr>
              <w:spacing w:line="360" w:lineRule="auto"/>
              <w:rPr>
                <w:position w:val="0"/>
              </w:rPr>
            </w:pPr>
          </w:p>
        </w:tc>
        <w:tc>
          <w:tcPr>
            <w:tcW w:w="990" w:type="dxa"/>
            <w:tcBorders>
              <w:top w:val="nil"/>
              <w:left w:val="nil"/>
              <w:bottom w:val="nil"/>
              <w:right w:val="nil"/>
            </w:tcBorders>
            <w:shd w:val="clear" w:color="auto" w:fill="auto"/>
            <w:noWrap/>
            <w:vAlign w:val="bottom"/>
            <w:hideMark/>
          </w:tcPr>
          <w:p w14:paraId="7E0F8FA2" w14:textId="77777777" w:rsidR="00D50069" w:rsidRPr="00D50069" w:rsidRDefault="00D50069" w:rsidP="00D50069">
            <w:pPr>
              <w:spacing w:line="360" w:lineRule="auto"/>
              <w:rPr>
                <w:position w:val="0"/>
              </w:rPr>
            </w:pPr>
          </w:p>
        </w:tc>
        <w:tc>
          <w:tcPr>
            <w:tcW w:w="1076" w:type="dxa"/>
            <w:tcBorders>
              <w:top w:val="nil"/>
              <w:left w:val="nil"/>
              <w:bottom w:val="nil"/>
              <w:right w:val="nil"/>
            </w:tcBorders>
            <w:shd w:val="clear" w:color="auto" w:fill="auto"/>
            <w:noWrap/>
            <w:vAlign w:val="bottom"/>
            <w:hideMark/>
          </w:tcPr>
          <w:p w14:paraId="3606260D" w14:textId="77777777" w:rsidR="00D50069" w:rsidRPr="00D50069" w:rsidRDefault="00D50069" w:rsidP="00D50069">
            <w:pPr>
              <w:spacing w:line="360" w:lineRule="auto"/>
              <w:rPr>
                <w:position w:val="0"/>
              </w:rPr>
            </w:pPr>
          </w:p>
        </w:tc>
        <w:tc>
          <w:tcPr>
            <w:tcW w:w="956" w:type="dxa"/>
            <w:tcBorders>
              <w:top w:val="nil"/>
              <w:left w:val="nil"/>
              <w:bottom w:val="nil"/>
              <w:right w:val="nil"/>
            </w:tcBorders>
            <w:shd w:val="clear" w:color="auto" w:fill="auto"/>
            <w:noWrap/>
            <w:vAlign w:val="bottom"/>
            <w:hideMark/>
          </w:tcPr>
          <w:p w14:paraId="24EE7F4A" w14:textId="77777777" w:rsidR="00D50069" w:rsidRPr="00D50069" w:rsidRDefault="00D50069" w:rsidP="00D50069">
            <w:pPr>
              <w:spacing w:line="360" w:lineRule="auto"/>
              <w:rPr>
                <w:position w:val="0"/>
              </w:rPr>
            </w:pPr>
          </w:p>
        </w:tc>
        <w:tc>
          <w:tcPr>
            <w:tcW w:w="974" w:type="dxa"/>
            <w:tcBorders>
              <w:top w:val="nil"/>
              <w:left w:val="nil"/>
              <w:bottom w:val="nil"/>
              <w:right w:val="nil"/>
            </w:tcBorders>
            <w:shd w:val="clear" w:color="auto" w:fill="auto"/>
            <w:noWrap/>
            <w:vAlign w:val="bottom"/>
            <w:hideMark/>
          </w:tcPr>
          <w:p w14:paraId="6C96070E" w14:textId="77777777" w:rsidR="00D50069" w:rsidRPr="00D50069" w:rsidRDefault="00D50069" w:rsidP="00D50069">
            <w:pPr>
              <w:spacing w:line="360" w:lineRule="auto"/>
              <w:rPr>
                <w:position w:val="0"/>
              </w:rPr>
            </w:pPr>
          </w:p>
        </w:tc>
      </w:tr>
      <w:tr w:rsidR="00D50069" w:rsidRPr="00D50069" w14:paraId="4F9F6362" w14:textId="77777777" w:rsidTr="00DE6875">
        <w:trPr>
          <w:trHeight w:val="315"/>
          <w:jc w:val="center"/>
        </w:trPr>
        <w:tc>
          <w:tcPr>
            <w:tcW w:w="2170" w:type="dxa"/>
            <w:tcBorders>
              <w:top w:val="nil"/>
              <w:left w:val="nil"/>
              <w:bottom w:val="nil"/>
              <w:right w:val="nil"/>
            </w:tcBorders>
            <w:shd w:val="clear" w:color="auto" w:fill="auto"/>
            <w:noWrap/>
            <w:vAlign w:val="center"/>
            <w:hideMark/>
          </w:tcPr>
          <w:p w14:paraId="6BC4B6AE" w14:textId="77777777" w:rsidR="00D50069" w:rsidRPr="00D50069" w:rsidRDefault="00D50069" w:rsidP="00D50069">
            <w:pPr>
              <w:spacing w:line="360" w:lineRule="auto"/>
              <w:rPr>
                <w:b/>
                <w:bCs/>
                <w:color w:val="000000"/>
                <w:position w:val="0"/>
              </w:rPr>
            </w:pPr>
            <w:r w:rsidRPr="00D50069">
              <w:rPr>
                <w:b/>
                <w:bCs/>
                <w:color w:val="000000"/>
                <w:position w:val="0"/>
              </w:rPr>
              <w:t>Mean</w:t>
            </w:r>
          </w:p>
        </w:tc>
        <w:tc>
          <w:tcPr>
            <w:tcW w:w="974" w:type="dxa"/>
            <w:tcBorders>
              <w:top w:val="nil"/>
              <w:left w:val="nil"/>
              <w:bottom w:val="nil"/>
              <w:right w:val="nil"/>
            </w:tcBorders>
            <w:shd w:val="clear" w:color="auto" w:fill="auto"/>
            <w:noWrap/>
            <w:vAlign w:val="center"/>
            <w:hideMark/>
          </w:tcPr>
          <w:p w14:paraId="74A113D0" w14:textId="77777777" w:rsidR="00D50069" w:rsidRPr="00D50069" w:rsidRDefault="00D50069" w:rsidP="00D50069">
            <w:pPr>
              <w:spacing w:line="360" w:lineRule="auto"/>
              <w:jc w:val="right"/>
              <w:rPr>
                <w:color w:val="000000"/>
                <w:position w:val="0"/>
              </w:rPr>
            </w:pPr>
            <w:r w:rsidRPr="00D50069">
              <w:rPr>
                <w:color w:val="000000"/>
                <w:position w:val="0"/>
              </w:rPr>
              <w:t>4,5</w:t>
            </w:r>
          </w:p>
        </w:tc>
        <w:tc>
          <w:tcPr>
            <w:tcW w:w="990" w:type="dxa"/>
            <w:tcBorders>
              <w:top w:val="nil"/>
              <w:left w:val="nil"/>
              <w:bottom w:val="nil"/>
              <w:right w:val="nil"/>
            </w:tcBorders>
            <w:shd w:val="clear" w:color="auto" w:fill="auto"/>
            <w:noWrap/>
            <w:vAlign w:val="center"/>
            <w:hideMark/>
          </w:tcPr>
          <w:p w14:paraId="62821443" w14:textId="77777777" w:rsidR="00D50069" w:rsidRPr="00D50069" w:rsidRDefault="00D50069" w:rsidP="00D50069">
            <w:pPr>
              <w:spacing w:line="360" w:lineRule="auto"/>
              <w:jc w:val="right"/>
              <w:rPr>
                <w:color w:val="000000"/>
                <w:position w:val="0"/>
              </w:rPr>
            </w:pPr>
            <w:r w:rsidRPr="00D50069">
              <w:rPr>
                <w:color w:val="000000"/>
                <w:position w:val="0"/>
              </w:rPr>
              <w:t>4,74</w:t>
            </w:r>
          </w:p>
        </w:tc>
        <w:tc>
          <w:tcPr>
            <w:tcW w:w="1008" w:type="dxa"/>
            <w:tcBorders>
              <w:top w:val="nil"/>
              <w:left w:val="nil"/>
              <w:bottom w:val="nil"/>
              <w:right w:val="nil"/>
            </w:tcBorders>
            <w:shd w:val="clear" w:color="auto" w:fill="auto"/>
            <w:noWrap/>
            <w:vAlign w:val="center"/>
            <w:hideMark/>
          </w:tcPr>
          <w:p w14:paraId="3350385D" w14:textId="77777777" w:rsidR="00D50069" w:rsidRPr="00D50069" w:rsidRDefault="00D50069" w:rsidP="00D50069">
            <w:pPr>
              <w:spacing w:line="360" w:lineRule="auto"/>
              <w:jc w:val="right"/>
              <w:rPr>
                <w:color w:val="000000"/>
                <w:position w:val="0"/>
              </w:rPr>
            </w:pPr>
            <w:r w:rsidRPr="00D50069">
              <w:rPr>
                <w:color w:val="000000"/>
                <w:position w:val="0"/>
              </w:rPr>
              <w:t>4,44</w:t>
            </w:r>
          </w:p>
        </w:tc>
        <w:tc>
          <w:tcPr>
            <w:tcW w:w="990" w:type="dxa"/>
            <w:tcBorders>
              <w:top w:val="nil"/>
              <w:left w:val="nil"/>
              <w:bottom w:val="nil"/>
              <w:right w:val="nil"/>
            </w:tcBorders>
            <w:shd w:val="clear" w:color="auto" w:fill="auto"/>
            <w:noWrap/>
            <w:vAlign w:val="center"/>
            <w:hideMark/>
          </w:tcPr>
          <w:p w14:paraId="278F2273" w14:textId="77777777" w:rsidR="00D50069" w:rsidRPr="00D50069" w:rsidRDefault="00D50069" w:rsidP="00D50069">
            <w:pPr>
              <w:spacing w:line="360" w:lineRule="auto"/>
              <w:jc w:val="right"/>
              <w:rPr>
                <w:color w:val="000000"/>
                <w:position w:val="0"/>
              </w:rPr>
            </w:pPr>
            <w:r w:rsidRPr="00D50069">
              <w:rPr>
                <w:color w:val="000000"/>
                <w:position w:val="0"/>
              </w:rPr>
              <w:t>4,26</w:t>
            </w:r>
          </w:p>
        </w:tc>
        <w:tc>
          <w:tcPr>
            <w:tcW w:w="1076" w:type="dxa"/>
            <w:tcBorders>
              <w:top w:val="nil"/>
              <w:left w:val="nil"/>
              <w:bottom w:val="nil"/>
              <w:right w:val="nil"/>
            </w:tcBorders>
            <w:shd w:val="clear" w:color="auto" w:fill="auto"/>
            <w:noWrap/>
            <w:vAlign w:val="center"/>
            <w:hideMark/>
          </w:tcPr>
          <w:p w14:paraId="39296760" w14:textId="77777777" w:rsidR="00D50069" w:rsidRPr="00D50069" w:rsidRDefault="00D50069" w:rsidP="00D50069">
            <w:pPr>
              <w:spacing w:line="360" w:lineRule="auto"/>
              <w:jc w:val="right"/>
              <w:rPr>
                <w:color w:val="000000"/>
                <w:position w:val="0"/>
              </w:rPr>
            </w:pPr>
            <w:r w:rsidRPr="00D50069">
              <w:rPr>
                <w:color w:val="000000"/>
                <w:position w:val="0"/>
              </w:rPr>
              <w:t>4,65</w:t>
            </w:r>
          </w:p>
        </w:tc>
        <w:tc>
          <w:tcPr>
            <w:tcW w:w="956" w:type="dxa"/>
            <w:tcBorders>
              <w:top w:val="nil"/>
              <w:left w:val="nil"/>
              <w:bottom w:val="nil"/>
              <w:right w:val="nil"/>
            </w:tcBorders>
            <w:shd w:val="clear" w:color="auto" w:fill="auto"/>
            <w:noWrap/>
            <w:vAlign w:val="center"/>
            <w:hideMark/>
          </w:tcPr>
          <w:p w14:paraId="046FA04D" w14:textId="77777777" w:rsidR="00D50069" w:rsidRPr="00D50069" w:rsidRDefault="00D50069" w:rsidP="00D50069">
            <w:pPr>
              <w:spacing w:line="360" w:lineRule="auto"/>
              <w:jc w:val="right"/>
              <w:rPr>
                <w:color w:val="000000"/>
                <w:position w:val="0"/>
              </w:rPr>
            </w:pPr>
            <w:r w:rsidRPr="00D50069">
              <w:rPr>
                <w:color w:val="000000"/>
                <w:position w:val="0"/>
              </w:rPr>
              <w:t>4,46</w:t>
            </w:r>
          </w:p>
        </w:tc>
        <w:tc>
          <w:tcPr>
            <w:tcW w:w="974" w:type="dxa"/>
            <w:tcBorders>
              <w:top w:val="nil"/>
              <w:left w:val="nil"/>
              <w:bottom w:val="nil"/>
              <w:right w:val="nil"/>
            </w:tcBorders>
            <w:shd w:val="clear" w:color="auto" w:fill="auto"/>
            <w:noWrap/>
            <w:vAlign w:val="center"/>
            <w:hideMark/>
          </w:tcPr>
          <w:p w14:paraId="496555F5" w14:textId="77777777" w:rsidR="00D50069" w:rsidRPr="00D50069" w:rsidRDefault="00D50069" w:rsidP="00D50069">
            <w:pPr>
              <w:spacing w:line="360" w:lineRule="auto"/>
              <w:jc w:val="right"/>
              <w:rPr>
                <w:color w:val="000000"/>
                <w:position w:val="0"/>
              </w:rPr>
            </w:pPr>
            <w:r w:rsidRPr="00D50069">
              <w:rPr>
                <w:color w:val="000000"/>
                <w:position w:val="0"/>
              </w:rPr>
              <w:t>4,32</w:t>
            </w:r>
          </w:p>
        </w:tc>
      </w:tr>
      <w:tr w:rsidR="00D50069" w:rsidRPr="00D50069" w14:paraId="1D689200" w14:textId="77777777" w:rsidTr="00DE6875">
        <w:trPr>
          <w:trHeight w:val="315"/>
          <w:jc w:val="center"/>
        </w:trPr>
        <w:tc>
          <w:tcPr>
            <w:tcW w:w="2170" w:type="dxa"/>
            <w:tcBorders>
              <w:top w:val="nil"/>
              <w:left w:val="nil"/>
              <w:bottom w:val="nil"/>
              <w:right w:val="nil"/>
            </w:tcBorders>
            <w:shd w:val="clear" w:color="auto" w:fill="auto"/>
            <w:noWrap/>
            <w:vAlign w:val="center"/>
            <w:hideMark/>
          </w:tcPr>
          <w:p w14:paraId="30B4761A" w14:textId="77777777" w:rsidR="00D50069" w:rsidRPr="00D50069" w:rsidRDefault="00D50069" w:rsidP="00D50069">
            <w:pPr>
              <w:spacing w:line="360" w:lineRule="auto"/>
              <w:rPr>
                <w:b/>
                <w:bCs/>
                <w:color w:val="000000"/>
                <w:position w:val="0"/>
              </w:rPr>
            </w:pPr>
            <w:r w:rsidRPr="00D50069">
              <w:rPr>
                <w:b/>
                <w:bCs/>
                <w:color w:val="000000"/>
                <w:position w:val="0"/>
              </w:rPr>
              <w:t>Standard Error</w:t>
            </w:r>
          </w:p>
        </w:tc>
        <w:tc>
          <w:tcPr>
            <w:tcW w:w="974" w:type="dxa"/>
            <w:tcBorders>
              <w:top w:val="nil"/>
              <w:left w:val="nil"/>
              <w:bottom w:val="nil"/>
              <w:right w:val="nil"/>
            </w:tcBorders>
            <w:shd w:val="clear" w:color="auto" w:fill="auto"/>
            <w:noWrap/>
            <w:vAlign w:val="center"/>
            <w:hideMark/>
          </w:tcPr>
          <w:p w14:paraId="16239293" w14:textId="77777777" w:rsidR="00D50069" w:rsidRPr="00D50069" w:rsidRDefault="00D50069" w:rsidP="00D50069">
            <w:pPr>
              <w:spacing w:line="360" w:lineRule="auto"/>
              <w:jc w:val="right"/>
              <w:rPr>
                <w:color w:val="000000"/>
                <w:position w:val="0"/>
              </w:rPr>
            </w:pPr>
            <w:r w:rsidRPr="00D50069">
              <w:rPr>
                <w:color w:val="000000"/>
                <w:position w:val="0"/>
              </w:rPr>
              <w:t>0,11</w:t>
            </w:r>
          </w:p>
        </w:tc>
        <w:tc>
          <w:tcPr>
            <w:tcW w:w="990" w:type="dxa"/>
            <w:tcBorders>
              <w:top w:val="nil"/>
              <w:left w:val="nil"/>
              <w:bottom w:val="nil"/>
              <w:right w:val="nil"/>
            </w:tcBorders>
            <w:shd w:val="clear" w:color="auto" w:fill="auto"/>
            <w:noWrap/>
            <w:vAlign w:val="center"/>
            <w:hideMark/>
          </w:tcPr>
          <w:p w14:paraId="6DBABDAF" w14:textId="77777777" w:rsidR="00D50069" w:rsidRPr="00D50069" w:rsidRDefault="00D50069" w:rsidP="00D50069">
            <w:pPr>
              <w:spacing w:line="360" w:lineRule="auto"/>
              <w:jc w:val="right"/>
              <w:rPr>
                <w:color w:val="000000"/>
                <w:position w:val="0"/>
              </w:rPr>
            </w:pPr>
            <w:r w:rsidRPr="00D50069">
              <w:rPr>
                <w:color w:val="000000"/>
                <w:position w:val="0"/>
              </w:rPr>
              <w:t>0,1</w:t>
            </w:r>
          </w:p>
        </w:tc>
        <w:tc>
          <w:tcPr>
            <w:tcW w:w="1008" w:type="dxa"/>
            <w:tcBorders>
              <w:top w:val="nil"/>
              <w:left w:val="nil"/>
              <w:bottom w:val="nil"/>
              <w:right w:val="nil"/>
            </w:tcBorders>
            <w:shd w:val="clear" w:color="auto" w:fill="auto"/>
            <w:noWrap/>
            <w:vAlign w:val="center"/>
            <w:hideMark/>
          </w:tcPr>
          <w:p w14:paraId="300BC9D4" w14:textId="77777777" w:rsidR="00D50069" w:rsidRPr="00D50069" w:rsidRDefault="00D50069" w:rsidP="00D50069">
            <w:pPr>
              <w:spacing w:line="360" w:lineRule="auto"/>
              <w:jc w:val="right"/>
              <w:rPr>
                <w:color w:val="000000"/>
                <w:position w:val="0"/>
              </w:rPr>
            </w:pPr>
            <w:r w:rsidRPr="00D50069">
              <w:rPr>
                <w:color w:val="000000"/>
                <w:position w:val="0"/>
              </w:rPr>
              <w:t>0,14</w:t>
            </w:r>
          </w:p>
        </w:tc>
        <w:tc>
          <w:tcPr>
            <w:tcW w:w="990" w:type="dxa"/>
            <w:tcBorders>
              <w:top w:val="nil"/>
              <w:left w:val="nil"/>
              <w:bottom w:val="nil"/>
              <w:right w:val="nil"/>
            </w:tcBorders>
            <w:shd w:val="clear" w:color="auto" w:fill="auto"/>
            <w:noWrap/>
            <w:vAlign w:val="center"/>
            <w:hideMark/>
          </w:tcPr>
          <w:p w14:paraId="4F4A892E" w14:textId="77777777" w:rsidR="00D50069" w:rsidRPr="00D50069" w:rsidRDefault="00D50069" w:rsidP="00D50069">
            <w:pPr>
              <w:spacing w:line="360" w:lineRule="auto"/>
              <w:jc w:val="right"/>
              <w:rPr>
                <w:color w:val="000000"/>
                <w:position w:val="0"/>
              </w:rPr>
            </w:pPr>
            <w:r w:rsidRPr="00D50069">
              <w:rPr>
                <w:color w:val="000000"/>
                <w:position w:val="0"/>
              </w:rPr>
              <w:t>0,16</w:t>
            </w:r>
          </w:p>
        </w:tc>
        <w:tc>
          <w:tcPr>
            <w:tcW w:w="1076" w:type="dxa"/>
            <w:tcBorders>
              <w:top w:val="nil"/>
              <w:left w:val="nil"/>
              <w:bottom w:val="nil"/>
              <w:right w:val="nil"/>
            </w:tcBorders>
            <w:shd w:val="clear" w:color="auto" w:fill="auto"/>
            <w:noWrap/>
            <w:vAlign w:val="center"/>
            <w:hideMark/>
          </w:tcPr>
          <w:p w14:paraId="797D8844" w14:textId="77777777" w:rsidR="00D50069" w:rsidRPr="00D50069" w:rsidRDefault="00D50069" w:rsidP="00D50069">
            <w:pPr>
              <w:spacing w:line="360" w:lineRule="auto"/>
              <w:jc w:val="right"/>
              <w:rPr>
                <w:color w:val="000000"/>
                <w:position w:val="0"/>
              </w:rPr>
            </w:pPr>
            <w:r w:rsidRPr="00D50069">
              <w:rPr>
                <w:color w:val="000000"/>
                <w:position w:val="0"/>
              </w:rPr>
              <w:t>0,1</w:t>
            </w:r>
          </w:p>
        </w:tc>
        <w:tc>
          <w:tcPr>
            <w:tcW w:w="956" w:type="dxa"/>
            <w:tcBorders>
              <w:top w:val="nil"/>
              <w:left w:val="nil"/>
              <w:bottom w:val="nil"/>
              <w:right w:val="nil"/>
            </w:tcBorders>
            <w:shd w:val="clear" w:color="auto" w:fill="auto"/>
            <w:noWrap/>
            <w:vAlign w:val="center"/>
            <w:hideMark/>
          </w:tcPr>
          <w:p w14:paraId="5FE1A1BF" w14:textId="77777777" w:rsidR="00D50069" w:rsidRPr="00D50069" w:rsidRDefault="00D50069" w:rsidP="00D50069">
            <w:pPr>
              <w:spacing w:line="360" w:lineRule="auto"/>
              <w:jc w:val="right"/>
              <w:rPr>
                <w:color w:val="000000"/>
                <w:position w:val="0"/>
              </w:rPr>
            </w:pPr>
            <w:r w:rsidRPr="00D50069">
              <w:rPr>
                <w:color w:val="000000"/>
                <w:position w:val="0"/>
              </w:rPr>
              <w:t>0,13</w:t>
            </w:r>
          </w:p>
        </w:tc>
        <w:tc>
          <w:tcPr>
            <w:tcW w:w="974" w:type="dxa"/>
            <w:tcBorders>
              <w:top w:val="nil"/>
              <w:left w:val="nil"/>
              <w:bottom w:val="nil"/>
              <w:right w:val="nil"/>
            </w:tcBorders>
            <w:shd w:val="clear" w:color="auto" w:fill="auto"/>
            <w:noWrap/>
            <w:vAlign w:val="center"/>
            <w:hideMark/>
          </w:tcPr>
          <w:p w14:paraId="6E06FEC4" w14:textId="77777777" w:rsidR="00D50069" w:rsidRPr="00D50069" w:rsidRDefault="00D50069" w:rsidP="00D50069">
            <w:pPr>
              <w:spacing w:line="360" w:lineRule="auto"/>
              <w:jc w:val="right"/>
              <w:rPr>
                <w:color w:val="000000"/>
                <w:position w:val="0"/>
              </w:rPr>
            </w:pPr>
            <w:r w:rsidRPr="00D50069">
              <w:rPr>
                <w:color w:val="000000"/>
                <w:position w:val="0"/>
              </w:rPr>
              <w:t>0,15</w:t>
            </w:r>
          </w:p>
        </w:tc>
      </w:tr>
      <w:tr w:rsidR="00D50069" w:rsidRPr="00D50069" w14:paraId="3684F954" w14:textId="77777777" w:rsidTr="00DE6875">
        <w:trPr>
          <w:trHeight w:val="315"/>
          <w:jc w:val="center"/>
        </w:trPr>
        <w:tc>
          <w:tcPr>
            <w:tcW w:w="2170" w:type="dxa"/>
            <w:tcBorders>
              <w:top w:val="nil"/>
              <w:left w:val="nil"/>
              <w:bottom w:val="nil"/>
              <w:right w:val="nil"/>
            </w:tcBorders>
            <w:shd w:val="clear" w:color="auto" w:fill="auto"/>
            <w:noWrap/>
            <w:vAlign w:val="center"/>
            <w:hideMark/>
          </w:tcPr>
          <w:p w14:paraId="4FB5D9F3" w14:textId="77777777" w:rsidR="00D50069" w:rsidRPr="00D50069" w:rsidRDefault="00D50069" w:rsidP="00D50069">
            <w:pPr>
              <w:spacing w:line="360" w:lineRule="auto"/>
              <w:rPr>
                <w:b/>
                <w:bCs/>
                <w:color w:val="000000"/>
                <w:position w:val="0"/>
              </w:rPr>
            </w:pPr>
            <w:r w:rsidRPr="00D50069">
              <w:rPr>
                <w:b/>
                <w:bCs/>
                <w:color w:val="000000"/>
                <w:position w:val="0"/>
              </w:rPr>
              <w:t>Median</w:t>
            </w:r>
          </w:p>
        </w:tc>
        <w:tc>
          <w:tcPr>
            <w:tcW w:w="974" w:type="dxa"/>
            <w:tcBorders>
              <w:top w:val="nil"/>
              <w:left w:val="nil"/>
              <w:bottom w:val="nil"/>
              <w:right w:val="nil"/>
            </w:tcBorders>
            <w:shd w:val="clear" w:color="auto" w:fill="auto"/>
            <w:noWrap/>
            <w:vAlign w:val="center"/>
            <w:hideMark/>
          </w:tcPr>
          <w:p w14:paraId="0E7711DA" w14:textId="77777777" w:rsidR="00D50069" w:rsidRPr="00D50069" w:rsidRDefault="00D50069" w:rsidP="00D50069">
            <w:pPr>
              <w:spacing w:line="360" w:lineRule="auto"/>
              <w:jc w:val="right"/>
              <w:rPr>
                <w:color w:val="000000"/>
                <w:position w:val="0"/>
              </w:rPr>
            </w:pPr>
            <w:r w:rsidRPr="00D50069">
              <w:rPr>
                <w:color w:val="000000"/>
                <w:position w:val="0"/>
              </w:rPr>
              <w:t>5</w:t>
            </w:r>
          </w:p>
        </w:tc>
        <w:tc>
          <w:tcPr>
            <w:tcW w:w="990" w:type="dxa"/>
            <w:tcBorders>
              <w:top w:val="nil"/>
              <w:left w:val="nil"/>
              <w:bottom w:val="nil"/>
              <w:right w:val="nil"/>
            </w:tcBorders>
            <w:shd w:val="clear" w:color="auto" w:fill="auto"/>
            <w:noWrap/>
            <w:vAlign w:val="center"/>
            <w:hideMark/>
          </w:tcPr>
          <w:p w14:paraId="08F4921E" w14:textId="77777777" w:rsidR="00D50069" w:rsidRPr="00D50069" w:rsidRDefault="00D50069" w:rsidP="00D50069">
            <w:pPr>
              <w:spacing w:line="360" w:lineRule="auto"/>
              <w:jc w:val="right"/>
              <w:rPr>
                <w:color w:val="000000"/>
                <w:position w:val="0"/>
              </w:rPr>
            </w:pPr>
            <w:r w:rsidRPr="00D50069">
              <w:rPr>
                <w:color w:val="000000"/>
                <w:position w:val="0"/>
              </w:rPr>
              <w:t>5</w:t>
            </w:r>
          </w:p>
        </w:tc>
        <w:tc>
          <w:tcPr>
            <w:tcW w:w="1008" w:type="dxa"/>
            <w:tcBorders>
              <w:top w:val="nil"/>
              <w:left w:val="nil"/>
              <w:bottom w:val="nil"/>
              <w:right w:val="nil"/>
            </w:tcBorders>
            <w:shd w:val="clear" w:color="auto" w:fill="auto"/>
            <w:noWrap/>
            <w:vAlign w:val="center"/>
            <w:hideMark/>
          </w:tcPr>
          <w:p w14:paraId="29964C09" w14:textId="77777777" w:rsidR="00D50069" w:rsidRPr="00D50069" w:rsidRDefault="00D50069" w:rsidP="00D50069">
            <w:pPr>
              <w:spacing w:line="360" w:lineRule="auto"/>
              <w:jc w:val="right"/>
              <w:rPr>
                <w:color w:val="000000"/>
                <w:position w:val="0"/>
              </w:rPr>
            </w:pPr>
            <w:r w:rsidRPr="00D50069">
              <w:rPr>
                <w:color w:val="000000"/>
                <w:position w:val="0"/>
              </w:rPr>
              <w:t>5</w:t>
            </w:r>
          </w:p>
        </w:tc>
        <w:tc>
          <w:tcPr>
            <w:tcW w:w="990" w:type="dxa"/>
            <w:tcBorders>
              <w:top w:val="nil"/>
              <w:left w:val="nil"/>
              <w:bottom w:val="nil"/>
              <w:right w:val="nil"/>
            </w:tcBorders>
            <w:shd w:val="clear" w:color="auto" w:fill="auto"/>
            <w:noWrap/>
            <w:vAlign w:val="center"/>
            <w:hideMark/>
          </w:tcPr>
          <w:p w14:paraId="05EFC586" w14:textId="77777777" w:rsidR="00D50069" w:rsidRPr="00D50069" w:rsidRDefault="00D50069" w:rsidP="00D50069">
            <w:pPr>
              <w:spacing w:line="360" w:lineRule="auto"/>
              <w:jc w:val="right"/>
              <w:rPr>
                <w:color w:val="000000"/>
                <w:position w:val="0"/>
              </w:rPr>
            </w:pPr>
            <w:r w:rsidRPr="00D50069">
              <w:rPr>
                <w:color w:val="000000"/>
                <w:position w:val="0"/>
              </w:rPr>
              <w:t>5</w:t>
            </w:r>
          </w:p>
        </w:tc>
        <w:tc>
          <w:tcPr>
            <w:tcW w:w="1076" w:type="dxa"/>
            <w:tcBorders>
              <w:top w:val="nil"/>
              <w:left w:val="nil"/>
              <w:bottom w:val="nil"/>
              <w:right w:val="nil"/>
            </w:tcBorders>
            <w:shd w:val="clear" w:color="auto" w:fill="auto"/>
            <w:noWrap/>
            <w:vAlign w:val="center"/>
            <w:hideMark/>
          </w:tcPr>
          <w:p w14:paraId="5A794765" w14:textId="77777777" w:rsidR="00D50069" w:rsidRPr="00D50069" w:rsidRDefault="00D50069" w:rsidP="00D50069">
            <w:pPr>
              <w:spacing w:line="360" w:lineRule="auto"/>
              <w:jc w:val="right"/>
              <w:rPr>
                <w:color w:val="000000"/>
                <w:position w:val="0"/>
              </w:rPr>
            </w:pPr>
            <w:r w:rsidRPr="00D50069">
              <w:rPr>
                <w:color w:val="000000"/>
                <w:position w:val="0"/>
              </w:rPr>
              <w:t>5</w:t>
            </w:r>
          </w:p>
        </w:tc>
        <w:tc>
          <w:tcPr>
            <w:tcW w:w="956" w:type="dxa"/>
            <w:tcBorders>
              <w:top w:val="nil"/>
              <w:left w:val="nil"/>
              <w:bottom w:val="nil"/>
              <w:right w:val="nil"/>
            </w:tcBorders>
            <w:shd w:val="clear" w:color="auto" w:fill="auto"/>
            <w:noWrap/>
            <w:vAlign w:val="center"/>
            <w:hideMark/>
          </w:tcPr>
          <w:p w14:paraId="79B4E3DA" w14:textId="77777777" w:rsidR="00D50069" w:rsidRPr="00D50069" w:rsidRDefault="00D50069" w:rsidP="00D50069">
            <w:pPr>
              <w:spacing w:line="360" w:lineRule="auto"/>
              <w:jc w:val="right"/>
              <w:rPr>
                <w:color w:val="000000"/>
                <w:position w:val="0"/>
              </w:rPr>
            </w:pPr>
            <w:r w:rsidRPr="00D50069">
              <w:rPr>
                <w:color w:val="000000"/>
                <w:position w:val="0"/>
              </w:rPr>
              <w:t>5</w:t>
            </w:r>
          </w:p>
        </w:tc>
        <w:tc>
          <w:tcPr>
            <w:tcW w:w="974" w:type="dxa"/>
            <w:tcBorders>
              <w:top w:val="nil"/>
              <w:left w:val="nil"/>
              <w:bottom w:val="nil"/>
              <w:right w:val="nil"/>
            </w:tcBorders>
            <w:shd w:val="clear" w:color="auto" w:fill="auto"/>
            <w:noWrap/>
            <w:vAlign w:val="center"/>
            <w:hideMark/>
          </w:tcPr>
          <w:p w14:paraId="2B960D32" w14:textId="77777777" w:rsidR="00D50069" w:rsidRPr="00D50069" w:rsidRDefault="00D50069" w:rsidP="00D50069">
            <w:pPr>
              <w:spacing w:line="360" w:lineRule="auto"/>
              <w:jc w:val="right"/>
              <w:rPr>
                <w:color w:val="000000"/>
                <w:position w:val="0"/>
              </w:rPr>
            </w:pPr>
            <w:r w:rsidRPr="00D50069">
              <w:rPr>
                <w:color w:val="000000"/>
                <w:position w:val="0"/>
              </w:rPr>
              <w:t>5</w:t>
            </w:r>
          </w:p>
        </w:tc>
      </w:tr>
      <w:tr w:rsidR="00D50069" w:rsidRPr="00D50069" w14:paraId="4262A026" w14:textId="77777777" w:rsidTr="00DE6875">
        <w:trPr>
          <w:trHeight w:val="315"/>
          <w:jc w:val="center"/>
        </w:trPr>
        <w:tc>
          <w:tcPr>
            <w:tcW w:w="2170" w:type="dxa"/>
            <w:tcBorders>
              <w:top w:val="nil"/>
              <w:left w:val="nil"/>
              <w:bottom w:val="nil"/>
              <w:right w:val="nil"/>
            </w:tcBorders>
            <w:shd w:val="clear" w:color="auto" w:fill="auto"/>
            <w:noWrap/>
            <w:vAlign w:val="center"/>
            <w:hideMark/>
          </w:tcPr>
          <w:p w14:paraId="265DCDE7" w14:textId="77777777" w:rsidR="00D50069" w:rsidRPr="00D50069" w:rsidRDefault="00D50069" w:rsidP="00D50069">
            <w:pPr>
              <w:spacing w:line="360" w:lineRule="auto"/>
              <w:rPr>
                <w:b/>
                <w:bCs/>
                <w:color w:val="000000"/>
                <w:position w:val="0"/>
              </w:rPr>
            </w:pPr>
            <w:r w:rsidRPr="00D50069">
              <w:rPr>
                <w:b/>
                <w:bCs/>
                <w:color w:val="000000"/>
                <w:position w:val="0"/>
              </w:rPr>
              <w:t>Mode</w:t>
            </w:r>
          </w:p>
        </w:tc>
        <w:tc>
          <w:tcPr>
            <w:tcW w:w="974" w:type="dxa"/>
            <w:tcBorders>
              <w:top w:val="nil"/>
              <w:left w:val="nil"/>
              <w:bottom w:val="nil"/>
              <w:right w:val="nil"/>
            </w:tcBorders>
            <w:shd w:val="clear" w:color="auto" w:fill="auto"/>
            <w:noWrap/>
            <w:vAlign w:val="center"/>
            <w:hideMark/>
          </w:tcPr>
          <w:p w14:paraId="77B0EE35" w14:textId="77777777" w:rsidR="00D50069" w:rsidRPr="00D50069" w:rsidRDefault="00D50069" w:rsidP="00D50069">
            <w:pPr>
              <w:spacing w:line="360" w:lineRule="auto"/>
              <w:jc w:val="right"/>
              <w:rPr>
                <w:color w:val="000000"/>
                <w:position w:val="0"/>
              </w:rPr>
            </w:pPr>
            <w:r w:rsidRPr="00D50069">
              <w:rPr>
                <w:color w:val="000000"/>
                <w:position w:val="0"/>
              </w:rPr>
              <w:t>5</w:t>
            </w:r>
          </w:p>
        </w:tc>
        <w:tc>
          <w:tcPr>
            <w:tcW w:w="990" w:type="dxa"/>
            <w:tcBorders>
              <w:top w:val="nil"/>
              <w:left w:val="nil"/>
              <w:bottom w:val="nil"/>
              <w:right w:val="nil"/>
            </w:tcBorders>
            <w:shd w:val="clear" w:color="auto" w:fill="auto"/>
            <w:noWrap/>
            <w:vAlign w:val="center"/>
            <w:hideMark/>
          </w:tcPr>
          <w:p w14:paraId="59AF588B" w14:textId="77777777" w:rsidR="00D50069" w:rsidRPr="00D50069" w:rsidRDefault="00D50069" w:rsidP="00D50069">
            <w:pPr>
              <w:spacing w:line="360" w:lineRule="auto"/>
              <w:jc w:val="right"/>
              <w:rPr>
                <w:color w:val="000000"/>
                <w:position w:val="0"/>
              </w:rPr>
            </w:pPr>
            <w:r w:rsidRPr="00D50069">
              <w:rPr>
                <w:color w:val="000000"/>
                <w:position w:val="0"/>
              </w:rPr>
              <w:t>5</w:t>
            </w:r>
          </w:p>
        </w:tc>
        <w:tc>
          <w:tcPr>
            <w:tcW w:w="1008" w:type="dxa"/>
            <w:tcBorders>
              <w:top w:val="nil"/>
              <w:left w:val="nil"/>
              <w:bottom w:val="nil"/>
              <w:right w:val="nil"/>
            </w:tcBorders>
            <w:shd w:val="clear" w:color="auto" w:fill="auto"/>
            <w:noWrap/>
            <w:vAlign w:val="center"/>
            <w:hideMark/>
          </w:tcPr>
          <w:p w14:paraId="36E4BEEA" w14:textId="77777777" w:rsidR="00D50069" w:rsidRPr="00D50069" w:rsidRDefault="00D50069" w:rsidP="00D50069">
            <w:pPr>
              <w:spacing w:line="360" w:lineRule="auto"/>
              <w:jc w:val="right"/>
              <w:rPr>
                <w:color w:val="000000"/>
                <w:position w:val="0"/>
              </w:rPr>
            </w:pPr>
            <w:r w:rsidRPr="00D50069">
              <w:rPr>
                <w:color w:val="000000"/>
                <w:position w:val="0"/>
              </w:rPr>
              <w:t>5</w:t>
            </w:r>
          </w:p>
        </w:tc>
        <w:tc>
          <w:tcPr>
            <w:tcW w:w="990" w:type="dxa"/>
            <w:tcBorders>
              <w:top w:val="nil"/>
              <w:left w:val="nil"/>
              <w:bottom w:val="nil"/>
              <w:right w:val="nil"/>
            </w:tcBorders>
            <w:shd w:val="clear" w:color="auto" w:fill="auto"/>
            <w:noWrap/>
            <w:vAlign w:val="center"/>
            <w:hideMark/>
          </w:tcPr>
          <w:p w14:paraId="007CD880" w14:textId="77777777" w:rsidR="00D50069" w:rsidRPr="00D50069" w:rsidRDefault="00D50069" w:rsidP="00D50069">
            <w:pPr>
              <w:spacing w:line="360" w:lineRule="auto"/>
              <w:jc w:val="right"/>
              <w:rPr>
                <w:color w:val="000000"/>
                <w:position w:val="0"/>
              </w:rPr>
            </w:pPr>
            <w:r w:rsidRPr="00D50069">
              <w:rPr>
                <w:color w:val="000000"/>
                <w:position w:val="0"/>
              </w:rPr>
              <w:t>5</w:t>
            </w:r>
          </w:p>
        </w:tc>
        <w:tc>
          <w:tcPr>
            <w:tcW w:w="1076" w:type="dxa"/>
            <w:tcBorders>
              <w:top w:val="nil"/>
              <w:left w:val="nil"/>
              <w:bottom w:val="nil"/>
              <w:right w:val="nil"/>
            </w:tcBorders>
            <w:shd w:val="clear" w:color="auto" w:fill="auto"/>
            <w:noWrap/>
            <w:vAlign w:val="center"/>
            <w:hideMark/>
          </w:tcPr>
          <w:p w14:paraId="508A5089" w14:textId="77777777" w:rsidR="00D50069" w:rsidRPr="00D50069" w:rsidRDefault="00D50069" w:rsidP="00D50069">
            <w:pPr>
              <w:spacing w:line="360" w:lineRule="auto"/>
              <w:jc w:val="right"/>
              <w:rPr>
                <w:color w:val="000000"/>
                <w:position w:val="0"/>
              </w:rPr>
            </w:pPr>
            <w:r w:rsidRPr="00D50069">
              <w:rPr>
                <w:color w:val="000000"/>
                <w:position w:val="0"/>
              </w:rPr>
              <w:t>5</w:t>
            </w:r>
          </w:p>
        </w:tc>
        <w:tc>
          <w:tcPr>
            <w:tcW w:w="956" w:type="dxa"/>
            <w:tcBorders>
              <w:top w:val="nil"/>
              <w:left w:val="nil"/>
              <w:bottom w:val="nil"/>
              <w:right w:val="nil"/>
            </w:tcBorders>
            <w:shd w:val="clear" w:color="auto" w:fill="auto"/>
            <w:noWrap/>
            <w:vAlign w:val="center"/>
            <w:hideMark/>
          </w:tcPr>
          <w:p w14:paraId="65406DC9" w14:textId="77777777" w:rsidR="00D50069" w:rsidRPr="00D50069" w:rsidRDefault="00D50069" w:rsidP="00D50069">
            <w:pPr>
              <w:spacing w:line="360" w:lineRule="auto"/>
              <w:jc w:val="right"/>
              <w:rPr>
                <w:color w:val="000000"/>
                <w:position w:val="0"/>
              </w:rPr>
            </w:pPr>
            <w:r w:rsidRPr="00D50069">
              <w:rPr>
                <w:color w:val="000000"/>
                <w:position w:val="0"/>
              </w:rPr>
              <w:t>5</w:t>
            </w:r>
          </w:p>
        </w:tc>
        <w:tc>
          <w:tcPr>
            <w:tcW w:w="974" w:type="dxa"/>
            <w:tcBorders>
              <w:top w:val="nil"/>
              <w:left w:val="nil"/>
              <w:bottom w:val="nil"/>
              <w:right w:val="nil"/>
            </w:tcBorders>
            <w:shd w:val="clear" w:color="auto" w:fill="auto"/>
            <w:noWrap/>
            <w:vAlign w:val="center"/>
            <w:hideMark/>
          </w:tcPr>
          <w:p w14:paraId="73C0B167" w14:textId="77777777" w:rsidR="00D50069" w:rsidRPr="00D50069" w:rsidRDefault="00D50069" w:rsidP="00D50069">
            <w:pPr>
              <w:spacing w:line="360" w:lineRule="auto"/>
              <w:jc w:val="right"/>
              <w:rPr>
                <w:color w:val="000000"/>
                <w:position w:val="0"/>
              </w:rPr>
            </w:pPr>
            <w:r w:rsidRPr="00D50069">
              <w:rPr>
                <w:color w:val="000000"/>
                <w:position w:val="0"/>
              </w:rPr>
              <w:t>5</w:t>
            </w:r>
          </w:p>
        </w:tc>
      </w:tr>
      <w:tr w:rsidR="00D50069" w:rsidRPr="00D50069" w14:paraId="462DE440" w14:textId="77777777" w:rsidTr="00DE6875">
        <w:trPr>
          <w:trHeight w:val="315"/>
          <w:jc w:val="center"/>
        </w:trPr>
        <w:tc>
          <w:tcPr>
            <w:tcW w:w="2170" w:type="dxa"/>
            <w:tcBorders>
              <w:top w:val="nil"/>
              <w:left w:val="nil"/>
              <w:bottom w:val="nil"/>
              <w:right w:val="nil"/>
            </w:tcBorders>
            <w:shd w:val="clear" w:color="auto" w:fill="auto"/>
            <w:noWrap/>
            <w:vAlign w:val="center"/>
            <w:hideMark/>
          </w:tcPr>
          <w:p w14:paraId="5CA6A2A7" w14:textId="77777777" w:rsidR="00D50069" w:rsidRPr="00D50069" w:rsidRDefault="00D50069" w:rsidP="00D50069">
            <w:pPr>
              <w:spacing w:line="360" w:lineRule="auto"/>
              <w:rPr>
                <w:b/>
                <w:bCs/>
                <w:color w:val="000000"/>
                <w:position w:val="0"/>
              </w:rPr>
            </w:pPr>
            <w:r w:rsidRPr="00D50069">
              <w:rPr>
                <w:b/>
                <w:bCs/>
                <w:color w:val="000000"/>
                <w:position w:val="0"/>
              </w:rPr>
              <w:t>Standard Deviation</w:t>
            </w:r>
          </w:p>
        </w:tc>
        <w:tc>
          <w:tcPr>
            <w:tcW w:w="974" w:type="dxa"/>
            <w:tcBorders>
              <w:top w:val="nil"/>
              <w:left w:val="nil"/>
              <w:bottom w:val="nil"/>
              <w:right w:val="nil"/>
            </w:tcBorders>
            <w:shd w:val="clear" w:color="auto" w:fill="auto"/>
            <w:noWrap/>
            <w:vAlign w:val="center"/>
            <w:hideMark/>
          </w:tcPr>
          <w:p w14:paraId="7FBABA21" w14:textId="77777777" w:rsidR="00D50069" w:rsidRPr="00D50069" w:rsidRDefault="00D50069" w:rsidP="00D50069">
            <w:pPr>
              <w:spacing w:line="360" w:lineRule="auto"/>
              <w:jc w:val="right"/>
              <w:rPr>
                <w:color w:val="000000"/>
                <w:position w:val="0"/>
              </w:rPr>
            </w:pPr>
            <w:r w:rsidRPr="00D50069">
              <w:rPr>
                <w:color w:val="000000"/>
                <w:position w:val="0"/>
              </w:rPr>
              <w:t>0,8</w:t>
            </w:r>
          </w:p>
        </w:tc>
        <w:tc>
          <w:tcPr>
            <w:tcW w:w="990" w:type="dxa"/>
            <w:tcBorders>
              <w:top w:val="nil"/>
              <w:left w:val="nil"/>
              <w:bottom w:val="nil"/>
              <w:right w:val="nil"/>
            </w:tcBorders>
            <w:shd w:val="clear" w:color="auto" w:fill="auto"/>
            <w:noWrap/>
            <w:vAlign w:val="center"/>
            <w:hideMark/>
          </w:tcPr>
          <w:p w14:paraId="39837F8C" w14:textId="77777777" w:rsidR="00D50069" w:rsidRPr="00D50069" w:rsidRDefault="00D50069" w:rsidP="00D50069">
            <w:pPr>
              <w:spacing w:line="360" w:lineRule="auto"/>
              <w:jc w:val="right"/>
              <w:rPr>
                <w:color w:val="000000"/>
                <w:position w:val="0"/>
              </w:rPr>
            </w:pPr>
            <w:r w:rsidRPr="00D50069">
              <w:rPr>
                <w:color w:val="000000"/>
                <w:position w:val="0"/>
              </w:rPr>
              <w:t>0,7</w:t>
            </w:r>
          </w:p>
        </w:tc>
        <w:tc>
          <w:tcPr>
            <w:tcW w:w="1008" w:type="dxa"/>
            <w:tcBorders>
              <w:top w:val="nil"/>
              <w:left w:val="nil"/>
              <w:bottom w:val="nil"/>
              <w:right w:val="nil"/>
            </w:tcBorders>
            <w:shd w:val="clear" w:color="auto" w:fill="auto"/>
            <w:noWrap/>
            <w:vAlign w:val="center"/>
            <w:hideMark/>
          </w:tcPr>
          <w:p w14:paraId="04C0E592" w14:textId="77777777" w:rsidR="00D50069" w:rsidRPr="00D50069" w:rsidRDefault="00D50069" w:rsidP="00D50069">
            <w:pPr>
              <w:spacing w:line="360" w:lineRule="auto"/>
              <w:jc w:val="right"/>
              <w:rPr>
                <w:color w:val="000000"/>
                <w:position w:val="0"/>
              </w:rPr>
            </w:pPr>
            <w:r w:rsidRPr="00D50069">
              <w:rPr>
                <w:color w:val="000000"/>
                <w:position w:val="0"/>
              </w:rPr>
              <w:t>1,01</w:t>
            </w:r>
          </w:p>
        </w:tc>
        <w:tc>
          <w:tcPr>
            <w:tcW w:w="990" w:type="dxa"/>
            <w:tcBorders>
              <w:top w:val="nil"/>
              <w:left w:val="nil"/>
              <w:bottom w:val="nil"/>
              <w:right w:val="nil"/>
            </w:tcBorders>
            <w:shd w:val="clear" w:color="auto" w:fill="auto"/>
            <w:noWrap/>
            <w:vAlign w:val="center"/>
            <w:hideMark/>
          </w:tcPr>
          <w:p w14:paraId="7733BEFE" w14:textId="77777777" w:rsidR="00D50069" w:rsidRPr="00D50069" w:rsidRDefault="00D50069" w:rsidP="00D50069">
            <w:pPr>
              <w:spacing w:line="360" w:lineRule="auto"/>
              <w:jc w:val="right"/>
              <w:rPr>
                <w:color w:val="000000"/>
                <w:position w:val="0"/>
              </w:rPr>
            </w:pPr>
            <w:r w:rsidRPr="00D50069">
              <w:rPr>
                <w:color w:val="000000"/>
                <w:position w:val="0"/>
              </w:rPr>
              <w:t>1,12</w:t>
            </w:r>
          </w:p>
        </w:tc>
        <w:tc>
          <w:tcPr>
            <w:tcW w:w="1076" w:type="dxa"/>
            <w:tcBorders>
              <w:top w:val="nil"/>
              <w:left w:val="nil"/>
              <w:bottom w:val="nil"/>
              <w:right w:val="nil"/>
            </w:tcBorders>
            <w:shd w:val="clear" w:color="auto" w:fill="auto"/>
            <w:noWrap/>
            <w:vAlign w:val="center"/>
            <w:hideMark/>
          </w:tcPr>
          <w:p w14:paraId="173315E1" w14:textId="77777777" w:rsidR="00D50069" w:rsidRPr="00D50069" w:rsidRDefault="00D50069" w:rsidP="00D50069">
            <w:pPr>
              <w:spacing w:line="360" w:lineRule="auto"/>
              <w:jc w:val="right"/>
              <w:rPr>
                <w:color w:val="000000"/>
                <w:position w:val="0"/>
              </w:rPr>
            </w:pPr>
            <w:r w:rsidRPr="00D50069">
              <w:rPr>
                <w:color w:val="000000"/>
                <w:position w:val="0"/>
              </w:rPr>
              <w:t>0,73</w:t>
            </w:r>
          </w:p>
        </w:tc>
        <w:tc>
          <w:tcPr>
            <w:tcW w:w="956" w:type="dxa"/>
            <w:tcBorders>
              <w:top w:val="nil"/>
              <w:left w:val="nil"/>
              <w:bottom w:val="nil"/>
              <w:right w:val="nil"/>
            </w:tcBorders>
            <w:shd w:val="clear" w:color="auto" w:fill="auto"/>
            <w:noWrap/>
            <w:vAlign w:val="center"/>
            <w:hideMark/>
          </w:tcPr>
          <w:p w14:paraId="1DDB191B" w14:textId="77777777" w:rsidR="00D50069" w:rsidRPr="00D50069" w:rsidRDefault="00D50069" w:rsidP="00D50069">
            <w:pPr>
              <w:spacing w:line="360" w:lineRule="auto"/>
              <w:jc w:val="right"/>
              <w:rPr>
                <w:color w:val="000000"/>
                <w:position w:val="0"/>
              </w:rPr>
            </w:pPr>
            <w:r w:rsidRPr="00D50069">
              <w:rPr>
                <w:color w:val="000000"/>
                <w:position w:val="0"/>
              </w:rPr>
              <w:t>0,92</w:t>
            </w:r>
          </w:p>
        </w:tc>
        <w:tc>
          <w:tcPr>
            <w:tcW w:w="974" w:type="dxa"/>
            <w:tcBorders>
              <w:top w:val="nil"/>
              <w:left w:val="nil"/>
              <w:bottom w:val="nil"/>
              <w:right w:val="nil"/>
            </w:tcBorders>
            <w:shd w:val="clear" w:color="auto" w:fill="auto"/>
            <w:noWrap/>
            <w:vAlign w:val="center"/>
            <w:hideMark/>
          </w:tcPr>
          <w:p w14:paraId="795ED568" w14:textId="77777777" w:rsidR="00D50069" w:rsidRPr="00D50069" w:rsidRDefault="00D50069" w:rsidP="00D50069">
            <w:pPr>
              <w:spacing w:line="360" w:lineRule="auto"/>
              <w:jc w:val="right"/>
              <w:rPr>
                <w:color w:val="000000"/>
                <w:position w:val="0"/>
              </w:rPr>
            </w:pPr>
            <w:r w:rsidRPr="00D50069">
              <w:rPr>
                <w:color w:val="000000"/>
                <w:position w:val="0"/>
              </w:rPr>
              <w:t>1,05</w:t>
            </w:r>
          </w:p>
        </w:tc>
      </w:tr>
      <w:tr w:rsidR="00D50069" w:rsidRPr="00D50069" w14:paraId="4A0D14DF" w14:textId="77777777" w:rsidTr="00DE6875">
        <w:trPr>
          <w:trHeight w:val="325"/>
          <w:jc w:val="center"/>
        </w:trPr>
        <w:tc>
          <w:tcPr>
            <w:tcW w:w="2170" w:type="dxa"/>
            <w:tcBorders>
              <w:top w:val="nil"/>
              <w:left w:val="nil"/>
              <w:bottom w:val="single" w:sz="8" w:space="0" w:color="auto"/>
              <w:right w:val="nil"/>
            </w:tcBorders>
            <w:shd w:val="clear" w:color="auto" w:fill="auto"/>
            <w:noWrap/>
            <w:vAlign w:val="center"/>
            <w:hideMark/>
          </w:tcPr>
          <w:p w14:paraId="699A539F" w14:textId="77777777" w:rsidR="00D50069" w:rsidRPr="00D50069" w:rsidRDefault="00D50069" w:rsidP="00D50069">
            <w:pPr>
              <w:spacing w:line="360" w:lineRule="auto"/>
              <w:rPr>
                <w:b/>
                <w:bCs/>
                <w:color w:val="000000"/>
                <w:position w:val="0"/>
              </w:rPr>
            </w:pPr>
            <w:r w:rsidRPr="00D50069">
              <w:rPr>
                <w:b/>
                <w:bCs/>
                <w:color w:val="000000"/>
                <w:position w:val="0"/>
              </w:rPr>
              <w:t>Total</w:t>
            </w:r>
          </w:p>
        </w:tc>
        <w:tc>
          <w:tcPr>
            <w:tcW w:w="974" w:type="dxa"/>
            <w:tcBorders>
              <w:top w:val="nil"/>
              <w:left w:val="nil"/>
              <w:bottom w:val="single" w:sz="8" w:space="0" w:color="auto"/>
              <w:right w:val="nil"/>
            </w:tcBorders>
            <w:shd w:val="clear" w:color="auto" w:fill="auto"/>
            <w:noWrap/>
            <w:vAlign w:val="center"/>
            <w:hideMark/>
          </w:tcPr>
          <w:p w14:paraId="6086FBF0" w14:textId="77777777" w:rsidR="00D50069" w:rsidRPr="00D50069" w:rsidRDefault="00D50069" w:rsidP="00D50069">
            <w:pPr>
              <w:spacing w:line="360" w:lineRule="auto"/>
              <w:jc w:val="right"/>
              <w:rPr>
                <w:color w:val="000000"/>
                <w:position w:val="0"/>
              </w:rPr>
            </w:pPr>
            <w:r w:rsidRPr="00D50069">
              <w:rPr>
                <w:color w:val="000000"/>
                <w:position w:val="0"/>
              </w:rPr>
              <w:t>46</w:t>
            </w:r>
          </w:p>
        </w:tc>
        <w:tc>
          <w:tcPr>
            <w:tcW w:w="990" w:type="dxa"/>
            <w:tcBorders>
              <w:top w:val="nil"/>
              <w:left w:val="nil"/>
              <w:bottom w:val="single" w:sz="8" w:space="0" w:color="auto"/>
              <w:right w:val="nil"/>
            </w:tcBorders>
            <w:shd w:val="clear" w:color="auto" w:fill="auto"/>
            <w:noWrap/>
            <w:vAlign w:val="center"/>
            <w:hideMark/>
          </w:tcPr>
          <w:p w14:paraId="357C05B9" w14:textId="77777777" w:rsidR="00D50069" w:rsidRPr="00D50069" w:rsidRDefault="00D50069" w:rsidP="00D50069">
            <w:pPr>
              <w:spacing w:line="360" w:lineRule="auto"/>
              <w:jc w:val="right"/>
              <w:rPr>
                <w:color w:val="000000"/>
                <w:position w:val="0"/>
              </w:rPr>
            </w:pPr>
            <w:r w:rsidRPr="00D50069">
              <w:rPr>
                <w:color w:val="000000"/>
                <w:position w:val="0"/>
              </w:rPr>
              <w:t>47</w:t>
            </w:r>
          </w:p>
        </w:tc>
        <w:tc>
          <w:tcPr>
            <w:tcW w:w="1008" w:type="dxa"/>
            <w:tcBorders>
              <w:top w:val="nil"/>
              <w:left w:val="nil"/>
              <w:bottom w:val="single" w:sz="8" w:space="0" w:color="auto"/>
              <w:right w:val="nil"/>
            </w:tcBorders>
            <w:shd w:val="clear" w:color="auto" w:fill="auto"/>
            <w:noWrap/>
            <w:vAlign w:val="center"/>
            <w:hideMark/>
          </w:tcPr>
          <w:p w14:paraId="71F45462" w14:textId="77777777" w:rsidR="00D50069" w:rsidRPr="00D50069" w:rsidRDefault="00D50069" w:rsidP="00D50069">
            <w:pPr>
              <w:spacing w:line="360" w:lineRule="auto"/>
              <w:jc w:val="right"/>
              <w:rPr>
                <w:color w:val="000000"/>
                <w:position w:val="0"/>
              </w:rPr>
            </w:pPr>
            <w:r w:rsidRPr="00D50069">
              <w:rPr>
                <w:color w:val="000000"/>
                <w:position w:val="0"/>
              </w:rPr>
              <w:t>47</w:t>
            </w:r>
          </w:p>
        </w:tc>
        <w:tc>
          <w:tcPr>
            <w:tcW w:w="990" w:type="dxa"/>
            <w:tcBorders>
              <w:top w:val="nil"/>
              <w:left w:val="nil"/>
              <w:bottom w:val="single" w:sz="8" w:space="0" w:color="auto"/>
              <w:right w:val="nil"/>
            </w:tcBorders>
            <w:shd w:val="clear" w:color="auto" w:fill="auto"/>
            <w:noWrap/>
            <w:vAlign w:val="center"/>
            <w:hideMark/>
          </w:tcPr>
          <w:p w14:paraId="45562D0F" w14:textId="77777777" w:rsidR="00D50069" w:rsidRPr="00D50069" w:rsidRDefault="00D50069" w:rsidP="00D50069">
            <w:pPr>
              <w:spacing w:line="360" w:lineRule="auto"/>
              <w:jc w:val="right"/>
              <w:rPr>
                <w:color w:val="000000"/>
                <w:position w:val="0"/>
              </w:rPr>
            </w:pPr>
            <w:r w:rsidRPr="00D50069">
              <w:rPr>
                <w:color w:val="000000"/>
                <w:position w:val="0"/>
              </w:rPr>
              <w:t>46</w:t>
            </w:r>
          </w:p>
        </w:tc>
        <w:tc>
          <w:tcPr>
            <w:tcW w:w="1076" w:type="dxa"/>
            <w:tcBorders>
              <w:top w:val="nil"/>
              <w:left w:val="nil"/>
              <w:bottom w:val="single" w:sz="8" w:space="0" w:color="auto"/>
              <w:right w:val="nil"/>
            </w:tcBorders>
            <w:shd w:val="clear" w:color="auto" w:fill="auto"/>
            <w:noWrap/>
            <w:vAlign w:val="center"/>
            <w:hideMark/>
          </w:tcPr>
          <w:p w14:paraId="160B833A" w14:textId="77777777" w:rsidR="00D50069" w:rsidRPr="00D50069" w:rsidRDefault="00D50069" w:rsidP="00D50069">
            <w:pPr>
              <w:spacing w:line="360" w:lineRule="auto"/>
              <w:jc w:val="right"/>
              <w:rPr>
                <w:color w:val="000000"/>
                <w:position w:val="0"/>
              </w:rPr>
            </w:pPr>
            <w:r w:rsidRPr="00D50069">
              <w:rPr>
                <w:color w:val="000000"/>
                <w:position w:val="0"/>
              </w:rPr>
              <w:t>47</w:t>
            </w:r>
          </w:p>
        </w:tc>
        <w:tc>
          <w:tcPr>
            <w:tcW w:w="956" w:type="dxa"/>
            <w:tcBorders>
              <w:top w:val="nil"/>
              <w:left w:val="nil"/>
              <w:bottom w:val="single" w:sz="8" w:space="0" w:color="auto"/>
              <w:right w:val="nil"/>
            </w:tcBorders>
            <w:shd w:val="clear" w:color="auto" w:fill="auto"/>
            <w:noWrap/>
            <w:vAlign w:val="center"/>
            <w:hideMark/>
          </w:tcPr>
          <w:p w14:paraId="52B5F554" w14:textId="77777777" w:rsidR="00D50069" w:rsidRPr="00D50069" w:rsidRDefault="00D50069" w:rsidP="00D50069">
            <w:pPr>
              <w:spacing w:line="360" w:lineRule="auto"/>
              <w:jc w:val="right"/>
              <w:rPr>
                <w:color w:val="000000"/>
                <w:position w:val="0"/>
              </w:rPr>
            </w:pPr>
            <w:r w:rsidRPr="00D50069">
              <w:rPr>
                <w:color w:val="000000"/>
                <w:position w:val="0"/>
              </w:rPr>
              <w:t>47</w:t>
            </w:r>
          </w:p>
        </w:tc>
        <w:tc>
          <w:tcPr>
            <w:tcW w:w="974" w:type="dxa"/>
            <w:tcBorders>
              <w:top w:val="nil"/>
              <w:left w:val="nil"/>
              <w:bottom w:val="single" w:sz="8" w:space="0" w:color="auto"/>
              <w:right w:val="nil"/>
            </w:tcBorders>
            <w:shd w:val="clear" w:color="auto" w:fill="auto"/>
            <w:noWrap/>
            <w:vAlign w:val="center"/>
            <w:hideMark/>
          </w:tcPr>
          <w:p w14:paraId="29916644" w14:textId="77777777" w:rsidR="00D50069" w:rsidRPr="00D50069" w:rsidRDefault="00D50069" w:rsidP="00D50069">
            <w:pPr>
              <w:spacing w:line="360" w:lineRule="auto"/>
              <w:jc w:val="right"/>
              <w:rPr>
                <w:color w:val="000000"/>
                <w:position w:val="0"/>
              </w:rPr>
            </w:pPr>
            <w:r w:rsidRPr="00D50069">
              <w:rPr>
                <w:color w:val="000000"/>
                <w:position w:val="0"/>
              </w:rPr>
              <w:t>46</w:t>
            </w:r>
          </w:p>
        </w:tc>
      </w:tr>
    </w:tbl>
    <w:p w14:paraId="65B7C53B" w14:textId="77777777" w:rsidR="002748F7" w:rsidRDefault="00DE6875" w:rsidP="002748F7">
      <w:pPr>
        <w:spacing w:after="160" w:line="480" w:lineRule="auto"/>
        <w:jc w:val="both"/>
        <w:rPr>
          <w:rFonts w:eastAsia="Calibri"/>
          <w:kern w:val="2"/>
          <w:position w:val="0"/>
          <w14:ligatures w14:val="standardContextual"/>
        </w:rPr>
      </w:pPr>
      <w:r w:rsidRPr="00DE6875">
        <w:rPr>
          <w:rFonts w:eastAsia="Calibri"/>
          <w:b/>
          <w:bCs/>
          <w:kern w:val="2"/>
          <w:position w:val="0"/>
          <w14:ligatures w14:val="standardContextual"/>
        </w:rPr>
        <w:t>Note</w:t>
      </w:r>
      <w:bookmarkStart w:id="211" w:name="_Hlk200740290"/>
      <w:r w:rsidRPr="00DE6875">
        <w:rPr>
          <w:rFonts w:eastAsia="Calibri"/>
          <w:b/>
          <w:bCs/>
          <w:kern w:val="2"/>
          <w:position w:val="0"/>
          <w14:ligatures w14:val="standardContextual"/>
        </w:rPr>
        <w:t>:</w:t>
      </w:r>
      <w:r>
        <w:rPr>
          <w:rFonts w:eastAsia="Calibri"/>
          <w:kern w:val="2"/>
          <w:position w:val="0"/>
          <w14:ligatures w14:val="standardContextual"/>
        </w:rPr>
        <w:t xml:space="preserve"> </w:t>
      </w:r>
      <w:bookmarkEnd w:id="211"/>
      <w:r>
        <w:rPr>
          <w:rFonts w:eastAsia="Calibri"/>
          <w:kern w:val="2"/>
          <w:position w:val="0"/>
          <w14:ligatures w14:val="standardContextual"/>
        </w:rPr>
        <w:t>Q = Question</w:t>
      </w:r>
    </w:p>
    <w:p w14:paraId="5980AFDC" w14:textId="77777777" w:rsidR="00282895" w:rsidRDefault="00D1706C" w:rsidP="00282895">
      <w:pPr>
        <w:spacing w:after="160" w:line="480" w:lineRule="auto"/>
        <w:ind w:firstLine="567"/>
        <w:jc w:val="both"/>
        <w:rPr>
          <w:rFonts w:eastAsia="Calibri"/>
          <w:kern w:val="2"/>
          <w:position w:val="0"/>
          <w14:ligatures w14:val="standardContextual"/>
        </w:rPr>
      </w:pPr>
      <w:r w:rsidRPr="00D50069">
        <w:rPr>
          <w:rFonts w:eastAsia="Calibri"/>
          <w:kern w:val="2"/>
          <w:position w:val="0"/>
          <w14:ligatures w14:val="standardContextual"/>
        </w:rPr>
        <w:t xml:space="preserve">The </w:t>
      </w:r>
      <w:r w:rsidRPr="00D50069">
        <w:rPr>
          <w:rFonts w:eastAsia="Calibri"/>
          <w:b/>
          <w:bCs/>
          <w:kern w:val="2"/>
          <w:position w:val="0"/>
          <w14:ligatures w14:val="standardContextual"/>
        </w:rPr>
        <w:t xml:space="preserve">mean </w:t>
      </w:r>
      <w:r w:rsidRPr="00D50069">
        <w:rPr>
          <w:rFonts w:eastAsia="Calibri"/>
          <w:kern w:val="2"/>
          <w:position w:val="0"/>
          <w14:ligatures w14:val="standardContextual"/>
        </w:rPr>
        <w:t xml:space="preserve">value, which represents the average of the overall respondents’ perceptions regarding the efficacy of OTCs, is around “4” across the entire data set. It indicates a moderate overall response. The </w:t>
      </w:r>
      <w:r w:rsidRPr="00D50069">
        <w:rPr>
          <w:rFonts w:eastAsia="Calibri"/>
          <w:b/>
          <w:bCs/>
          <w:kern w:val="2"/>
          <w:position w:val="0"/>
          <w14:ligatures w14:val="standardContextual"/>
        </w:rPr>
        <w:t>median</w:t>
      </w:r>
      <w:r w:rsidRPr="00D50069">
        <w:rPr>
          <w:rFonts w:eastAsia="Calibri"/>
          <w:kern w:val="2"/>
          <w:position w:val="0"/>
          <w14:ligatures w14:val="standardContextual"/>
        </w:rPr>
        <w:t xml:space="preserve"> of </w:t>
      </w:r>
      <w:bookmarkStart w:id="212" w:name="_Hlk198528945"/>
      <w:r w:rsidRPr="00D50069">
        <w:rPr>
          <w:rFonts w:eastAsia="Calibri"/>
          <w:kern w:val="2"/>
          <w:position w:val="0"/>
          <w14:ligatures w14:val="standardContextual"/>
        </w:rPr>
        <w:t>“5”</w:t>
      </w:r>
      <w:bookmarkEnd w:id="212"/>
      <w:r w:rsidRPr="00D50069">
        <w:rPr>
          <w:rFonts w:eastAsia="Calibri"/>
          <w:kern w:val="2"/>
          <w:position w:val="0"/>
          <w14:ligatures w14:val="standardContextual"/>
        </w:rPr>
        <w:t xml:space="preserve">, representing the midpoint of distribution, </w:t>
      </w:r>
      <w:proofErr w:type="gramStart"/>
      <w:r w:rsidRPr="00D50069">
        <w:rPr>
          <w:rFonts w:eastAsia="Calibri"/>
          <w:kern w:val="2"/>
          <w:position w:val="0"/>
          <w14:ligatures w14:val="standardContextual"/>
        </w:rPr>
        <w:t>is closely aligned</w:t>
      </w:r>
      <w:proofErr w:type="gramEnd"/>
      <w:r w:rsidRPr="00D50069">
        <w:rPr>
          <w:rFonts w:eastAsia="Calibri"/>
          <w:kern w:val="2"/>
          <w:position w:val="0"/>
          <w14:ligatures w14:val="standardContextual"/>
        </w:rPr>
        <w:t xml:space="preserve"> with the mean. This indicates a relatively symmetrical distribution of valued agreement level. Further, the </w:t>
      </w:r>
      <w:r w:rsidRPr="00D50069">
        <w:rPr>
          <w:rFonts w:eastAsia="Calibri"/>
          <w:b/>
          <w:bCs/>
          <w:kern w:val="2"/>
          <w:position w:val="0"/>
          <w14:ligatures w14:val="standardContextual"/>
        </w:rPr>
        <w:t>mode</w:t>
      </w:r>
      <w:r w:rsidRPr="00D50069">
        <w:rPr>
          <w:rFonts w:eastAsia="Calibri"/>
          <w:kern w:val="2"/>
          <w:position w:val="0"/>
          <w14:ligatures w14:val="standardContextual"/>
        </w:rPr>
        <w:t xml:space="preserve"> of “5” is the most frequently occurring value among participants, reflecting a convergence of teacher opinions. The relatively low </w:t>
      </w:r>
      <w:r w:rsidRPr="00D50069">
        <w:rPr>
          <w:rFonts w:eastAsia="Calibri"/>
          <w:b/>
          <w:bCs/>
          <w:kern w:val="2"/>
          <w:position w:val="0"/>
          <w14:ligatures w14:val="standardContextual"/>
        </w:rPr>
        <w:t xml:space="preserve">standard deviation, </w:t>
      </w:r>
      <w:r w:rsidRPr="00D50069">
        <w:rPr>
          <w:rFonts w:eastAsia="Calibri"/>
          <w:kern w:val="2"/>
          <w:position w:val="0"/>
          <w14:ligatures w14:val="standardContextual"/>
        </w:rPr>
        <w:t>ranging from 0</w:t>
      </w:r>
      <w:proofErr w:type="gramStart"/>
      <w:r w:rsidRPr="00D50069">
        <w:rPr>
          <w:rFonts w:eastAsia="Calibri"/>
          <w:kern w:val="2"/>
          <w:position w:val="0"/>
          <w14:ligatures w14:val="standardContextual"/>
        </w:rPr>
        <w:t>,70</w:t>
      </w:r>
      <w:proofErr w:type="gramEnd"/>
      <w:r w:rsidRPr="00D50069">
        <w:rPr>
          <w:rFonts w:eastAsia="Calibri"/>
          <w:kern w:val="2"/>
          <w:position w:val="0"/>
          <w14:ligatures w14:val="standardContextual"/>
        </w:rPr>
        <w:t xml:space="preserve"> to 1,05, suggests a moderate variability, indicating that while most responses are clustered around the mean level of agreement, there is some spread pointing to minor differing individual experiences or attitudes.</w:t>
      </w:r>
    </w:p>
    <w:p w14:paraId="72E68481" w14:textId="19D9F45F" w:rsidR="00D50069" w:rsidRPr="00D50069" w:rsidRDefault="00D1706C" w:rsidP="00282895">
      <w:pPr>
        <w:spacing w:after="160" w:line="480" w:lineRule="auto"/>
        <w:ind w:firstLine="567"/>
        <w:jc w:val="both"/>
        <w:rPr>
          <w:rFonts w:eastAsia="Calibri"/>
          <w:kern w:val="2"/>
          <w:position w:val="0"/>
          <w14:ligatures w14:val="standardContextual"/>
        </w:rPr>
      </w:pPr>
      <w:r w:rsidRPr="00D50069">
        <w:rPr>
          <w:rFonts w:eastAsia="Calibri"/>
          <w:kern w:val="2"/>
          <w:position w:val="0"/>
          <w14:ligatures w14:val="standardContextual"/>
        </w:rPr>
        <w:t xml:space="preserve"> In essence, the findings aid educators, decision makers and stakeholders identify both strengths in current practices and areas where teachers need further support or professional development. Thus, educational policies can be informed referring to such real-world insights</w:t>
      </w:r>
    </w:p>
    <w:p w14:paraId="10762C5F" w14:textId="77777777" w:rsidR="00D50069" w:rsidRPr="00D50069" w:rsidRDefault="00D50069" w:rsidP="00D50069">
      <w:pPr>
        <w:keepNext/>
        <w:spacing w:after="160" w:line="480" w:lineRule="auto"/>
        <w:rPr>
          <w:rFonts w:ascii="Calibri" w:eastAsia="Calibri" w:hAnsi="Calibri" w:cs="Arial"/>
          <w:kern w:val="2"/>
          <w:position w:val="0"/>
          <w:sz w:val="22"/>
          <w:szCs w:val="22"/>
          <w14:ligatures w14:val="standardContextual"/>
        </w:rPr>
      </w:pPr>
      <w:r w:rsidRPr="00D50069">
        <w:rPr>
          <w:rFonts w:ascii="Calibri" w:eastAsia="Calibri" w:hAnsi="Calibri" w:cs="Arial"/>
          <w:noProof/>
          <w:kern w:val="2"/>
          <w:position w:val="0"/>
          <w:sz w:val="22"/>
          <w:szCs w:val="22"/>
          <w:lang w:val="fr-FR" w:eastAsia="fr-FR"/>
          <w14:ligatures w14:val="standardContextual"/>
        </w:rPr>
        <w:lastRenderedPageBreak/>
        <w:drawing>
          <wp:inline distT="0" distB="0" distL="0" distR="0" wp14:anchorId="2F9E418C" wp14:editId="376169C1">
            <wp:extent cx="4572000" cy="2743200"/>
            <wp:effectExtent l="0" t="0" r="0" b="0"/>
            <wp:docPr id="346206442" name="Chart 1">
              <a:extLst xmlns:a="http://schemas.openxmlformats.org/drawingml/2006/main">
                <a:ext uri="{FF2B5EF4-FFF2-40B4-BE49-F238E27FC236}">
                  <a16:creationId xmlns:a16="http://schemas.microsoft.com/office/drawing/2014/main"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BA9C5B28-A6DA-3411-CEC4-07BFC16F613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14:paraId="2090F462" w14:textId="48289910" w:rsidR="00D50069" w:rsidRPr="00282895" w:rsidRDefault="00D50069" w:rsidP="00D50069">
      <w:pPr>
        <w:spacing w:after="200" w:line="480" w:lineRule="auto"/>
        <w:rPr>
          <w:rFonts w:eastAsia="Calibri"/>
          <w:b/>
          <w:bCs/>
          <w:kern w:val="2"/>
          <w:position w:val="0"/>
          <w:sz w:val="36"/>
          <w:szCs w:val="36"/>
          <w14:ligatures w14:val="standardContextual"/>
        </w:rPr>
      </w:pPr>
      <w:bookmarkStart w:id="213" w:name="_Toc199695823"/>
      <w:r w:rsidRPr="00D50069">
        <w:rPr>
          <w:rFonts w:eastAsia="Calibri"/>
          <w:b/>
          <w:bCs/>
          <w:kern w:val="2"/>
          <w:position w:val="0"/>
          <w14:ligatures w14:val="standardContextual"/>
        </w:rPr>
        <w:t xml:space="preserve">Graph </w:t>
      </w:r>
      <w:r w:rsidRPr="00D50069">
        <w:rPr>
          <w:rFonts w:eastAsia="Calibri"/>
          <w:b/>
          <w:bCs/>
          <w:kern w:val="2"/>
          <w:position w:val="0"/>
          <w14:ligatures w14:val="standardContextual"/>
        </w:rPr>
        <w:fldChar w:fldCharType="begin"/>
      </w:r>
      <w:r w:rsidRPr="00D50069">
        <w:rPr>
          <w:rFonts w:eastAsia="Calibri"/>
          <w:b/>
          <w:bCs/>
          <w:kern w:val="2"/>
          <w:position w:val="0"/>
          <w14:ligatures w14:val="standardContextual"/>
        </w:rPr>
        <w:instrText xml:space="preserve"> SEQ Graph \* ARABIC </w:instrText>
      </w:r>
      <w:r w:rsidRPr="00D50069">
        <w:rPr>
          <w:rFonts w:eastAsia="Calibri"/>
          <w:b/>
          <w:bCs/>
          <w:kern w:val="2"/>
          <w:position w:val="0"/>
          <w14:ligatures w14:val="standardContextual"/>
        </w:rPr>
        <w:fldChar w:fldCharType="separate"/>
      </w:r>
      <w:r w:rsidR="00DC3231">
        <w:rPr>
          <w:rFonts w:eastAsia="Calibri"/>
          <w:b/>
          <w:bCs/>
          <w:noProof/>
          <w:kern w:val="2"/>
          <w:position w:val="0"/>
          <w14:ligatures w14:val="standardContextual"/>
        </w:rPr>
        <w:t>8</w:t>
      </w:r>
      <w:r w:rsidRPr="00D50069">
        <w:rPr>
          <w:rFonts w:eastAsia="Calibri"/>
          <w:b/>
          <w:bCs/>
          <w:kern w:val="2"/>
          <w:position w:val="0"/>
          <w14:ligatures w14:val="standardContextual"/>
        </w:rPr>
        <w:fldChar w:fldCharType="end"/>
      </w:r>
      <w:r w:rsidRPr="00D50069">
        <w:rPr>
          <w:rFonts w:eastAsia="Calibri"/>
          <w:b/>
          <w:bCs/>
          <w:i/>
          <w:iCs/>
          <w:kern w:val="2"/>
          <w:position w:val="0"/>
          <w14:ligatures w14:val="standardContextual"/>
        </w:rPr>
        <w:t xml:space="preserve"> </w:t>
      </w:r>
      <w:r w:rsidRPr="00282895">
        <w:rPr>
          <w:rFonts w:eastAsia="Calibri"/>
          <w:kern w:val="2"/>
          <w:position w:val="0"/>
          <w14:ligatures w14:val="standardContextual"/>
        </w:rPr>
        <w:t>Measures of Central Tendency and Dispersion Summary</w:t>
      </w:r>
      <w:bookmarkEnd w:id="213"/>
    </w:p>
    <w:p w14:paraId="73FC0C18" w14:textId="7C88CDAD" w:rsidR="00D50069" w:rsidRPr="00D50069" w:rsidRDefault="00D50069" w:rsidP="00AA5DBF">
      <w:pPr>
        <w:pStyle w:val="Titre1"/>
        <w:rPr>
          <w:rFonts w:eastAsia="Calibri"/>
        </w:rPr>
      </w:pPr>
      <w:bookmarkStart w:id="214" w:name="_Toc200486083"/>
      <w:r w:rsidRPr="00D50069">
        <w:rPr>
          <w:rFonts w:eastAsia="Calibri"/>
        </w:rPr>
        <w:t>Usefulness, Frequency and Effectiveness of OTCs</w:t>
      </w:r>
      <w:bookmarkEnd w:id="214"/>
    </w:p>
    <w:p w14:paraId="467F9DFB" w14:textId="77777777" w:rsidR="002D325D" w:rsidRDefault="007F069C" w:rsidP="002D325D">
      <w:pPr>
        <w:spacing w:after="160" w:line="480" w:lineRule="auto"/>
        <w:ind w:firstLine="567"/>
        <w:jc w:val="both"/>
        <w:rPr>
          <w:rFonts w:eastAsia="Calibri"/>
          <w:kern w:val="2"/>
          <w:position w:val="0"/>
          <w14:ligatures w14:val="standardContextual"/>
        </w:rPr>
      </w:pPr>
      <w:r>
        <w:rPr>
          <w:rFonts w:eastAsia="Calibri"/>
          <w:b/>
          <w:bCs/>
          <w:kern w:val="2"/>
          <w:position w:val="0"/>
          <w14:ligatures w14:val="standardContextual"/>
        </w:rPr>
        <w:t xml:space="preserve"> </w:t>
      </w:r>
      <w:r w:rsidR="00D50069" w:rsidRPr="00D50069">
        <w:rPr>
          <w:rFonts w:eastAsia="Calibri"/>
          <w:b/>
          <w:bCs/>
          <w:kern w:val="2"/>
          <w:position w:val="0"/>
          <w14:ligatures w14:val="standardContextual"/>
        </w:rPr>
        <w:t>Graph 09</w:t>
      </w:r>
      <w:r w:rsidR="00D50069" w:rsidRPr="00D50069">
        <w:rPr>
          <w:rFonts w:eastAsia="Calibri"/>
          <w:kern w:val="2"/>
          <w:position w:val="0"/>
          <w14:ligatures w14:val="standardContextual"/>
        </w:rPr>
        <w:t xml:space="preserve"> and </w:t>
      </w:r>
      <w:r w:rsidR="00D50069" w:rsidRPr="00D50069">
        <w:rPr>
          <w:rFonts w:eastAsia="Calibri"/>
          <w:b/>
          <w:bCs/>
          <w:kern w:val="2"/>
          <w:position w:val="0"/>
          <w14:ligatures w14:val="standardContextual"/>
        </w:rPr>
        <w:t>Table 1</w:t>
      </w:r>
      <w:r w:rsidR="00C720D4">
        <w:rPr>
          <w:rFonts w:eastAsia="Calibri"/>
          <w:b/>
          <w:bCs/>
          <w:kern w:val="2"/>
          <w:position w:val="0"/>
          <w14:ligatures w14:val="standardContextual"/>
        </w:rPr>
        <w:t>1</w:t>
      </w:r>
      <w:r w:rsidR="00D50069" w:rsidRPr="00D50069">
        <w:rPr>
          <w:rFonts w:eastAsia="Calibri"/>
          <w:kern w:val="2"/>
          <w:position w:val="0"/>
          <w14:ligatures w14:val="standardContextual"/>
        </w:rPr>
        <w:t xml:space="preserve"> below illustrates respondents’ perceptions regarding the usefulness of online resources in raising their awareness of valid assessment tools. The data indicates that the majority of participants </w:t>
      </w:r>
      <w:bookmarkStart w:id="215" w:name="_Hlk198590410"/>
      <w:r w:rsidR="00D50069" w:rsidRPr="00D50069">
        <w:rPr>
          <w:rFonts w:eastAsia="Calibri"/>
          <w:kern w:val="2"/>
          <w:position w:val="0"/>
          <w14:ligatures w14:val="standardContextual"/>
        </w:rPr>
        <w:t xml:space="preserve">(60 %) </w:t>
      </w:r>
      <w:bookmarkEnd w:id="215"/>
      <w:r w:rsidR="00D50069" w:rsidRPr="00D50069">
        <w:rPr>
          <w:rFonts w:eastAsia="Calibri"/>
          <w:kern w:val="2"/>
          <w:position w:val="0"/>
          <w14:ligatures w14:val="standardContextual"/>
        </w:rPr>
        <w:t xml:space="preserve">considered OTCs to be </w:t>
      </w:r>
      <w:r w:rsidR="00D50069" w:rsidRPr="00D50069">
        <w:rPr>
          <w:rFonts w:eastAsia="Calibri"/>
          <w:b/>
          <w:bCs/>
          <w:kern w:val="2"/>
          <w:position w:val="0"/>
          <w14:ligatures w14:val="standardContextual"/>
        </w:rPr>
        <w:t>“very useful”</w:t>
      </w:r>
      <w:r w:rsidR="00D50069" w:rsidRPr="00D50069">
        <w:rPr>
          <w:rFonts w:eastAsia="Calibri"/>
          <w:kern w:val="2"/>
          <w:position w:val="0"/>
          <w14:ligatures w14:val="standardContextual"/>
        </w:rPr>
        <w:t>, while a significant proportion (</w:t>
      </w:r>
      <w:bookmarkStart w:id="216" w:name="_Hlk198588662"/>
      <w:r w:rsidR="00D50069" w:rsidRPr="00D50069">
        <w:rPr>
          <w:rFonts w:eastAsia="Calibri"/>
          <w:kern w:val="2"/>
          <w:position w:val="0"/>
          <w14:ligatures w14:val="standardContextual"/>
        </w:rPr>
        <w:t>36 %</w:t>
      </w:r>
      <w:bookmarkEnd w:id="216"/>
      <w:r w:rsidR="00D50069" w:rsidRPr="00D50069">
        <w:rPr>
          <w:rFonts w:eastAsia="Calibri"/>
          <w:kern w:val="2"/>
          <w:position w:val="0"/>
          <w14:ligatures w14:val="standardContextual"/>
        </w:rPr>
        <w:t xml:space="preserve">) rated them as </w:t>
      </w:r>
      <w:r w:rsidR="00D50069" w:rsidRPr="00D50069">
        <w:rPr>
          <w:rFonts w:eastAsia="Calibri"/>
          <w:b/>
          <w:bCs/>
          <w:kern w:val="2"/>
          <w:position w:val="0"/>
          <w14:ligatures w14:val="standardContextual"/>
        </w:rPr>
        <w:t>“moderately useful”</w:t>
      </w:r>
      <w:r w:rsidR="00D50069" w:rsidRPr="00D50069">
        <w:rPr>
          <w:rFonts w:eastAsia="Calibri"/>
          <w:kern w:val="2"/>
          <w:position w:val="0"/>
          <w14:ligatures w14:val="standardContextual"/>
        </w:rPr>
        <w:t xml:space="preserve"> for introducing effective and reliable assessment instruments to teachers. A small minority (4 %) perceived it as “</w:t>
      </w:r>
      <w:r w:rsidR="00D50069" w:rsidRPr="00D50069">
        <w:rPr>
          <w:rFonts w:eastAsia="Calibri"/>
          <w:b/>
          <w:bCs/>
          <w:kern w:val="2"/>
          <w:position w:val="0"/>
          <w14:ligatures w14:val="standardContextual"/>
        </w:rPr>
        <w:t>slightly useful”</w:t>
      </w:r>
      <w:r w:rsidR="00D50069" w:rsidRPr="00D50069">
        <w:rPr>
          <w:rFonts w:eastAsia="Calibri"/>
          <w:kern w:val="2"/>
          <w:position w:val="0"/>
          <w14:ligatures w14:val="standardContextual"/>
        </w:rPr>
        <w:t>. Notably, no participants rated online resources as either “</w:t>
      </w:r>
      <w:r w:rsidR="00D50069" w:rsidRPr="00D50069">
        <w:rPr>
          <w:rFonts w:eastAsia="Calibri"/>
          <w:b/>
          <w:bCs/>
          <w:kern w:val="2"/>
          <w:position w:val="0"/>
          <w14:ligatures w14:val="standardContextual"/>
        </w:rPr>
        <w:t>not useful at all”</w:t>
      </w:r>
      <w:r w:rsidR="00D50069" w:rsidRPr="00D50069">
        <w:rPr>
          <w:rFonts w:eastAsia="Calibri"/>
          <w:kern w:val="2"/>
          <w:position w:val="0"/>
          <w14:ligatures w14:val="standardContextual"/>
        </w:rPr>
        <w:t xml:space="preserve"> or “</w:t>
      </w:r>
      <w:r w:rsidR="00D50069" w:rsidRPr="00D50069">
        <w:rPr>
          <w:rFonts w:eastAsia="Calibri"/>
          <w:b/>
          <w:bCs/>
          <w:kern w:val="2"/>
          <w:position w:val="0"/>
          <w14:ligatures w14:val="standardContextual"/>
        </w:rPr>
        <w:t>extremely useful”</w:t>
      </w:r>
      <w:r w:rsidR="00D50069" w:rsidRPr="00D50069">
        <w:rPr>
          <w:rFonts w:eastAsia="Calibri"/>
          <w:kern w:val="2"/>
          <w:position w:val="0"/>
          <w14:ligatures w14:val="standardContextual"/>
        </w:rPr>
        <w:t>. Both categories received 0 %.</w:t>
      </w:r>
    </w:p>
    <w:p w14:paraId="038358CA" w14:textId="72EB433E" w:rsidR="00104E0F" w:rsidRPr="002D325D" w:rsidRDefault="00D50069" w:rsidP="002D325D">
      <w:pPr>
        <w:spacing w:after="160" w:line="480" w:lineRule="auto"/>
        <w:ind w:firstLine="567"/>
        <w:jc w:val="both"/>
        <w:rPr>
          <w:rFonts w:eastAsia="Calibri"/>
          <w:kern w:val="2"/>
          <w:position w:val="0"/>
          <w14:ligatures w14:val="standardContextual"/>
        </w:rPr>
      </w:pPr>
      <w:r w:rsidRPr="00D50069">
        <w:rPr>
          <w:rFonts w:eastAsia="Calibri"/>
          <w:b/>
          <w:bCs/>
          <w:i/>
          <w:iCs/>
          <w:color w:val="44546A"/>
          <w:kern w:val="2"/>
          <w:position w:val="0"/>
          <w14:ligatures w14:val="standardContextual"/>
        </w:rPr>
        <w:t xml:space="preserve"> </w:t>
      </w:r>
      <w:r w:rsidRPr="00D50069">
        <w:rPr>
          <w:rFonts w:eastAsia="Calibri"/>
          <w:kern w:val="2"/>
          <w:position w:val="0"/>
          <w14:ligatures w14:val="standardContextual"/>
        </w:rPr>
        <w:t>These findings reveal an overall positive attitude towards OTCs, with greater acknowledgement of their considerable value. The absence of responses at the extreme ends of the scale indicates a consensus around moderate to high usefulness of online teacher learning communities.</w:t>
      </w:r>
      <w:r w:rsidRPr="00D50069">
        <w:rPr>
          <w:rFonts w:ascii="Calibri" w:eastAsia="Calibri" w:hAnsi="Calibri" w:cs="Arial"/>
          <w:kern w:val="2"/>
          <w:position w:val="0"/>
          <w:sz w:val="22"/>
          <w:szCs w:val="22"/>
          <w14:ligatures w14:val="standardContextual"/>
        </w:rPr>
        <w:t xml:space="preserve"> </w:t>
      </w:r>
    </w:p>
    <w:p w14:paraId="774785C7" w14:textId="77777777" w:rsidR="00104E0F" w:rsidRPr="00D50069" w:rsidRDefault="00104E0F" w:rsidP="00104E0F">
      <w:pPr>
        <w:spacing w:after="200" w:line="480" w:lineRule="auto"/>
        <w:jc w:val="both"/>
        <w:rPr>
          <w:rFonts w:eastAsia="Calibri"/>
          <w:i/>
          <w:iCs/>
          <w:kern w:val="2"/>
          <w:position w:val="0"/>
          <w14:ligatures w14:val="standardContextual"/>
        </w:rPr>
      </w:pPr>
    </w:p>
    <w:p w14:paraId="2C790B40" w14:textId="66F02705" w:rsidR="002D325D" w:rsidRDefault="00104E0F" w:rsidP="00104E0F">
      <w:pPr>
        <w:pStyle w:val="Lgende"/>
        <w:keepNext/>
        <w:rPr>
          <w:rFonts w:asciiTheme="majorBidi" w:hAnsiTheme="majorBidi" w:cstheme="majorBidi"/>
          <w:color w:val="auto"/>
          <w:sz w:val="24"/>
          <w:szCs w:val="24"/>
        </w:rPr>
      </w:pPr>
      <w:bookmarkStart w:id="217" w:name="_Toc200446659"/>
      <w:r w:rsidRPr="00104E0F">
        <w:rPr>
          <w:rFonts w:asciiTheme="majorBidi" w:hAnsiTheme="majorBidi" w:cstheme="majorBidi"/>
          <w:b/>
          <w:bCs/>
          <w:i w:val="0"/>
          <w:iCs w:val="0"/>
          <w:color w:val="auto"/>
          <w:sz w:val="24"/>
          <w:szCs w:val="24"/>
        </w:rPr>
        <w:lastRenderedPageBreak/>
        <w:t xml:space="preserve">Table </w:t>
      </w:r>
      <w:r w:rsidRPr="00104E0F">
        <w:rPr>
          <w:rFonts w:asciiTheme="majorBidi" w:hAnsiTheme="majorBidi" w:cstheme="majorBidi"/>
          <w:b/>
          <w:bCs/>
          <w:i w:val="0"/>
          <w:iCs w:val="0"/>
          <w:color w:val="auto"/>
          <w:sz w:val="24"/>
          <w:szCs w:val="24"/>
        </w:rPr>
        <w:fldChar w:fldCharType="begin"/>
      </w:r>
      <w:r w:rsidRPr="00104E0F">
        <w:rPr>
          <w:rFonts w:asciiTheme="majorBidi" w:hAnsiTheme="majorBidi" w:cstheme="majorBidi"/>
          <w:b/>
          <w:bCs/>
          <w:i w:val="0"/>
          <w:iCs w:val="0"/>
          <w:color w:val="auto"/>
          <w:sz w:val="24"/>
          <w:szCs w:val="24"/>
        </w:rPr>
        <w:instrText xml:space="preserve"> SEQ Table \* ARABIC </w:instrText>
      </w:r>
      <w:r w:rsidRPr="00104E0F">
        <w:rPr>
          <w:rFonts w:asciiTheme="majorBidi" w:hAnsiTheme="majorBidi" w:cstheme="majorBidi"/>
          <w:b/>
          <w:bCs/>
          <w:i w:val="0"/>
          <w:iCs w:val="0"/>
          <w:color w:val="auto"/>
          <w:sz w:val="24"/>
          <w:szCs w:val="24"/>
        </w:rPr>
        <w:fldChar w:fldCharType="separate"/>
      </w:r>
      <w:r w:rsidR="00DC3231">
        <w:rPr>
          <w:rFonts w:asciiTheme="majorBidi" w:hAnsiTheme="majorBidi" w:cstheme="majorBidi"/>
          <w:b/>
          <w:bCs/>
          <w:i w:val="0"/>
          <w:iCs w:val="0"/>
          <w:noProof/>
          <w:color w:val="auto"/>
          <w:sz w:val="24"/>
          <w:szCs w:val="24"/>
        </w:rPr>
        <w:t>11</w:t>
      </w:r>
      <w:r w:rsidRPr="00104E0F">
        <w:rPr>
          <w:rFonts w:asciiTheme="majorBidi" w:hAnsiTheme="majorBidi" w:cstheme="majorBidi"/>
          <w:b/>
          <w:bCs/>
          <w:i w:val="0"/>
          <w:iCs w:val="0"/>
          <w:color w:val="auto"/>
          <w:sz w:val="24"/>
          <w:szCs w:val="24"/>
        </w:rPr>
        <w:fldChar w:fldCharType="end"/>
      </w:r>
      <w:r w:rsidRPr="00104E0F">
        <w:rPr>
          <w:rFonts w:asciiTheme="majorBidi" w:hAnsiTheme="majorBidi" w:cstheme="majorBidi"/>
          <w:color w:val="auto"/>
          <w:sz w:val="24"/>
          <w:szCs w:val="24"/>
        </w:rPr>
        <w:t xml:space="preserve"> </w:t>
      </w:r>
    </w:p>
    <w:p w14:paraId="74551DBD" w14:textId="28DC74C9" w:rsidR="00104E0F" w:rsidRPr="00104E0F" w:rsidRDefault="00104E0F" w:rsidP="00104E0F">
      <w:pPr>
        <w:pStyle w:val="Lgende"/>
        <w:keepNext/>
        <w:rPr>
          <w:rFonts w:asciiTheme="majorBidi" w:hAnsiTheme="majorBidi" w:cstheme="majorBidi"/>
          <w:color w:val="auto"/>
          <w:sz w:val="24"/>
          <w:szCs w:val="24"/>
        </w:rPr>
      </w:pPr>
      <w:r w:rsidRPr="002D325D">
        <w:rPr>
          <w:rFonts w:asciiTheme="majorBidi" w:hAnsiTheme="majorBidi" w:cstheme="majorBidi"/>
          <w:i w:val="0"/>
          <w:iCs w:val="0"/>
          <w:color w:val="auto"/>
          <w:sz w:val="24"/>
          <w:szCs w:val="24"/>
        </w:rPr>
        <w:t>Summary of Respondents Perceptions about OTCs Usefulness</w:t>
      </w:r>
      <w:bookmarkEnd w:id="217"/>
    </w:p>
    <w:tbl>
      <w:tblPr>
        <w:tblW w:w="6059" w:type="dxa"/>
        <w:tblLook w:val="04A0" w:firstRow="1" w:lastRow="0" w:firstColumn="1" w:lastColumn="0" w:noHBand="0" w:noVBand="1"/>
      </w:tblPr>
      <w:tblGrid>
        <w:gridCol w:w="2689"/>
        <w:gridCol w:w="1617"/>
        <w:gridCol w:w="1753"/>
      </w:tblGrid>
      <w:tr w:rsidR="00D50069" w:rsidRPr="00D50069" w14:paraId="3C19238B" w14:textId="77777777" w:rsidTr="00C141A1">
        <w:trPr>
          <w:trHeight w:val="321"/>
        </w:trPr>
        <w:tc>
          <w:tcPr>
            <w:tcW w:w="2689" w:type="dxa"/>
            <w:tcBorders>
              <w:top w:val="single" w:sz="4" w:space="0" w:color="000000"/>
              <w:left w:val="nil"/>
              <w:bottom w:val="single" w:sz="4" w:space="0" w:color="000000"/>
              <w:right w:val="nil"/>
            </w:tcBorders>
            <w:shd w:val="clear" w:color="auto" w:fill="auto"/>
            <w:noWrap/>
            <w:vAlign w:val="bottom"/>
            <w:hideMark/>
          </w:tcPr>
          <w:p w14:paraId="2C8913D8" w14:textId="77777777" w:rsidR="00D50069" w:rsidRPr="00D50069" w:rsidRDefault="00D50069" w:rsidP="00D50069">
            <w:pPr>
              <w:spacing w:line="480" w:lineRule="auto"/>
              <w:rPr>
                <w:b/>
                <w:bCs/>
                <w:color w:val="000000"/>
                <w:position w:val="0"/>
              </w:rPr>
            </w:pPr>
          </w:p>
        </w:tc>
        <w:tc>
          <w:tcPr>
            <w:tcW w:w="1617" w:type="dxa"/>
            <w:tcBorders>
              <w:top w:val="single" w:sz="4" w:space="0" w:color="000000"/>
              <w:left w:val="nil"/>
              <w:bottom w:val="single" w:sz="4" w:space="0" w:color="000000"/>
              <w:right w:val="nil"/>
            </w:tcBorders>
            <w:shd w:val="clear" w:color="auto" w:fill="auto"/>
            <w:noWrap/>
            <w:vAlign w:val="bottom"/>
            <w:hideMark/>
          </w:tcPr>
          <w:p w14:paraId="21CB0217" w14:textId="77777777" w:rsidR="00D50069" w:rsidRPr="00D50069" w:rsidRDefault="00D50069" w:rsidP="00D50069">
            <w:pPr>
              <w:spacing w:line="480" w:lineRule="auto"/>
              <w:jc w:val="center"/>
              <w:rPr>
                <w:b/>
                <w:bCs/>
                <w:color w:val="000000"/>
                <w:position w:val="0"/>
              </w:rPr>
            </w:pPr>
            <w:r w:rsidRPr="00D50069">
              <w:rPr>
                <w:b/>
                <w:bCs/>
                <w:color w:val="000000"/>
                <w:position w:val="0"/>
              </w:rPr>
              <w:t>Frequency</w:t>
            </w:r>
          </w:p>
        </w:tc>
        <w:tc>
          <w:tcPr>
            <w:tcW w:w="1753" w:type="dxa"/>
            <w:tcBorders>
              <w:top w:val="single" w:sz="4" w:space="0" w:color="000000"/>
              <w:left w:val="nil"/>
              <w:bottom w:val="single" w:sz="4" w:space="0" w:color="000000"/>
              <w:right w:val="nil"/>
            </w:tcBorders>
            <w:shd w:val="clear" w:color="auto" w:fill="auto"/>
            <w:noWrap/>
            <w:vAlign w:val="bottom"/>
            <w:hideMark/>
          </w:tcPr>
          <w:p w14:paraId="041BDDD0" w14:textId="77777777" w:rsidR="00D50069" w:rsidRPr="00D50069" w:rsidRDefault="00D50069" w:rsidP="00D50069">
            <w:pPr>
              <w:spacing w:line="480" w:lineRule="auto"/>
              <w:jc w:val="center"/>
              <w:rPr>
                <w:b/>
                <w:bCs/>
                <w:color w:val="000000"/>
                <w:position w:val="0"/>
              </w:rPr>
            </w:pPr>
            <w:r w:rsidRPr="00D50069">
              <w:rPr>
                <w:b/>
                <w:bCs/>
                <w:color w:val="000000"/>
                <w:position w:val="0"/>
              </w:rPr>
              <w:t>Percentage</w:t>
            </w:r>
          </w:p>
        </w:tc>
      </w:tr>
      <w:tr w:rsidR="00D50069" w:rsidRPr="00D50069" w14:paraId="38878AB9" w14:textId="77777777" w:rsidTr="00C141A1">
        <w:trPr>
          <w:trHeight w:val="321"/>
        </w:trPr>
        <w:tc>
          <w:tcPr>
            <w:tcW w:w="2689" w:type="dxa"/>
            <w:tcBorders>
              <w:top w:val="nil"/>
              <w:left w:val="nil"/>
              <w:bottom w:val="nil"/>
              <w:right w:val="nil"/>
            </w:tcBorders>
            <w:shd w:val="clear" w:color="D9D9D9" w:fill="D9D9D9"/>
            <w:noWrap/>
            <w:vAlign w:val="bottom"/>
            <w:hideMark/>
          </w:tcPr>
          <w:p w14:paraId="2B756111" w14:textId="77777777" w:rsidR="00D50069" w:rsidRPr="00D50069" w:rsidRDefault="00D50069" w:rsidP="00D50069">
            <w:pPr>
              <w:spacing w:line="480" w:lineRule="auto"/>
              <w:rPr>
                <w:color w:val="000000"/>
                <w:position w:val="0"/>
              </w:rPr>
            </w:pPr>
            <w:r w:rsidRPr="00D50069">
              <w:rPr>
                <w:color w:val="000000"/>
                <w:position w:val="0"/>
              </w:rPr>
              <w:t>Not useful at all</w:t>
            </w:r>
          </w:p>
        </w:tc>
        <w:tc>
          <w:tcPr>
            <w:tcW w:w="1617" w:type="dxa"/>
            <w:tcBorders>
              <w:top w:val="nil"/>
              <w:left w:val="nil"/>
              <w:bottom w:val="nil"/>
              <w:right w:val="nil"/>
            </w:tcBorders>
            <w:shd w:val="clear" w:color="D9D9D9" w:fill="D9D9D9"/>
            <w:noWrap/>
            <w:vAlign w:val="bottom"/>
            <w:hideMark/>
          </w:tcPr>
          <w:p w14:paraId="51198D49" w14:textId="77777777" w:rsidR="00D50069" w:rsidRPr="00D50069" w:rsidRDefault="00D50069" w:rsidP="00D50069">
            <w:pPr>
              <w:spacing w:line="480" w:lineRule="auto"/>
              <w:jc w:val="right"/>
              <w:rPr>
                <w:color w:val="000000"/>
                <w:position w:val="0"/>
              </w:rPr>
            </w:pPr>
            <w:r w:rsidRPr="00D50069">
              <w:rPr>
                <w:color w:val="000000"/>
                <w:position w:val="0"/>
              </w:rPr>
              <w:t>0</w:t>
            </w:r>
          </w:p>
        </w:tc>
        <w:tc>
          <w:tcPr>
            <w:tcW w:w="1753" w:type="dxa"/>
            <w:tcBorders>
              <w:top w:val="nil"/>
              <w:left w:val="nil"/>
              <w:bottom w:val="nil"/>
              <w:right w:val="nil"/>
            </w:tcBorders>
            <w:shd w:val="clear" w:color="D9D9D9" w:fill="D9D9D9"/>
            <w:noWrap/>
            <w:vAlign w:val="bottom"/>
            <w:hideMark/>
          </w:tcPr>
          <w:p w14:paraId="5C4E07A1" w14:textId="77777777" w:rsidR="00D50069" w:rsidRPr="00D50069" w:rsidRDefault="00D50069" w:rsidP="00D50069">
            <w:pPr>
              <w:spacing w:line="480" w:lineRule="auto"/>
              <w:jc w:val="right"/>
              <w:rPr>
                <w:color w:val="000000"/>
                <w:position w:val="0"/>
              </w:rPr>
            </w:pPr>
            <w:r w:rsidRPr="00D50069">
              <w:rPr>
                <w:color w:val="000000"/>
                <w:position w:val="0"/>
              </w:rPr>
              <w:t>0%</w:t>
            </w:r>
          </w:p>
        </w:tc>
      </w:tr>
      <w:tr w:rsidR="00D50069" w:rsidRPr="00D50069" w14:paraId="5F5986D8" w14:textId="77777777" w:rsidTr="00C141A1">
        <w:trPr>
          <w:trHeight w:val="321"/>
        </w:trPr>
        <w:tc>
          <w:tcPr>
            <w:tcW w:w="2689" w:type="dxa"/>
            <w:tcBorders>
              <w:top w:val="nil"/>
              <w:left w:val="nil"/>
              <w:bottom w:val="nil"/>
              <w:right w:val="nil"/>
            </w:tcBorders>
            <w:shd w:val="clear" w:color="auto" w:fill="auto"/>
            <w:noWrap/>
            <w:vAlign w:val="bottom"/>
            <w:hideMark/>
          </w:tcPr>
          <w:p w14:paraId="42E1AFE0" w14:textId="77777777" w:rsidR="00D50069" w:rsidRPr="00D50069" w:rsidRDefault="00D50069" w:rsidP="00D50069">
            <w:pPr>
              <w:spacing w:line="480" w:lineRule="auto"/>
              <w:rPr>
                <w:color w:val="000000"/>
                <w:position w:val="0"/>
              </w:rPr>
            </w:pPr>
            <w:r w:rsidRPr="00D50069">
              <w:rPr>
                <w:color w:val="000000"/>
                <w:position w:val="0"/>
              </w:rPr>
              <w:t>Slightly useful</w:t>
            </w:r>
          </w:p>
        </w:tc>
        <w:tc>
          <w:tcPr>
            <w:tcW w:w="1617" w:type="dxa"/>
            <w:tcBorders>
              <w:top w:val="nil"/>
              <w:left w:val="nil"/>
              <w:bottom w:val="nil"/>
              <w:right w:val="nil"/>
            </w:tcBorders>
            <w:shd w:val="clear" w:color="auto" w:fill="auto"/>
            <w:noWrap/>
            <w:vAlign w:val="bottom"/>
            <w:hideMark/>
          </w:tcPr>
          <w:p w14:paraId="672507F4" w14:textId="77777777" w:rsidR="00D50069" w:rsidRPr="00D50069" w:rsidRDefault="00D50069" w:rsidP="00D50069">
            <w:pPr>
              <w:spacing w:line="480" w:lineRule="auto"/>
              <w:jc w:val="right"/>
              <w:rPr>
                <w:color w:val="000000"/>
                <w:position w:val="0"/>
              </w:rPr>
            </w:pPr>
            <w:r w:rsidRPr="00D50069">
              <w:rPr>
                <w:color w:val="000000"/>
                <w:position w:val="0"/>
              </w:rPr>
              <w:t>2</w:t>
            </w:r>
          </w:p>
        </w:tc>
        <w:tc>
          <w:tcPr>
            <w:tcW w:w="1753" w:type="dxa"/>
            <w:tcBorders>
              <w:top w:val="nil"/>
              <w:left w:val="nil"/>
              <w:bottom w:val="nil"/>
              <w:right w:val="nil"/>
            </w:tcBorders>
            <w:shd w:val="clear" w:color="auto" w:fill="auto"/>
            <w:noWrap/>
            <w:vAlign w:val="bottom"/>
            <w:hideMark/>
          </w:tcPr>
          <w:p w14:paraId="12AF04D8" w14:textId="77777777" w:rsidR="00D50069" w:rsidRPr="00D50069" w:rsidRDefault="00D50069" w:rsidP="00D50069">
            <w:pPr>
              <w:spacing w:line="480" w:lineRule="auto"/>
              <w:jc w:val="right"/>
              <w:rPr>
                <w:color w:val="000000"/>
                <w:position w:val="0"/>
              </w:rPr>
            </w:pPr>
            <w:r w:rsidRPr="00D50069">
              <w:rPr>
                <w:color w:val="000000"/>
                <w:position w:val="0"/>
              </w:rPr>
              <w:t>4%</w:t>
            </w:r>
          </w:p>
        </w:tc>
      </w:tr>
      <w:tr w:rsidR="00D50069" w:rsidRPr="00D50069" w14:paraId="34191FB2" w14:textId="77777777" w:rsidTr="00C141A1">
        <w:trPr>
          <w:trHeight w:val="321"/>
        </w:trPr>
        <w:tc>
          <w:tcPr>
            <w:tcW w:w="2689" w:type="dxa"/>
            <w:tcBorders>
              <w:top w:val="nil"/>
              <w:left w:val="nil"/>
              <w:bottom w:val="nil"/>
              <w:right w:val="nil"/>
            </w:tcBorders>
            <w:shd w:val="clear" w:color="D9D9D9" w:fill="D9D9D9"/>
            <w:noWrap/>
            <w:vAlign w:val="bottom"/>
            <w:hideMark/>
          </w:tcPr>
          <w:p w14:paraId="0896E50A" w14:textId="77777777" w:rsidR="00D50069" w:rsidRPr="00D50069" w:rsidRDefault="00D50069" w:rsidP="00D50069">
            <w:pPr>
              <w:spacing w:line="480" w:lineRule="auto"/>
              <w:rPr>
                <w:color w:val="000000"/>
                <w:position w:val="0"/>
              </w:rPr>
            </w:pPr>
            <w:r w:rsidRPr="00D50069">
              <w:rPr>
                <w:color w:val="000000"/>
                <w:position w:val="0"/>
              </w:rPr>
              <w:t>Moderately useful</w:t>
            </w:r>
          </w:p>
        </w:tc>
        <w:tc>
          <w:tcPr>
            <w:tcW w:w="1617" w:type="dxa"/>
            <w:tcBorders>
              <w:top w:val="nil"/>
              <w:left w:val="nil"/>
              <w:bottom w:val="nil"/>
              <w:right w:val="nil"/>
            </w:tcBorders>
            <w:shd w:val="clear" w:color="D9D9D9" w:fill="D9D9D9"/>
            <w:noWrap/>
            <w:vAlign w:val="bottom"/>
            <w:hideMark/>
          </w:tcPr>
          <w:p w14:paraId="1FDD5892" w14:textId="77777777" w:rsidR="00D50069" w:rsidRPr="00D50069" w:rsidRDefault="00D50069" w:rsidP="00D50069">
            <w:pPr>
              <w:spacing w:line="480" w:lineRule="auto"/>
              <w:jc w:val="right"/>
              <w:rPr>
                <w:color w:val="000000"/>
                <w:position w:val="0"/>
              </w:rPr>
            </w:pPr>
            <w:r w:rsidRPr="00D50069">
              <w:rPr>
                <w:color w:val="000000"/>
                <w:position w:val="0"/>
              </w:rPr>
              <w:t>17</w:t>
            </w:r>
          </w:p>
        </w:tc>
        <w:tc>
          <w:tcPr>
            <w:tcW w:w="1753" w:type="dxa"/>
            <w:tcBorders>
              <w:top w:val="nil"/>
              <w:left w:val="nil"/>
              <w:bottom w:val="nil"/>
              <w:right w:val="nil"/>
            </w:tcBorders>
            <w:shd w:val="clear" w:color="D9D9D9" w:fill="D9D9D9"/>
            <w:noWrap/>
            <w:vAlign w:val="bottom"/>
            <w:hideMark/>
          </w:tcPr>
          <w:p w14:paraId="099BABC3" w14:textId="77777777" w:rsidR="00D50069" w:rsidRPr="00D50069" w:rsidRDefault="00D50069" w:rsidP="00D50069">
            <w:pPr>
              <w:spacing w:line="480" w:lineRule="auto"/>
              <w:jc w:val="right"/>
              <w:rPr>
                <w:color w:val="000000"/>
                <w:position w:val="0"/>
              </w:rPr>
            </w:pPr>
            <w:r w:rsidRPr="00D50069">
              <w:rPr>
                <w:color w:val="000000"/>
                <w:position w:val="0"/>
              </w:rPr>
              <w:t>36%</w:t>
            </w:r>
          </w:p>
        </w:tc>
      </w:tr>
      <w:tr w:rsidR="00D50069" w:rsidRPr="00D50069" w14:paraId="71D8F731" w14:textId="77777777" w:rsidTr="00C141A1">
        <w:trPr>
          <w:trHeight w:val="321"/>
        </w:trPr>
        <w:tc>
          <w:tcPr>
            <w:tcW w:w="2689" w:type="dxa"/>
            <w:tcBorders>
              <w:top w:val="nil"/>
              <w:left w:val="nil"/>
              <w:bottom w:val="nil"/>
              <w:right w:val="nil"/>
            </w:tcBorders>
            <w:shd w:val="clear" w:color="auto" w:fill="auto"/>
            <w:noWrap/>
            <w:vAlign w:val="bottom"/>
            <w:hideMark/>
          </w:tcPr>
          <w:p w14:paraId="42E1D0EC" w14:textId="77777777" w:rsidR="00D50069" w:rsidRPr="00D50069" w:rsidRDefault="00D50069" w:rsidP="00D50069">
            <w:pPr>
              <w:spacing w:line="480" w:lineRule="auto"/>
              <w:rPr>
                <w:color w:val="000000"/>
                <w:position w:val="0"/>
              </w:rPr>
            </w:pPr>
            <w:r w:rsidRPr="00D50069">
              <w:rPr>
                <w:color w:val="000000"/>
                <w:position w:val="0"/>
              </w:rPr>
              <w:t>Very useful</w:t>
            </w:r>
          </w:p>
        </w:tc>
        <w:tc>
          <w:tcPr>
            <w:tcW w:w="1617" w:type="dxa"/>
            <w:tcBorders>
              <w:top w:val="nil"/>
              <w:left w:val="nil"/>
              <w:bottom w:val="nil"/>
              <w:right w:val="nil"/>
            </w:tcBorders>
            <w:shd w:val="clear" w:color="auto" w:fill="auto"/>
            <w:noWrap/>
            <w:vAlign w:val="bottom"/>
            <w:hideMark/>
          </w:tcPr>
          <w:p w14:paraId="6C18BEBB" w14:textId="77777777" w:rsidR="00D50069" w:rsidRPr="00D50069" w:rsidRDefault="00D50069" w:rsidP="00D50069">
            <w:pPr>
              <w:spacing w:line="480" w:lineRule="auto"/>
              <w:jc w:val="right"/>
              <w:rPr>
                <w:color w:val="000000"/>
                <w:position w:val="0"/>
              </w:rPr>
            </w:pPr>
            <w:r w:rsidRPr="00D50069">
              <w:rPr>
                <w:color w:val="000000"/>
                <w:position w:val="0"/>
              </w:rPr>
              <w:t>28</w:t>
            </w:r>
          </w:p>
        </w:tc>
        <w:tc>
          <w:tcPr>
            <w:tcW w:w="1753" w:type="dxa"/>
            <w:tcBorders>
              <w:top w:val="nil"/>
              <w:left w:val="nil"/>
              <w:bottom w:val="nil"/>
              <w:right w:val="nil"/>
            </w:tcBorders>
            <w:shd w:val="clear" w:color="auto" w:fill="auto"/>
            <w:noWrap/>
            <w:vAlign w:val="bottom"/>
            <w:hideMark/>
          </w:tcPr>
          <w:p w14:paraId="0C59F357" w14:textId="77777777" w:rsidR="00D50069" w:rsidRPr="00D50069" w:rsidRDefault="00D50069" w:rsidP="00D50069">
            <w:pPr>
              <w:spacing w:line="480" w:lineRule="auto"/>
              <w:jc w:val="right"/>
              <w:rPr>
                <w:color w:val="000000"/>
                <w:position w:val="0"/>
              </w:rPr>
            </w:pPr>
            <w:r w:rsidRPr="00D50069">
              <w:rPr>
                <w:color w:val="000000"/>
                <w:position w:val="0"/>
              </w:rPr>
              <w:t>60%</w:t>
            </w:r>
          </w:p>
        </w:tc>
      </w:tr>
      <w:tr w:rsidR="00D50069" w:rsidRPr="00D50069" w14:paraId="50C13728" w14:textId="77777777" w:rsidTr="00C141A1">
        <w:trPr>
          <w:trHeight w:val="321"/>
        </w:trPr>
        <w:tc>
          <w:tcPr>
            <w:tcW w:w="2689" w:type="dxa"/>
            <w:tcBorders>
              <w:top w:val="nil"/>
              <w:left w:val="nil"/>
              <w:bottom w:val="nil"/>
              <w:right w:val="nil"/>
            </w:tcBorders>
            <w:shd w:val="clear" w:color="D9D9D9" w:fill="D9D9D9"/>
            <w:noWrap/>
            <w:vAlign w:val="bottom"/>
            <w:hideMark/>
          </w:tcPr>
          <w:p w14:paraId="2B90018C" w14:textId="77777777" w:rsidR="00D50069" w:rsidRPr="00D50069" w:rsidRDefault="00D50069" w:rsidP="00D50069">
            <w:pPr>
              <w:spacing w:line="480" w:lineRule="auto"/>
              <w:rPr>
                <w:color w:val="000000"/>
                <w:position w:val="0"/>
              </w:rPr>
            </w:pPr>
            <w:r w:rsidRPr="00D50069">
              <w:rPr>
                <w:color w:val="000000"/>
                <w:position w:val="0"/>
              </w:rPr>
              <w:t>Extremely useful</w:t>
            </w:r>
          </w:p>
        </w:tc>
        <w:tc>
          <w:tcPr>
            <w:tcW w:w="1617" w:type="dxa"/>
            <w:tcBorders>
              <w:top w:val="nil"/>
              <w:left w:val="nil"/>
              <w:bottom w:val="nil"/>
              <w:right w:val="nil"/>
            </w:tcBorders>
            <w:shd w:val="clear" w:color="D9D9D9" w:fill="D9D9D9"/>
            <w:noWrap/>
            <w:vAlign w:val="bottom"/>
            <w:hideMark/>
          </w:tcPr>
          <w:p w14:paraId="4E981D51" w14:textId="77777777" w:rsidR="00D50069" w:rsidRPr="00D50069" w:rsidRDefault="00D50069" w:rsidP="00D50069">
            <w:pPr>
              <w:spacing w:line="480" w:lineRule="auto"/>
              <w:jc w:val="right"/>
              <w:rPr>
                <w:color w:val="000000"/>
                <w:position w:val="0"/>
              </w:rPr>
            </w:pPr>
            <w:r w:rsidRPr="00D50069">
              <w:rPr>
                <w:color w:val="000000"/>
                <w:position w:val="0"/>
              </w:rPr>
              <w:t>0</w:t>
            </w:r>
          </w:p>
        </w:tc>
        <w:tc>
          <w:tcPr>
            <w:tcW w:w="1753" w:type="dxa"/>
            <w:tcBorders>
              <w:top w:val="nil"/>
              <w:left w:val="nil"/>
              <w:bottom w:val="nil"/>
              <w:right w:val="nil"/>
            </w:tcBorders>
            <w:shd w:val="clear" w:color="D9D9D9" w:fill="D9D9D9"/>
            <w:noWrap/>
            <w:vAlign w:val="bottom"/>
            <w:hideMark/>
          </w:tcPr>
          <w:p w14:paraId="3CA994E0" w14:textId="77777777" w:rsidR="00D50069" w:rsidRPr="00D50069" w:rsidRDefault="00D50069" w:rsidP="00D50069">
            <w:pPr>
              <w:spacing w:line="480" w:lineRule="auto"/>
              <w:jc w:val="right"/>
              <w:rPr>
                <w:color w:val="000000"/>
                <w:position w:val="0"/>
              </w:rPr>
            </w:pPr>
            <w:r w:rsidRPr="00D50069">
              <w:rPr>
                <w:color w:val="000000"/>
                <w:position w:val="0"/>
              </w:rPr>
              <w:t>0%</w:t>
            </w:r>
          </w:p>
        </w:tc>
      </w:tr>
      <w:tr w:rsidR="00D50069" w:rsidRPr="00D50069" w14:paraId="310428B7" w14:textId="77777777" w:rsidTr="00C141A1">
        <w:trPr>
          <w:trHeight w:val="321"/>
        </w:trPr>
        <w:tc>
          <w:tcPr>
            <w:tcW w:w="2689" w:type="dxa"/>
            <w:tcBorders>
              <w:top w:val="nil"/>
              <w:left w:val="nil"/>
              <w:bottom w:val="single" w:sz="4" w:space="0" w:color="000000"/>
              <w:right w:val="nil"/>
            </w:tcBorders>
            <w:shd w:val="clear" w:color="auto" w:fill="auto"/>
            <w:noWrap/>
            <w:vAlign w:val="bottom"/>
            <w:hideMark/>
          </w:tcPr>
          <w:p w14:paraId="1F6DD4F2" w14:textId="77777777" w:rsidR="00D50069" w:rsidRPr="00D50069" w:rsidRDefault="00D50069" w:rsidP="00D50069">
            <w:pPr>
              <w:spacing w:line="480" w:lineRule="auto"/>
              <w:rPr>
                <w:color w:val="000000"/>
                <w:position w:val="0"/>
              </w:rPr>
            </w:pPr>
            <w:r w:rsidRPr="00D50069">
              <w:rPr>
                <w:color w:val="000000"/>
                <w:position w:val="0"/>
              </w:rPr>
              <w:t>Total</w:t>
            </w:r>
          </w:p>
        </w:tc>
        <w:tc>
          <w:tcPr>
            <w:tcW w:w="1617" w:type="dxa"/>
            <w:tcBorders>
              <w:top w:val="nil"/>
              <w:left w:val="nil"/>
              <w:bottom w:val="single" w:sz="4" w:space="0" w:color="000000"/>
              <w:right w:val="nil"/>
            </w:tcBorders>
            <w:shd w:val="clear" w:color="auto" w:fill="auto"/>
            <w:noWrap/>
            <w:vAlign w:val="bottom"/>
            <w:hideMark/>
          </w:tcPr>
          <w:p w14:paraId="538F1278" w14:textId="77777777" w:rsidR="00D50069" w:rsidRPr="00D50069" w:rsidRDefault="00D50069" w:rsidP="00D50069">
            <w:pPr>
              <w:spacing w:line="480" w:lineRule="auto"/>
              <w:jc w:val="right"/>
              <w:rPr>
                <w:color w:val="000000"/>
                <w:position w:val="0"/>
              </w:rPr>
            </w:pPr>
            <w:r w:rsidRPr="00D50069">
              <w:rPr>
                <w:color w:val="000000"/>
                <w:position w:val="0"/>
              </w:rPr>
              <w:t>47</w:t>
            </w:r>
          </w:p>
        </w:tc>
        <w:tc>
          <w:tcPr>
            <w:tcW w:w="1753" w:type="dxa"/>
            <w:tcBorders>
              <w:top w:val="nil"/>
              <w:left w:val="nil"/>
              <w:bottom w:val="single" w:sz="4" w:space="0" w:color="000000"/>
              <w:right w:val="nil"/>
            </w:tcBorders>
            <w:shd w:val="clear" w:color="auto" w:fill="auto"/>
            <w:noWrap/>
            <w:vAlign w:val="bottom"/>
            <w:hideMark/>
          </w:tcPr>
          <w:p w14:paraId="32C4552B" w14:textId="77777777" w:rsidR="00D50069" w:rsidRPr="00D50069" w:rsidRDefault="00D50069" w:rsidP="00D50069">
            <w:pPr>
              <w:spacing w:line="480" w:lineRule="auto"/>
              <w:jc w:val="right"/>
              <w:rPr>
                <w:color w:val="000000"/>
                <w:position w:val="0"/>
              </w:rPr>
            </w:pPr>
            <w:r w:rsidRPr="00D50069">
              <w:rPr>
                <w:color w:val="000000"/>
                <w:position w:val="0"/>
              </w:rPr>
              <w:t>100%</w:t>
            </w:r>
          </w:p>
        </w:tc>
      </w:tr>
    </w:tbl>
    <w:p w14:paraId="22C0D5C1" w14:textId="77777777" w:rsidR="00104E0F" w:rsidRDefault="00104E0F" w:rsidP="00D50069">
      <w:pPr>
        <w:spacing w:after="160" w:line="480" w:lineRule="auto"/>
        <w:jc w:val="both"/>
        <w:rPr>
          <w:rFonts w:eastAsia="Calibri"/>
          <w:kern w:val="2"/>
          <w:position w:val="0"/>
          <w14:ligatures w14:val="standardContextual"/>
        </w:rPr>
      </w:pPr>
    </w:p>
    <w:p w14:paraId="079AC302" w14:textId="4CE5B0EA" w:rsidR="00D50069" w:rsidRPr="00D50069" w:rsidRDefault="00D50069" w:rsidP="00D50069">
      <w:pPr>
        <w:spacing w:after="160" w:line="480" w:lineRule="auto"/>
        <w:jc w:val="both"/>
        <w:rPr>
          <w:rFonts w:eastAsia="Calibri"/>
          <w:kern w:val="2"/>
          <w:position w:val="0"/>
          <w14:ligatures w14:val="standardContextual"/>
        </w:rPr>
      </w:pPr>
      <w:r w:rsidRPr="00D50069">
        <w:rPr>
          <w:rFonts w:ascii="Calibri" w:eastAsia="Calibri" w:hAnsi="Calibri" w:cs="Arial"/>
          <w:noProof/>
          <w:kern w:val="2"/>
          <w:position w:val="0"/>
          <w:sz w:val="22"/>
          <w:szCs w:val="22"/>
          <w:lang w:val="fr-FR" w:eastAsia="fr-FR"/>
          <w14:ligatures w14:val="standardContextual"/>
        </w:rPr>
        <w:drawing>
          <wp:inline distT="0" distB="0" distL="0" distR="0" wp14:anchorId="3219A95E" wp14:editId="048A5B83">
            <wp:extent cx="4572000" cy="2743200"/>
            <wp:effectExtent l="0" t="0" r="0" b="0"/>
            <wp:docPr id="1327983793" name="Chart 1">
              <a:extLst xmlns:a="http://schemas.openxmlformats.org/drawingml/2006/main">
                <a:ext uri="{FF2B5EF4-FFF2-40B4-BE49-F238E27FC236}">
                  <a16:creationId xmlns:a16="http://schemas.microsoft.com/office/drawing/2014/main"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339DB9D9-59CA-40B4-8F56-71615F5F307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14:paraId="5737E4FD" w14:textId="21B5A8D1" w:rsidR="00D50069" w:rsidRPr="00961084" w:rsidRDefault="00D50069" w:rsidP="00D50069">
      <w:pPr>
        <w:spacing w:after="200" w:line="480" w:lineRule="auto"/>
        <w:rPr>
          <w:rFonts w:eastAsia="Calibri"/>
          <w:kern w:val="2"/>
          <w:position w:val="0"/>
          <w14:ligatures w14:val="standardContextual"/>
        </w:rPr>
      </w:pPr>
      <w:bookmarkStart w:id="218" w:name="_Toc199695824"/>
      <w:r w:rsidRPr="00961084">
        <w:rPr>
          <w:rFonts w:eastAsia="Calibri"/>
          <w:b/>
          <w:bCs/>
          <w:kern w:val="2"/>
          <w:position w:val="0"/>
          <w14:ligatures w14:val="standardContextual"/>
        </w:rPr>
        <w:t xml:space="preserve">Graph </w:t>
      </w:r>
      <w:r w:rsidRPr="002D325D">
        <w:rPr>
          <w:rFonts w:eastAsia="Calibri"/>
          <w:b/>
          <w:bCs/>
          <w:kern w:val="2"/>
          <w:position w:val="0"/>
          <w14:ligatures w14:val="standardContextual"/>
        </w:rPr>
        <w:fldChar w:fldCharType="begin"/>
      </w:r>
      <w:r w:rsidRPr="002D325D">
        <w:rPr>
          <w:rFonts w:eastAsia="Calibri"/>
          <w:b/>
          <w:bCs/>
          <w:kern w:val="2"/>
          <w:position w:val="0"/>
          <w14:ligatures w14:val="standardContextual"/>
        </w:rPr>
        <w:instrText xml:space="preserve"> SEQ Graph \* ARABIC </w:instrText>
      </w:r>
      <w:r w:rsidRPr="002D325D">
        <w:rPr>
          <w:rFonts w:eastAsia="Calibri"/>
          <w:b/>
          <w:bCs/>
          <w:kern w:val="2"/>
          <w:position w:val="0"/>
          <w14:ligatures w14:val="standardContextual"/>
        </w:rPr>
        <w:fldChar w:fldCharType="separate"/>
      </w:r>
      <w:r w:rsidR="00DC3231">
        <w:rPr>
          <w:rFonts w:eastAsia="Calibri"/>
          <w:b/>
          <w:bCs/>
          <w:noProof/>
          <w:kern w:val="2"/>
          <w:position w:val="0"/>
          <w14:ligatures w14:val="standardContextual"/>
        </w:rPr>
        <w:t>9</w:t>
      </w:r>
      <w:r w:rsidRPr="002D325D">
        <w:rPr>
          <w:rFonts w:eastAsia="Calibri"/>
          <w:b/>
          <w:bCs/>
          <w:kern w:val="2"/>
          <w:position w:val="0"/>
          <w14:ligatures w14:val="standardContextual"/>
        </w:rPr>
        <w:fldChar w:fldCharType="end"/>
      </w:r>
      <w:r w:rsidRPr="002D325D">
        <w:rPr>
          <w:rFonts w:eastAsia="Calibri"/>
          <w:b/>
          <w:bCs/>
          <w:kern w:val="2"/>
          <w:position w:val="0"/>
          <w14:ligatures w14:val="standardContextual"/>
        </w:rPr>
        <w:t xml:space="preserve"> </w:t>
      </w:r>
      <w:r w:rsidRPr="002D325D">
        <w:rPr>
          <w:rFonts w:eastAsia="Calibri"/>
          <w:kern w:val="2"/>
          <w:position w:val="0"/>
          <w14:ligatures w14:val="standardContextual"/>
        </w:rPr>
        <w:t>Perceived Usefulness of OTCs</w:t>
      </w:r>
      <w:bookmarkStart w:id="219" w:name="_Hlk198587865"/>
      <w:bookmarkEnd w:id="218"/>
    </w:p>
    <w:bookmarkEnd w:id="219"/>
    <w:p w14:paraId="407774A8" w14:textId="77777777" w:rsidR="002F1188" w:rsidRDefault="00D50069" w:rsidP="002F1188">
      <w:pPr>
        <w:spacing w:after="160" w:line="480" w:lineRule="auto"/>
        <w:ind w:firstLine="567"/>
        <w:jc w:val="both"/>
        <w:rPr>
          <w:rFonts w:eastAsia="Calibri"/>
          <w:kern w:val="2"/>
          <w:position w:val="0"/>
          <w14:ligatures w14:val="standardContextual"/>
        </w:rPr>
      </w:pPr>
      <w:r w:rsidRPr="00D50069">
        <w:rPr>
          <w:rFonts w:eastAsia="Calibri"/>
          <w:kern w:val="2"/>
          <w:position w:val="0"/>
          <w14:ligatures w14:val="standardContextual"/>
        </w:rPr>
        <w:t xml:space="preserve">As demonstrated in </w:t>
      </w:r>
      <w:r w:rsidRPr="00D50069">
        <w:rPr>
          <w:rFonts w:eastAsia="Calibri"/>
          <w:b/>
          <w:bCs/>
          <w:kern w:val="2"/>
          <w:position w:val="0"/>
          <w14:ligatures w14:val="standardContextual"/>
        </w:rPr>
        <w:t>Graph 10</w:t>
      </w:r>
      <w:r w:rsidRPr="00D50069">
        <w:rPr>
          <w:rFonts w:eastAsia="Calibri"/>
          <w:kern w:val="2"/>
          <w:position w:val="0"/>
          <w14:ligatures w14:val="standardContextual"/>
        </w:rPr>
        <w:t xml:space="preserve">, data reveal that 43 % of participants reported that they </w:t>
      </w:r>
      <w:r w:rsidRPr="00D50069">
        <w:rPr>
          <w:rFonts w:eastAsia="Calibri"/>
          <w:b/>
          <w:bCs/>
          <w:kern w:val="2"/>
          <w:position w:val="0"/>
          <w14:ligatures w14:val="standardContextual"/>
        </w:rPr>
        <w:t>sometimes</w:t>
      </w:r>
      <w:r w:rsidRPr="00D50069">
        <w:rPr>
          <w:rFonts w:eastAsia="Calibri"/>
          <w:kern w:val="2"/>
          <w:position w:val="0"/>
          <w14:ligatures w14:val="standardContextual"/>
        </w:rPr>
        <w:t xml:space="preserve"> apply assessment techniques shared in online professional networks, followed closely by those who indicated </w:t>
      </w:r>
      <w:r w:rsidRPr="00D50069">
        <w:rPr>
          <w:rFonts w:eastAsia="Calibri"/>
          <w:b/>
          <w:bCs/>
          <w:kern w:val="2"/>
          <w:position w:val="0"/>
          <w14:ligatures w14:val="standardContextual"/>
        </w:rPr>
        <w:t>often</w:t>
      </w:r>
      <w:r w:rsidRPr="00D50069">
        <w:rPr>
          <w:rFonts w:eastAsia="Calibri"/>
          <w:kern w:val="2"/>
          <w:position w:val="0"/>
          <w14:ligatures w14:val="standardContextual"/>
        </w:rPr>
        <w:t xml:space="preserve"> engaging in similar activities (38 %). A smaller proportion stated that they </w:t>
      </w:r>
      <w:r w:rsidRPr="00D50069">
        <w:rPr>
          <w:rFonts w:eastAsia="Calibri"/>
          <w:b/>
          <w:bCs/>
          <w:kern w:val="2"/>
          <w:position w:val="0"/>
          <w14:ligatures w14:val="standardContextual"/>
        </w:rPr>
        <w:t>rarely</w:t>
      </w:r>
      <w:r w:rsidRPr="00D50069">
        <w:rPr>
          <w:rFonts w:eastAsia="Calibri"/>
          <w:kern w:val="2"/>
          <w:position w:val="0"/>
          <w14:ligatures w14:val="standardContextual"/>
        </w:rPr>
        <w:t xml:space="preserve"> (11 %) or </w:t>
      </w:r>
      <w:r w:rsidRPr="00D50069">
        <w:rPr>
          <w:rFonts w:eastAsia="Calibri"/>
          <w:b/>
          <w:bCs/>
          <w:kern w:val="2"/>
          <w:position w:val="0"/>
          <w14:ligatures w14:val="standardContextual"/>
        </w:rPr>
        <w:t>always</w:t>
      </w:r>
      <w:r w:rsidRPr="00D50069">
        <w:rPr>
          <w:rFonts w:eastAsia="Calibri"/>
          <w:kern w:val="2"/>
          <w:position w:val="0"/>
          <w14:ligatures w14:val="standardContextual"/>
        </w:rPr>
        <w:t xml:space="preserve"> (6 %) integrate such methods into practice, while only a minimal percentage reported </w:t>
      </w:r>
      <w:r w:rsidRPr="00D50069">
        <w:rPr>
          <w:rFonts w:eastAsia="Calibri"/>
          <w:b/>
          <w:bCs/>
          <w:kern w:val="2"/>
          <w:position w:val="0"/>
          <w14:ligatures w14:val="standardContextual"/>
        </w:rPr>
        <w:t xml:space="preserve">never </w:t>
      </w:r>
      <w:r w:rsidRPr="00D50069">
        <w:rPr>
          <w:rFonts w:eastAsia="Calibri"/>
          <w:kern w:val="2"/>
          <w:position w:val="0"/>
          <w14:ligatures w14:val="standardContextual"/>
        </w:rPr>
        <w:t>engaging in it (2 %).</w:t>
      </w:r>
    </w:p>
    <w:p w14:paraId="60F60495" w14:textId="07ED94F0" w:rsidR="00D50069" w:rsidRPr="00D50069" w:rsidRDefault="00D50069" w:rsidP="002F1188">
      <w:pPr>
        <w:spacing w:after="160" w:line="480" w:lineRule="auto"/>
        <w:ind w:firstLine="567"/>
        <w:jc w:val="both"/>
        <w:rPr>
          <w:rFonts w:eastAsia="Calibri"/>
          <w:kern w:val="2"/>
          <w:position w:val="0"/>
          <w14:ligatures w14:val="standardContextual"/>
        </w:rPr>
      </w:pPr>
      <w:r w:rsidRPr="00D50069">
        <w:rPr>
          <w:rFonts w:eastAsia="Calibri"/>
          <w:kern w:val="2"/>
          <w:position w:val="0"/>
          <w14:ligatures w14:val="standardContextual"/>
        </w:rPr>
        <w:lastRenderedPageBreak/>
        <w:t xml:space="preserve">The results suggest a generally moderate level of this practice integration into participants’ routines, with most respondents falling within mid-range frequency categories.  The evidence that extreme </w:t>
      </w:r>
      <w:proofErr w:type="spellStart"/>
      <w:r w:rsidRPr="00D50069">
        <w:rPr>
          <w:rFonts w:eastAsia="Calibri"/>
          <w:kern w:val="2"/>
          <w:position w:val="0"/>
          <w14:ligatures w14:val="standardContextual"/>
        </w:rPr>
        <w:t>behaviours</w:t>
      </w:r>
      <w:proofErr w:type="spellEnd"/>
      <w:r w:rsidRPr="00D50069">
        <w:rPr>
          <w:rFonts w:eastAsia="Calibri"/>
          <w:kern w:val="2"/>
          <w:position w:val="0"/>
          <w14:ligatures w14:val="standardContextual"/>
        </w:rPr>
        <w:t xml:space="preserve"> are uncommon implies implementation practices </w:t>
      </w:r>
      <w:proofErr w:type="gramStart"/>
      <w:r w:rsidRPr="00D50069">
        <w:rPr>
          <w:rFonts w:eastAsia="Calibri"/>
          <w:kern w:val="2"/>
          <w:position w:val="0"/>
          <w14:ligatures w14:val="standardContextual"/>
        </w:rPr>
        <w:t>are adopted</w:t>
      </w:r>
      <w:proofErr w:type="gramEnd"/>
      <w:r w:rsidRPr="00D50069">
        <w:rPr>
          <w:rFonts w:eastAsia="Calibri"/>
          <w:kern w:val="2"/>
          <w:position w:val="0"/>
          <w14:ligatures w14:val="standardContextual"/>
        </w:rPr>
        <w:t xml:space="preserve"> in response to specific educational contexts.</w:t>
      </w:r>
    </w:p>
    <w:p w14:paraId="591AB4EC" w14:textId="77777777" w:rsidR="00D50069" w:rsidRPr="00D50069" w:rsidRDefault="00D50069" w:rsidP="00D50069">
      <w:pPr>
        <w:keepNext/>
        <w:spacing w:after="160" w:line="480" w:lineRule="auto"/>
        <w:jc w:val="both"/>
        <w:rPr>
          <w:rFonts w:ascii="Calibri" w:eastAsia="Calibri" w:hAnsi="Calibri" w:cs="Arial"/>
          <w:kern w:val="2"/>
          <w:position w:val="0"/>
          <w:sz w:val="22"/>
          <w:szCs w:val="22"/>
          <w14:ligatures w14:val="standardContextual"/>
        </w:rPr>
      </w:pPr>
      <w:r w:rsidRPr="00D50069">
        <w:rPr>
          <w:rFonts w:ascii="Calibri" w:eastAsia="Calibri" w:hAnsi="Calibri" w:cs="Arial"/>
          <w:noProof/>
          <w:kern w:val="2"/>
          <w:position w:val="0"/>
          <w:sz w:val="22"/>
          <w:szCs w:val="22"/>
          <w:lang w:val="fr-FR" w:eastAsia="fr-FR"/>
          <w14:ligatures w14:val="standardContextual"/>
        </w:rPr>
        <w:drawing>
          <wp:inline distT="0" distB="0" distL="0" distR="0" wp14:anchorId="5057F6FD" wp14:editId="3EC4FA1E">
            <wp:extent cx="5441949" cy="2962275"/>
            <wp:effectExtent l="0" t="0" r="6985" b="9525"/>
            <wp:docPr id="368775377" name="Chart 1">
              <a:extLst xmlns:a="http://schemas.openxmlformats.org/drawingml/2006/main">
                <a:ext uri="{FF2B5EF4-FFF2-40B4-BE49-F238E27FC236}">
                  <a16:creationId xmlns:a16="http://schemas.microsoft.com/office/drawing/2014/main"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B0A93EAD-853A-4ED5-2D52-9CB9254B46F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14:paraId="0C9242B8" w14:textId="43A3256E" w:rsidR="002F1188" w:rsidRDefault="00D50069" w:rsidP="002F1188">
      <w:pPr>
        <w:spacing w:after="200" w:line="480" w:lineRule="auto"/>
        <w:jc w:val="both"/>
        <w:rPr>
          <w:rFonts w:eastAsia="Calibri"/>
          <w:kern w:val="2"/>
          <w:position w:val="0"/>
          <w14:ligatures w14:val="standardContextual"/>
        </w:rPr>
      </w:pPr>
      <w:bookmarkStart w:id="220" w:name="_Toc199695825"/>
      <w:r w:rsidRPr="00D50069">
        <w:rPr>
          <w:rFonts w:eastAsia="Calibri"/>
          <w:b/>
          <w:bCs/>
          <w:kern w:val="2"/>
          <w:position w:val="0"/>
          <w14:ligatures w14:val="standardContextual"/>
        </w:rPr>
        <w:t xml:space="preserve">Graph </w:t>
      </w:r>
      <w:r w:rsidRPr="00D50069">
        <w:rPr>
          <w:rFonts w:eastAsia="Calibri"/>
          <w:b/>
          <w:bCs/>
          <w:kern w:val="2"/>
          <w:position w:val="0"/>
          <w14:ligatures w14:val="standardContextual"/>
        </w:rPr>
        <w:fldChar w:fldCharType="begin"/>
      </w:r>
      <w:r w:rsidRPr="00D50069">
        <w:rPr>
          <w:rFonts w:eastAsia="Calibri"/>
          <w:b/>
          <w:bCs/>
          <w:kern w:val="2"/>
          <w:position w:val="0"/>
          <w14:ligatures w14:val="standardContextual"/>
        </w:rPr>
        <w:instrText xml:space="preserve"> SEQ Graph \* ARABIC </w:instrText>
      </w:r>
      <w:r w:rsidRPr="00D50069">
        <w:rPr>
          <w:rFonts w:eastAsia="Calibri"/>
          <w:b/>
          <w:bCs/>
          <w:kern w:val="2"/>
          <w:position w:val="0"/>
          <w14:ligatures w14:val="standardContextual"/>
        </w:rPr>
        <w:fldChar w:fldCharType="separate"/>
      </w:r>
      <w:r w:rsidR="00DC3231">
        <w:rPr>
          <w:rFonts w:eastAsia="Calibri"/>
          <w:b/>
          <w:bCs/>
          <w:noProof/>
          <w:kern w:val="2"/>
          <w:position w:val="0"/>
          <w14:ligatures w14:val="standardContextual"/>
        </w:rPr>
        <w:t>10</w:t>
      </w:r>
      <w:r w:rsidRPr="00D50069">
        <w:rPr>
          <w:rFonts w:eastAsia="Calibri"/>
          <w:b/>
          <w:bCs/>
          <w:kern w:val="2"/>
          <w:position w:val="0"/>
          <w14:ligatures w14:val="standardContextual"/>
        </w:rPr>
        <w:fldChar w:fldCharType="end"/>
      </w:r>
      <w:r w:rsidRPr="00D50069">
        <w:rPr>
          <w:rFonts w:eastAsia="Calibri"/>
          <w:i/>
          <w:iCs/>
          <w:kern w:val="2"/>
          <w:position w:val="0"/>
          <w14:ligatures w14:val="standardContextual"/>
        </w:rPr>
        <w:t xml:space="preserve"> </w:t>
      </w:r>
      <w:r w:rsidRPr="002F1188">
        <w:rPr>
          <w:rFonts w:eastAsia="Calibri"/>
          <w:kern w:val="2"/>
          <w:position w:val="0"/>
          <w14:ligatures w14:val="standardContextual"/>
        </w:rPr>
        <w:t>Frequency of Applying Assessment Techniques Shared in OTCs</w:t>
      </w:r>
      <w:bookmarkEnd w:id="220"/>
    </w:p>
    <w:p w14:paraId="20F076EF" w14:textId="18A85359" w:rsidR="00D50069" w:rsidRPr="00D50069" w:rsidRDefault="00D50069" w:rsidP="002F1188">
      <w:pPr>
        <w:spacing w:after="200" w:line="480" w:lineRule="auto"/>
        <w:ind w:firstLine="567"/>
        <w:jc w:val="both"/>
        <w:rPr>
          <w:rFonts w:eastAsia="Calibri"/>
          <w:kern w:val="2"/>
          <w:position w:val="0"/>
          <w14:ligatures w14:val="standardContextual"/>
        </w:rPr>
      </w:pPr>
      <w:r w:rsidRPr="00D50069">
        <w:rPr>
          <w:rFonts w:eastAsia="Calibri"/>
          <w:b/>
          <w:bCs/>
          <w:kern w:val="2"/>
          <w:position w:val="0"/>
          <w14:ligatures w14:val="standardContextual"/>
        </w:rPr>
        <w:t xml:space="preserve">Graph 11 </w:t>
      </w:r>
      <w:r w:rsidRPr="00D50069">
        <w:rPr>
          <w:rFonts w:eastAsia="Calibri"/>
          <w:kern w:val="2"/>
          <w:position w:val="0"/>
          <w14:ligatures w14:val="standardContextual"/>
        </w:rPr>
        <w:t xml:space="preserve">demonstrates teachers’ perceptions of the effectiveness of OTCs in developing assessment knowledge. Most participants (60 %) rated them as </w:t>
      </w:r>
      <w:r w:rsidRPr="00D50069">
        <w:rPr>
          <w:rFonts w:eastAsia="Calibri"/>
          <w:b/>
          <w:bCs/>
          <w:kern w:val="2"/>
          <w:position w:val="0"/>
          <w14:ligatures w14:val="standardContextual"/>
        </w:rPr>
        <w:t>very effective</w:t>
      </w:r>
      <w:r w:rsidRPr="00D50069">
        <w:rPr>
          <w:rFonts w:eastAsia="Calibri"/>
          <w:kern w:val="2"/>
          <w:position w:val="0"/>
          <w14:ligatures w14:val="standardContextual"/>
        </w:rPr>
        <w:t xml:space="preserve">, whereas 21 % perceived them as </w:t>
      </w:r>
      <w:r w:rsidRPr="00D50069">
        <w:rPr>
          <w:rFonts w:eastAsia="Calibri"/>
          <w:b/>
          <w:bCs/>
          <w:kern w:val="2"/>
          <w:position w:val="0"/>
          <w14:ligatures w14:val="standardContextual"/>
        </w:rPr>
        <w:t>moderately effective</w:t>
      </w:r>
      <w:r w:rsidRPr="00D50069">
        <w:rPr>
          <w:rFonts w:eastAsia="Calibri"/>
          <w:kern w:val="2"/>
          <w:position w:val="0"/>
          <w14:ligatures w14:val="standardContextual"/>
        </w:rPr>
        <w:t xml:space="preserve">. A smaller portion </w:t>
      </w:r>
      <w:bookmarkStart w:id="221" w:name="_Hlk198629749"/>
      <w:r w:rsidRPr="00D50069">
        <w:rPr>
          <w:rFonts w:eastAsia="Calibri"/>
          <w:kern w:val="2"/>
          <w:position w:val="0"/>
          <w14:ligatures w14:val="standardContextual"/>
        </w:rPr>
        <w:t xml:space="preserve">(13 %) </w:t>
      </w:r>
      <w:bookmarkEnd w:id="221"/>
      <w:r w:rsidRPr="00D50069">
        <w:rPr>
          <w:rFonts w:eastAsia="Calibri"/>
          <w:kern w:val="2"/>
          <w:position w:val="0"/>
          <w14:ligatures w14:val="standardContextual"/>
        </w:rPr>
        <w:t xml:space="preserve">considered these communities </w:t>
      </w:r>
      <w:r w:rsidRPr="00D50069">
        <w:rPr>
          <w:rFonts w:eastAsia="Calibri"/>
          <w:b/>
          <w:bCs/>
          <w:kern w:val="2"/>
          <w:position w:val="0"/>
          <w14:ligatures w14:val="standardContextual"/>
        </w:rPr>
        <w:t>slightly effective</w:t>
      </w:r>
      <w:r w:rsidRPr="00D50069">
        <w:rPr>
          <w:rFonts w:eastAsia="Calibri"/>
          <w:kern w:val="2"/>
          <w:position w:val="0"/>
          <w14:ligatures w14:val="standardContextual"/>
        </w:rPr>
        <w:t xml:space="preserve"> and only 2 % viewed them </w:t>
      </w:r>
      <w:r w:rsidRPr="00D50069">
        <w:rPr>
          <w:rFonts w:eastAsia="Calibri"/>
          <w:b/>
          <w:bCs/>
          <w:kern w:val="2"/>
          <w:position w:val="0"/>
          <w14:ligatures w14:val="standardContextual"/>
        </w:rPr>
        <w:t>not effective</w:t>
      </w:r>
      <w:r w:rsidRPr="00D50069">
        <w:rPr>
          <w:rFonts w:eastAsia="Calibri"/>
          <w:kern w:val="2"/>
          <w:position w:val="0"/>
          <w14:ligatures w14:val="standardContextual"/>
        </w:rPr>
        <w:t xml:space="preserve">. Interestingly, a minimal percentage (4 %) affirmed their </w:t>
      </w:r>
      <w:r w:rsidRPr="00D50069">
        <w:rPr>
          <w:rFonts w:eastAsia="Calibri"/>
          <w:b/>
          <w:bCs/>
          <w:kern w:val="2"/>
          <w:position w:val="0"/>
          <w14:ligatures w14:val="standardContextual"/>
        </w:rPr>
        <w:t>extreme effectiveness</w:t>
      </w:r>
      <w:r w:rsidRPr="00D50069">
        <w:rPr>
          <w:rFonts w:eastAsia="Calibri"/>
          <w:kern w:val="2"/>
          <w:position w:val="0"/>
          <w14:ligatures w14:val="standardContextual"/>
        </w:rPr>
        <w:t xml:space="preserve">. A generally favorable evaluation of the platforms’ impact is evident in the data, with over than 80 % indicating a positive attitude. </w:t>
      </w:r>
    </w:p>
    <w:p w14:paraId="440F68E5" w14:textId="77777777" w:rsidR="00D50069" w:rsidRPr="00D50069" w:rsidRDefault="00D50069" w:rsidP="00D50069">
      <w:pPr>
        <w:keepNext/>
        <w:spacing w:after="160" w:line="480" w:lineRule="auto"/>
        <w:rPr>
          <w:rFonts w:ascii="Calibri" w:eastAsia="Calibri" w:hAnsi="Calibri" w:cs="Arial"/>
          <w:kern w:val="2"/>
          <w:position w:val="0"/>
          <w:sz w:val="22"/>
          <w:szCs w:val="22"/>
          <w14:ligatures w14:val="standardContextual"/>
        </w:rPr>
      </w:pPr>
      <w:r w:rsidRPr="00D50069">
        <w:rPr>
          <w:rFonts w:ascii="Calibri" w:eastAsia="Calibri" w:hAnsi="Calibri" w:cs="Arial"/>
          <w:noProof/>
          <w:kern w:val="2"/>
          <w:position w:val="0"/>
          <w:sz w:val="22"/>
          <w:szCs w:val="22"/>
          <w:lang w:val="fr-FR" w:eastAsia="fr-FR"/>
          <w14:ligatures w14:val="standardContextual"/>
        </w:rPr>
        <w:lastRenderedPageBreak/>
        <w:drawing>
          <wp:inline distT="0" distB="0" distL="0" distR="0" wp14:anchorId="17B5D7D8" wp14:editId="36263676">
            <wp:extent cx="4572000" cy="2527300"/>
            <wp:effectExtent l="0" t="0" r="0" b="6350"/>
            <wp:docPr id="1899011812" name="Chart 1">
              <a:extLst xmlns:a="http://schemas.openxmlformats.org/drawingml/2006/main">
                <a:ext uri="{FF2B5EF4-FFF2-40B4-BE49-F238E27FC236}">
                  <a16:creationId xmlns:a16="http://schemas.microsoft.com/office/drawing/2014/main"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23E1A8FC-CCC9-A3BF-55E7-3EFB501EFF5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p w14:paraId="1E37EA44" w14:textId="6F67BBFF" w:rsidR="00D50069" w:rsidRPr="00D50069" w:rsidRDefault="00D50069" w:rsidP="00D50069">
      <w:pPr>
        <w:spacing w:after="200" w:line="480" w:lineRule="auto"/>
        <w:rPr>
          <w:rFonts w:eastAsia="Calibri"/>
          <w:b/>
          <w:bCs/>
          <w:i/>
          <w:iCs/>
          <w:kern w:val="2"/>
          <w:position w:val="0"/>
          <w:sz w:val="36"/>
          <w:szCs w:val="36"/>
          <w14:ligatures w14:val="standardContextual"/>
        </w:rPr>
      </w:pPr>
      <w:bookmarkStart w:id="222" w:name="_Toc199695826"/>
      <w:r w:rsidRPr="00D50069">
        <w:rPr>
          <w:rFonts w:eastAsia="Calibri"/>
          <w:b/>
          <w:bCs/>
          <w:kern w:val="2"/>
          <w:position w:val="0"/>
          <w14:ligatures w14:val="standardContextual"/>
        </w:rPr>
        <w:t xml:space="preserve">Graph </w:t>
      </w:r>
      <w:r w:rsidRPr="00D50069">
        <w:rPr>
          <w:rFonts w:eastAsia="Calibri"/>
          <w:b/>
          <w:bCs/>
          <w:kern w:val="2"/>
          <w:position w:val="0"/>
          <w14:ligatures w14:val="standardContextual"/>
        </w:rPr>
        <w:fldChar w:fldCharType="begin"/>
      </w:r>
      <w:r w:rsidRPr="00D50069">
        <w:rPr>
          <w:rFonts w:eastAsia="Calibri"/>
          <w:b/>
          <w:bCs/>
          <w:kern w:val="2"/>
          <w:position w:val="0"/>
          <w14:ligatures w14:val="standardContextual"/>
        </w:rPr>
        <w:instrText xml:space="preserve"> SEQ Graph \* ARABIC </w:instrText>
      </w:r>
      <w:r w:rsidRPr="00D50069">
        <w:rPr>
          <w:rFonts w:eastAsia="Calibri"/>
          <w:b/>
          <w:bCs/>
          <w:kern w:val="2"/>
          <w:position w:val="0"/>
          <w14:ligatures w14:val="standardContextual"/>
        </w:rPr>
        <w:fldChar w:fldCharType="separate"/>
      </w:r>
      <w:r w:rsidR="00DC3231">
        <w:rPr>
          <w:rFonts w:eastAsia="Calibri"/>
          <w:b/>
          <w:bCs/>
          <w:noProof/>
          <w:kern w:val="2"/>
          <w:position w:val="0"/>
          <w14:ligatures w14:val="standardContextual"/>
        </w:rPr>
        <w:t>11</w:t>
      </w:r>
      <w:r w:rsidRPr="00D50069">
        <w:rPr>
          <w:rFonts w:eastAsia="Calibri"/>
          <w:b/>
          <w:bCs/>
          <w:kern w:val="2"/>
          <w:position w:val="0"/>
          <w14:ligatures w14:val="standardContextual"/>
        </w:rPr>
        <w:fldChar w:fldCharType="end"/>
      </w:r>
      <w:r w:rsidRPr="00D50069">
        <w:rPr>
          <w:rFonts w:eastAsia="Calibri"/>
          <w:i/>
          <w:iCs/>
          <w:kern w:val="2"/>
          <w:position w:val="0"/>
          <w14:ligatures w14:val="standardContextual"/>
        </w:rPr>
        <w:t xml:space="preserve"> </w:t>
      </w:r>
      <w:r w:rsidRPr="002F1188">
        <w:rPr>
          <w:rFonts w:eastAsia="Calibri"/>
          <w:kern w:val="2"/>
          <w:position w:val="0"/>
          <w14:ligatures w14:val="standardContextual"/>
        </w:rPr>
        <w:t>How Teachers Rate the Effectiveness of OTCs</w:t>
      </w:r>
      <w:bookmarkEnd w:id="222"/>
    </w:p>
    <w:p w14:paraId="6222FAB5" w14:textId="5696B579" w:rsidR="00D50069" w:rsidRPr="00D50069" w:rsidRDefault="008A1595" w:rsidP="00AA5DBF">
      <w:pPr>
        <w:pStyle w:val="Titre1"/>
        <w:rPr>
          <w:rFonts w:eastAsia="Calibri"/>
        </w:rPr>
      </w:pPr>
      <w:bookmarkStart w:id="223" w:name="_Toc200486084"/>
      <w:r>
        <w:rPr>
          <w:rFonts w:eastAsia="Calibri"/>
        </w:rPr>
        <w:t xml:space="preserve">2.2.3.3 </w:t>
      </w:r>
      <w:r w:rsidR="00D50069" w:rsidRPr="00D50069">
        <w:rPr>
          <w:rFonts w:eastAsia="Calibri"/>
        </w:rPr>
        <w:t>Analysis of the Third Questionnaire Section</w:t>
      </w:r>
      <w:bookmarkEnd w:id="223"/>
    </w:p>
    <w:p w14:paraId="72F8E0F2" w14:textId="41F8A6AA" w:rsidR="00D50069" w:rsidRPr="00D50069" w:rsidRDefault="008A1595" w:rsidP="00AA5DBF">
      <w:pPr>
        <w:pStyle w:val="Titre1"/>
        <w:rPr>
          <w:rFonts w:eastAsia="Calibri"/>
        </w:rPr>
      </w:pPr>
      <w:bookmarkStart w:id="224" w:name="_Toc200486085"/>
      <w:r>
        <w:rPr>
          <w:rFonts w:eastAsia="Calibri"/>
        </w:rPr>
        <w:t xml:space="preserve">    2.2.3.3.1 </w:t>
      </w:r>
      <w:r w:rsidR="00D50069" w:rsidRPr="00D50069">
        <w:rPr>
          <w:rFonts w:eastAsia="Calibri"/>
        </w:rPr>
        <w:t>Part One: Designing Assessment Skills</w:t>
      </w:r>
      <w:bookmarkEnd w:id="224"/>
    </w:p>
    <w:p w14:paraId="2B785C88" w14:textId="77777777" w:rsidR="00044B2B" w:rsidRDefault="00D50069" w:rsidP="00044B2B">
      <w:pPr>
        <w:spacing w:after="160" w:line="480" w:lineRule="auto"/>
        <w:ind w:firstLine="567"/>
        <w:jc w:val="both"/>
        <w:rPr>
          <w:rFonts w:eastAsia="Calibri"/>
          <w:kern w:val="2"/>
          <w:position w:val="0"/>
          <w14:ligatures w14:val="standardContextual"/>
        </w:rPr>
      </w:pPr>
      <w:r w:rsidRPr="00D50069">
        <w:rPr>
          <w:rFonts w:eastAsia="Calibri"/>
          <w:kern w:val="2"/>
          <w:position w:val="0"/>
          <w14:ligatures w14:val="standardContextual"/>
        </w:rPr>
        <w:t xml:space="preserve">The third questionnaire’s section constitutes two parts; the first one </w:t>
      </w:r>
      <w:proofErr w:type="gramStart"/>
      <w:r w:rsidRPr="00D50069">
        <w:rPr>
          <w:rFonts w:eastAsia="Calibri"/>
          <w:kern w:val="2"/>
          <w:position w:val="0"/>
          <w14:ligatures w14:val="standardContextual"/>
        </w:rPr>
        <w:t>is designed</w:t>
      </w:r>
      <w:proofErr w:type="gramEnd"/>
      <w:r w:rsidRPr="00D50069">
        <w:rPr>
          <w:rFonts w:eastAsia="Calibri"/>
          <w:kern w:val="2"/>
          <w:position w:val="0"/>
          <w14:ligatures w14:val="standardContextual"/>
        </w:rPr>
        <w:t xml:space="preserve"> to investigate teachers’ aptitude to design summative assessment tools through reflective collaborative practices in online teacher learning communities. </w:t>
      </w:r>
    </w:p>
    <w:p w14:paraId="6C478221" w14:textId="7A2D007B" w:rsidR="00D50069" w:rsidRPr="00D50069" w:rsidRDefault="00187B6E" w:rsidP="00044B2B">
      <w:pPr>
        <w:spacing w:after="160" w:line="480" w:lineRule="auto"/>
        <w:ind w:firstLine="567"/>
        <w:jc w:val="both"/>
        <w:rPr>
          <w:rFonts w:eastAsia="Calibri"/>
          <w:kern w:val="2"/>
          <w:position w:val="0"/>
          <w14:ligatures w14:val="standardContextual"/>
        </w:rPr>
      </w:pPr>
      <w:r>
        <w:rPr>
          <w:rFonts w:eastAsia="Calibri"/>
          <w:kern w:val="2"/>
          <w:position w:val="0"/>
          <w14:ligatures w14:val="standardContextual"/>
        </w:rPr>
        <w:t xml:space="preserve"> </w:t>
      </w:r>
      <w:r w:rsidR="00D50069" w:rsidRPr="00D50069">
        <w:rPr>
          <w:rFonts w:eastAsia="Calibri"/>
          <w:kern w:val="2"/>
          <w:position w:val="0"/>
          <w14:ligatures w14:val="standardContextual"/>
        </w:rPr>
        <w:t xml:space="preserve">As shown in </w:t>
      </w:r>
      <w:r w:rsidR="00D50069" w:rsidRPr="00D50069">
        <w:rPr>
          <w:rFonts w:eastAsia="Calibri"/>
          <w:b/>
          <w:bCs/>
          <w:kern w:val="2"/>
          <w:position w:val="0"/>
          <w14:ligatures w14:val="standardContextual"/>
        </w:rPr>
        <w:t>Graph 12 and Table 1</w:t>
      </w:r>
      <w:r w:rsidR="00D77233">
        <w:rPr>
          <w:rFonts w:eastAsia="Calibri"/>
          <w:b/>
          <w:bCs/>
          <w:kern w:val="2"/>
          <w:position w:val="0"/>
          <w14:ligatures w14:val="standardContextual"/>
        </w:rPr>
        <w:t>2</w:t>
      </w:r>
      <w:r w:rsidR="00D50069" w:rsidRPr="00D50069">
        <w:rPr>
          <w:rFonts w:eastAsia="Calibri"/>
          <w:kern w:val="2"/>
          <w:position w:val="0"/>
          <w14:ligatures w14:val="standardContextual"/>
        </w:rPr>
        <w:t xml:space="preserve">, responses </w:t>
      </w:r>
      <w:proofErr w:type="gramStart"/>
      <w:r w:rsidR="00D50069" w:rsidRPr="00D50069">
        <w:rPr>
          <w:rFonts w:eastAsia="Calibri"/>
          <w:kern w:val="2"/>
          <w:position w:val="0"/>
          <w14:ligatures w14:val="standardContextual"/>
        </w:rPr>
        <w:t>were evenly distributed</w:t>
      </w:r>
      <w:proofErr w:type="gramEnd"/>
      <w:r w:rsidR="00D50069" w:rsidRPr="00D50069">
        <w:rPr>
          <w:rFonts w:eastAsia="Calibri"/>
          <w:kern w:val="2"/>
          <w:position w:val="0"/>
          <w14:ligatures w14:val="standardContextual"/>
        </w:rPr>
        <w:t xml:space="preserve"> across the six items of the Likert scale. </w:t>
      </w:r>
      <w:proofErr w:type="gramStart"/>
      <w:r w:rsidR="00D50069" w:rsidRPr="00D50069">
        <w:rPr>
          <w:rFonts w:eastAsia="Calibri"/>
          <w:kern w:val="2"/>
          <w:position w:val="0"/>
          <w14:ligatures w14:val="standardContextual"/>
        </w:rPr>
        <w:t xml:space="preserve">“Agree” response consistently received the highest percentage, ranging from 60 % to 83% and indicating a strong overall perception of teachers’ skill improvement such as aligning assessment tools with clearly defined learning objectives to ensure valid and purposeful measurement of learner achievement (74 %), adapting and tailoring shared instruments to specific educational contexts (71 %), effectively and appropriately utilizing rubrics and checklists (60 %), giving and seeking constructive feedback (58 %) and reflectively using informative cumulated data while designing assessments </w:t>
      </w:r>
      <w:bookmarkStart w:id="225" w:name="_Hlk198637678"/>
      <w:r w:rsidR="00D50069" w:rsidRPr="00D50069">
        <w:rPr>
          <w:rFonts w:eastAsia="Calibri"/>
          <w:kern w:val="2"/>
          <w:position w:val="0"/>
          <w14:ligatures w14:val="standardContextual"/>
        </w:rPr>
        <w:t>(79 %)</w:t>
      </w:r>
      <w:bookmarkEnd w:id="225"/>
      <w:r w:rsidR="00D50069" w:rsidRPr="00D50069">
        <w:rPr>
          <w:rFonts w:eastAsia="Calibri"/>
          <w:kern w:val="2"/>
          <w:position w:val="0"/>
          <w14:ligatures w14:val="standardContextual"/>
        </w:rPr>
        <w:t>.</w:t>
      </w:r>
      <w:proofErr w:type="gramEnd"/>
      <w:r w:rsidR="00D50069" w:rsidRPr="00D50069">
        <w:rPr>
          <w:rFonts w:eastAsia="Calibri"/>
          <w:kern w:val="2"/>
          <w:position w:val="0"/>
          <w14:ligatures w14:val="standardContextual"/>
        </w:rPr>
        <w:t xml:space="preserve"> Most teachers (83 %) acknowledged that they have enhanced their assessment design skills through engagement in OTCs.</w:t>
      </w:r>
    </w:p>
    <w:p w14:paraId="0E581F3B" w14:textId="77777777" w:rsidR="00D50069" w:rsidRPr="00D50069" w:rsidRDefault="00D50069" w:rsidP="00D50069">
      <w:pPr>
        <w:keepNext/>
        <w:spacing w:after="160" w:line="480" w:lineRule="auto"/>
        <w:ind w:left="283"/>
        <w:jc w:val="center"/>
        <w:rPr>
          <w:rFonts w:ascii="Calibri" w:eastAsia="Calibri" w:hAnsi="Calibri" w:cs="Arial"/>
          <w:kern w:val="2"/>
          <w:position w:val="0"/>
          <w:sz w:val="22"/>
          <w:szCs w:val="22"/>
          <w14:ligatures w14:val="standardContextual"/>
        </w:rPr>
      </w:pPr>
      <w:r w:rsidRPr="00D50069">
        <w:rPr>
          <w:rFonts w:ascii="Calibri" w:eastAsia="Calibri" w:hAnsi="Calibri" w:cs="Arial"/>
          <w:noProof/>
          <w:kern w:val="2"/>
          <w:position w:val="0"/>
          <w:sz w:val="22"/>
          <w:szCs w:val="22"/>
          <w:lang w:val="fr-FR" w:eastAsia="fr-FR"/>
          <w14:ligatures w14:val="standardContextual"/>
        </w:rPr>
        <w:lastRenderedPageBreak/>
        <w:drawing>
          <wp:inline distT="0" distB="0" distL="0" distR="0" wp14:anchorId="73042129" wp14:editId="00790900">
            <wp:extent cx="5975350" cy="3041650"/>
            <wp:effectExtent l="0" t="0" r="6350" b="6350"/>
            <wp:docPr id="1336071886" name="Chart 1">
              <a:extLst xmlns:a="http://schemas.openxmlformats.org/drawingml/2006/main">
                <a:ext uri="{FF2B5EF4-FFF2-40B4-BE49-F238E27FC236}">
                  <a16:creationId xmlns:a16="http://schemas.microsoft.com/office/drawing/2014/main"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167CB830-7DCE-46E5-6501-E7A952CDDC8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p>
    <w:p w14:paraId="65B2DBFE" w14:textId="38699DC6" w:rsidR="00D50069" w:rsidRPr="00044B2B" w:rsidRDefault="00D50069" w:rsidP="00D50069">
      <w:pPr>
        <w:spacing w:after="200" w:line="480" w:lineRule="auto"/>
        <w:rPr>
          <w:rFonts w:eastAsia="Calibri"/>
          <w:kern w:val="2"/>
          <w:position w:val="0"/>
          <w14:ligatures w14:val="standardContextual"/>
        </w:rPr>
      </w:pPr>
      <w:bookmarkStart w:id="226" w:name="_Toc199695827"/>
      <w:r w:rsidRPr="00D50069">
        <w:rPr>
          <w:rFonts w:eastAsia="Calibri"/>
          <w:b/>
          <w:bCs/>
          <w:kern w:val="2"/>
          <w:position w:val="0"/>
          <w14:ligatures w14:val="standardContextual"/>
        </w:rPr>
        <w:t xml:space="preserve">Graph </w:t>
      </w:r>
      <w:r w:rsidRPr="00D50069">
        <w:rPr>
          <w:rFonts w:eastAsia="Calibri"/>
          <w:b/>
          <w:bCs/>
          <w:kern w:val="2"/>
          <w:position w:val="0"/>
          <w14:ligatures w14:val="standardContextual"/>
        </w:rPr>
        <w:fldChar w:fldCharType="begin"/>
      </w:r>
      <w:r w:rsidRPr="00D50069">
        <w:rPr>
          <w:rFonts w:eastAsia="Calibri"/>
          <w:b/>
          <w:bCs/>
          <w:kern w:val="2"/>
          <w:position w:val="0"/>
          <w14:ligatures w14:val="standardContextual"/>
        </w:rPr>
        <w:instrText xml:space="preserve"> SEQ Graph \* ARABIC </w:instrText>
      </w:r>
      <w:r w:rsidRPr="00D50069">
        <w:rPr>
          <w:rFonts w:eastAsia="Calibri"/>
          <w:b/>
          <w:bCs/>
          <w:kern w:val="2"/>
          <w:position w:val="0"/>
          <w14:ligatures w14:val="standardContextual"/>
        </w:rPr>
        <w:fldChar w:fldCharType="separate"/>
      </w:r>
      <w:r w:rsidR="00DC3231">
        <w:rPr>
          <w:rFonts w:eastAsia="Calibri"/>
          <w:b/>
          <w:bCs/>
          <w:noProof/>
          <w:kern w:val="2"/>
          <w:position w:val="0"/>
          <w14:ligatures w14:val="standardContextual"/>
        </w:rPr>
        <w:t>12</w:t>
      </w:r>
      <w:r w:rsidRPr="00D50069">
        <w:rPr>
          <w:rFonts w:eastAsia="Calibri"/>
          <w:b/>
          <w:bCs/>
          <w:kern w:val="2"/>
          <w:position w:val="0"/>
          <w14:ligatures w14:val="standardContextual"/>
        </w:rPr>
        <w:fldChar w:fldCharType="end"/>
      </w:r>
      <w:r w:rsidRPr="00D50069">
        <w:rPr>
          <w:rFonts w:eastAsia="Calibri"/>
          <w:i/>
          <w:iCs/>
          <w:kern w:val="2"/>
          <w:position w:val="0"/>
          <w14:ligatures w14:val="standardContextual"/>
        </w:rPr>
        <w:t xml:space="preserve"> </w:t>
      </w:r>
      <w:r w:rsidRPr="00044B2B">
        <w:rPr>
          <w:rFonts w:eastAsia="Calibri"/>
          <w:kern w:val="2"/>
          <w:position w:val="0"/>
          <w14:ligatures w14:val="standardContextual"/>
        </w:rPr>
        <w:t>OTCs Role in Enhancing Teachers’ Ability to Design Assessment Tools</w:t>
      </w:r>
      <w:bookmarkStart w:id="227" w:name="_Hlk198635251"/>
      <w:bookmarkEnd w:id="226"/>
    </w:p>
    <w:p w14:paraId="02409CA3" w14:textId="41875D44" w:rsidR="00044B2B" w:rsidRDefault="00D50069" w:rsidP="00044B2B">
      <w:pPr>
        <w:keepNext/>
        <w:spacing w:after="200" w:line="276" w:lineRule="auto"/>
        <w:rPr>
          <w:rFonts w:eastAsia="Calibri"/>
          <w:b/>
          <w:bCs/>
          <w:i/>
          <w:iCs/>
          <w:kern w:val="2"/>
          <w:position w:val="0"/>
          <w14:ligatures w14:val="standardContextual"/>
        </w:rPr>
      </w:pPr>
      <w:bookmarkStart w:id="228" w:name="_Toc199832006"/>
      <w:bookmarkStart w:id="229" w:name="_Toc199832375"/>
      <w:bookmarkStart w:id="230" w:name="_Toc200446660"/>
      <w:r w:rsidRPr="00D50069">
        <w:rPr>
          <w:rFonts w:eastAsia="Calibri"/>
          <w:b/>
          <w:bCs/>
          <w:kern w:val="2"/>
          <w:position w:val="0"/>
          <w14:ligatures w14:val="standardContextual"/>
        </w:rPr>
        <w:t xml:space="preserve">Table </w:t>
      </w:r>
      <w:r w:rsidR="00274F6F" w:rsidRPr="00D77233">
        <w:rPr>
          <w:rFonts w:eastAsia="Calibri"/>
          <w:b/>
          <w:bCs/>
          <w:kern w:val="2"/>
          <w:position w:val="0"/>
          <w14:ligatures w14:val="standardContextual"/>
        </w:rPr>
        <w:fldChar w:fldCharType="begin"/>
      </w:r>
      <w:r w:rsidR="00274F6F" w:rsidRPr="00D77233">
        <w:rPr>
          <w:rFonts w:eastAsia="Calibri"/>
          <w:b/>
          <w:bCs/>
          <w:kern w:val="2"/>
          <w:position w:val="0"/>
          <w14:ligatures w14:val="standardContextual"/>
        </w:rPr>
        <w:instrText xml:space="preserve"> SEQ Table \* ARABIC </w:instrText>
      </w:r>
      <w:r w:rsidR="00274F6F" w:rsidRPr="00D77233">
        <w:rPr>
          <w:rFonts w:eastAsia="Calibri"/>
          <w:b/>
          <w:bCs/>
          <w:kern w:val="2"/>
          <w:position w:val="0"/>
          <w14:ligatures w14:val="standardContextual"/>
        </w:rPr>
        <w:fldChar w:fldCharType="separate"/>
      </w:r>
      <w:r w:rsidR="00DC3231">
        <w:rPr>
          <w:rFonts w:eastAsia="Calibri"/>
          <w:b/>
          <w:bCs/>
          <w:noProof/>
          <w:kern w:val="2"/>
          <w:position w:val="0"/>
          <w14:ligatures w14:val="standardContextual"/>
        </w:rPr>
        <w:t>12</w:t>
      </w:r>
      <w:r w:rsidR="00274F6F" w:rsidRPr="00D77233">
        <w:rPr>
          <w:rFonts w:eastAsia="Calibri"/>
          <w:b/>
          <w:bCs/>
          <w:kern w:val="2"/>
          <w:position w:val="0"/>
          <w14:ligatures w14:val="standardContextual"/>
        </w:rPr>
        <w:fldChar w:fldCharType="end"/>
      </w:r>
      <w:r w:rsidRPr="00D50069">
        <w:rPr>
          <w:rFonts w:eastAsia="Calibri"/>
          <w:b/>
          <w:bCs/>
          <w:i/>
          <w:iCs/>
          <w:kern w:val="2"/>
          <w:position w:val="0"/>
          <w14:ligatures w14:val="standardContextual"/>
        </w:rPr>
        <w:t xml:space="preserve"> </w:t>
      </w:r>
    </w:p>
    <w:p w14:paraId="19AE9D01" w14:textId="43828BF9" w:rsidR="00D50069" w:rsidRPr="00044B2B" w:rsidRDefault="00D50069" w:rsidP="00044B2B">
      <w:pPr>
        <w:keepNext/>
        <w:spacing w:after="200" w:line="276" w:lineRule="auto"/>
        <w:rPr>
          <w:rFonts w:eastAsia="Calibri"/>
          <w:b/>
          <w:bCs/>
          <w:kern w:val="2"/>
          <w:position w:val="0"/>
          <w14:ligatures w14:val="standardContextual"/>
        </w:rPr>
      </w:pPr>
      <w:r w:rsidRPr="00044B2B">
        <w:rPr>
          <w:rFonts w:eastAsia="Calibri"/>
          <w:kern w:val="2"/>
          <w:position w:val="0"/>
          <w14:ligatures w14:val="standardContextual"/>
        </w:rPr>
        <w:t>Distribution of Teachers’ Agreement Regarding OTCs Role in Enhancing their Ability to Design Assessment Tools</w:t>
      </w:r>
      <w:bookmarkEnd w:id="228"/>
      <w:bookmarkEnd w:id="229"/>
      <w:bookmarkEnd w:id="230"/>
    </w:p>
    <w:tbl>
      <w:tblPr>
        <w:tblStyle w:val="Tableausimple2"/>
        <w:tblW w:w="9351" w:type="dxa"/>
        <w:tblLook w:val="04A0" w:firstRow="1" w:lastRow="0" w:firstColumn="1" w:lastColumn="0" w:noHBand="0" w:noVBand="1"/>
      </w:tblPr>
      <w:tblGrid>
        <w:gridCol w:w="3509"/>
        <w:gridCol w:w="1031"/>
        <w:gridCol w:w="1054"/>
        <w:gridCol w:w="937"/>
        <w:gridCol w:w="869"/>
        <w:gridCol w:w="1028"/>
        <w:gridCol w:w="923"/>
      </w:tblGrid>
      <w:tr w:rsidR="00D50069" w:rsidRPr="00D50069" w14:paraId="5149CA13" w14:textId="77777777" w:rsidTr="00C141A1">
        <w:trPr>
          <w:cnfStyle w:val="100000000000" w:firstRow="1" w:lastRow="0" w:firstColumn="0" w:lastColumn="0" w:oddVBand="0" w:evenVBand="0" w:oddHBand="0" w:evenHBand="0" w:firstRowFirstColumn="0" w:firstRowLastColumn="0" w:lastRowFirstColumn="0" w:lastRowLastColumn="0"/>
          <w:trHeight w:val="275"/>
        </w:trPr>
        <w:tc>
          <w:tcPr>
            <w:cnfStyle w:val="001000000000" w:firstRow="0" w:lastRow="0" w:firstColumn="1" w:lastColumn="0" w:oddVBand="0" w:evenVBand="0" w:oddHBand="0" w:evenHBand="0" w:firstRowFirstColumn="0" w:firstRowLastColumn="0" w:lastRowFirstColumn="0" w:lastRowLastColumn="0"/>
            <w:tcW w:w="3550" w:type="dxa"/>
            <w:vMerge w:val="restart"/>
          </w:tcPr>
          <w:p w14:paraId="5ACA0142" w14:textId="77777777" w:rsidR="00D50069" w:rsidRPr="00D50069" w:rsidRDefault="00D50069" w:rsidP="00C43729">
            <w:pPr>
              <w:rPr>
                <w:rFonts w:eastAsia="Calibri" w:cstheme="majorBidi"/>
                <w:position w:val="0"/>
                <w:sz w:val="22"/>
              </w:rPr>
            </w:pPr>
            <w:r w:rsidRPr="00D50069">
              <w:rPr>
                <w:rFonts w:eastAsia="Calibri" w:cstheme="majorBidi"/>
                <w:position w:val="0"/>
                <w:sz w:val="22"/>
              </w:rPr>
              <w:t>Statements</w:t>
            </w:r>
          </w:p>
        </w:tc>
        <w:tc>
          <w:tcPr>
            <w:tcW w:w="998" w:type="dxa"/>
          </w:tcPr>
          <w:p w14:paraId="129F2F46" w14:textId="77777777" w:rsidR="00D50069" w:rsidRPr="00D50069" w:rsidRDefault="00D50069" w:rsidP="00C43729">
            <w:pPr>
              <w:cnfStyle w:val="100000000000" w:firstRow="1" w:lastRow="0" w:firstColumn="0" w:lastColumn="0" w:oddVBand="0" w:evenVBand="0" w:oddHBand="0" w:evenHBand="0" w:firstRowFirstColumn="0" w:firstRowLastColumn="0" w:lastRowFirstColumn="0" w:lastRowLastColumn="0"/>
              <w:rPr>
                <w:rFonts w:eastAsia="Calibri" w:cstheme="majorBidi"/>
                <w:position w:val="0"/>
                <w:sz w:val="22"/>
              </w:rPr>
            </w:pPr>
            <w:r w:rsidRPr="00D50069">
              <w:rPr>
                <w:rFonts w:eastAsia="Calibri" w:cstheme="majorBidi"/>
                <w:position w:val="0"/>
                <w:sz w:val="22"/>
              </w:rPr>
              <w:t>Strongly Disagree</w:t>
            </w:r>
          </w:p>
        </w:tc>
        <w:tc>
          <w:tcPr>
            <w:tcW w:w="1054" w:type="dxa"/>
          </w:tcPr>
          <w:p w14:paraId="7FE5524A" w14:textId="77777777" w:rsidR="00D50069" w:rsidRPr="00D50069" w:rsidRDefault="00D50069" w:rsidP="00C43729">
            <w:pPr>
              <w:cnfStyle w:val="100000000000" w:firstRow="1" w:lastRow="0" w:firstColumn="0" w:lastColumn="0" w:oddVBand="0" w:evenVBand="0" w:oddHBand="0" w:evenHBand="0" w:firstRowFirstColumn="0" w:firstRowLastColumn="0" w:lastRowFirstColumn="0" w:lastRowLastColumn="0"/>
              <w:rPr>
                <w:rFonts w:eastAsia="Calibri" w:cstheme="majorBidi"/>
                <w:position w:val="0"/>
                <w:sz w:val="22"/>
              </w:rPr>
            </w:pPr>
            <w:r w:rsidRPr="00D50069">
              <w:rPr>
                <w:rFonts w:eastAsia="Calibri" w:cstheme="majorBidi"/>
                <w:position w:val="0"/>
                <w:sz w:val="22"/>
              </w:rPr>
              <w:t>Disagree</w:t>
            </w:r>
          </w:p>
        </w:tc>
        <w:tc>
          <w:tcPr>
            <w:tcW w:w="923" w:type="dxa"/>
          </w:tcPr>
          <w:p w14:paraId="1B92D420" w14:textId="77777777" w:rsidR="00D50069" w:rsidRPr="00D50069" w:rsidRDefault="00D50069" w:rsidP="00C43729">
            <w:pPr>
              <w:cnfStyle w:val="100000000000" w:firstRow="1" w:lastRow="0" w:firstColumn="0" w:lastColumn="0" w:oddVBand="0" w:evenVBand="0" w:oddHBand="0" w:evenHBand="0" w:firstRowFirstColumn="0" w:firstRowLastColumn="0" w:lastRowFirstColumn="0" w:lastRowLastColumn="0"/>
              <w:rPr>
                <w:rFonts w:eastAsia="Calibri" w:cstheme="majorBidi"/>
                <w:position w:val="0"/>
                <w:sz w:val="22"/>
              </w:rPr>
            </w:pPr>
            <w:r w:rsidRPr="00D50069">
              <w:rPr>
                <w:rFonts w:eastAsia="Calibri" w:cstheme="majorBidi"/>
                <w:position w:val="0"/>
                <w:sz w:val="22"/>
              </w:rPr>
              <w:t>Neutral</w:t>
            </w:r>
          </w:p>
        </w:tc>
        <w:tc>
          <w:tcPr>
            <w:tcW w:w="871" w:type="dxa"/>
          </w:tcPr>
          <w:p w14:paraId="6AE0912F" w14:textId="77777777" w:rsidR="00D50069" w:rsidRPr="00D50069" w:rsidRDefault="00D50069" w:rsidP="00C43729">
            <w:pPr>
              <w:cnfStyle w:val="100000000000" w:firstRow="1" w:lastRow="0" w:firstColumn="0" w:lastColumn="0" w:oddVBand="0" w:evenVBand="0" w:oddHBand="0" w:evenHBand="0" w:firstRowFirstColumn="0" w:firstRowLastColumn="0" w:lastRowFirstColumn="0" w:lastRowLastColumn="0"/>
              <w:rPr>
                <w:rFonts w:eastAsia="Calibri" w:cstheme="majorBidi"/>
                <w:position w:val="0"/>
                <w:sz w:val="22"/>
              </w:rPr>
            </w:pPr>
            <w:r w:rsidRPr="00D50069">
              <w:rPr>
                <w:rFonts w:eastAsia="Calibri" w:cstheme="majorBidi"/>
                <w:position w:val="0"/>
                <w:sz w:val="22"/>
              </w:rPr>
              <w:t>Agree</w:t>
            </w:r>
          </w:p>
        </w:tc>
        <w:tc>
          <w:tcPr>
            <w:tcW w:w="1028" w:type="dxa"/>
          </w:tcPr>
          <w:p w14:paraId="442EB5CE" w14:textId="77777777" w:rsidR="00D50069" w:rsidRPr="00D50069" w:rsidRDefault="00D50069" w:rsidP="00C43729">
            <w:pPr>
              <w:cnfStyle w:val="100000000000" w:firstRow="1" w:lastRow="0" w:firstColumn="0" w:lastColumn="0" w:oddVBand="0" w:evenVBand="0" w:oddHBand="0" w:evenHBand="0" w:firstRowFirstColumn="0" w:firstRowLastColumn="0" w:lastRowFirstColumn="0" w:lastRowLastColumn="0"/>
              <w:rPr>
                <w:rFonts w:eastAsia="Calibri" w:cstheme="majorBidi"/>
                <w:b w:val="0"/>
                <w:bCs w:val="0"/>
                <w:position w:val="0"/>
                <w:sz w:val="22"/>
              </w:rPr>
            </w:pPr>
            <w:r w:rsidRPr="00D50069">
              <w:rPr>
                <w:rFonts w:eastAsia="Calibri" w:cstheme="majorBidi"/>
                <w:position w:val="0"/>
                <w:sz w:val="22"/>
              </w:rPr>
              <w:t>Strongly</w:t>
            </w:r>
          </w:p>
          <w:p w14:paraId="4F0171E2" w14:textId="77777777" w:rsidR="00D50069" w:rsidRPr="00D50069" w:rsidRDefault="00D50069" w:rsidP="00C43729">
            <w:pPr>
              <w:cnfStyle w:val="100000000000" w:firstRow="1" w:lastRow="0" w:firstColumn="0" w:lastColumn="0" w:oddVBand="0" w:evenVBand="0" w:oddHBand="0" w:evenHBand="0" w:firstRowFirstColumn="0" w:firstRowLastColumn="0" w:lastRowFirstColumn="0" w:lastRowLastColumn="0"/>
              <w:rPr>
                <w:rFonts w:eastAsia="Calibri" w:cstheme="majorBidi"/>
                <w:position w:val="0"/>
                <w:sz w:val="22"/>
              </w:rPr>
            </w:pPr>
            <w:r w:rsidRPr="00D50069">
              <w:rPr>
                <w:rFonts w:eastAsia="Calibri" w:cstheme="majorBidi"/>
                <w:position w:val="0"/>
                <w:sz w:val="22"/>
              </w:rPr>
              <w:t xml:space="preserve">Agree </w:t>
            </w:r>
          </w:p>
        </w:tc>
        <w:tc>
          <w:tcPr>
            <w:tcW w:w="927" w:type="dxa"/>
          </w:tcPr>
          <w:p w14:paraId="057AC0F9" w14:textId="77777777" w:rsidR="00D50069" w:rsidRPr="00D50069" w:rsidRDefault="00D50069" w:rsidP="00C43729">
            <w:pPr>
              <w:cnfStyle w:val="100000000000" w:firstRow="1" w:lastRow="0" w:firstColumn="0" w:lastColumn="0" w:oddVBand="0" w:evenVBand="0" w:oddHBand="0" w:evenHBand="0" w:firstRowFirstColumn="0" w:firstRowLastColumn="0" w:lastRowFirstColumn="0" w:lastRowLastColumn="0"/>
              <w:rPr>
                <w:rFonts w:eastAsia="Calibri" w:cstheme="majorBidi"/>
                <w:position w:val="0"/>
                <w:sz w:val="22"/>
              </w:rPr>
            </w:pPr>
            <w:r w:rsidRPr="00D50069">
              <w:rPr>
                <w:rFonts w:eastAsia="Calibri" w:cstheme="majorBidi"/>
                <w:position w:val="0"/>
                <w:sz w:val="22"/>
              </w:rPr>
              <w:t>Total</w:t>
            </w:r>
          </w:p>
        </w:tc>
      </w:tr>
      <w:tr w:rsidR="00D50069" w:rsidRPr="00D50069" w14:paraId="4E1F77E5" w14:textId="77777777" w:rsidTr="00C141A1">
        <w:trPr>
          <w:cnfStyle w:val="000000100000" w:firstRow="0" w:lastRow="0" w:firstColumn="0" w:lastColumn="0" w:oddVBand="0" w:evenVBand="0" w:oddHBand="1" w:evenHBand="0" w:firstRowFirstColumn="0" w:firstRowLastColumn="0" w:lastRowFirstColumn="0" w:lastRowLastColumn="0"/>
          <w:trHeight w:val="275"/>
        </w:trPr>
        <w:tc>
          <w:tcPr>
            <w:cnfStyle w:val="001000000000" w:firstRow="0" w:lastRow="0" w:firstColumn="1" w:lastColumn="0" w:oddVBand="0" w:evenVBand="0" w:oddHBand="0" w:evenHBand="0" w:firstRowFirstColumn="0" w:firstRowLastColumn="0" w:lastRowFirstColumn="0" w:lastRowLastColumn="0"/>
            <w:tcW w:w="3550" w:type="dxa"/>
            <w:vMerge/>
          </w:tcPr>
          <w:p w14:paraId="16DA2EE5" w14:textId="77777777" w:rsidR="00D50069" w:rsidRPr="00D50069" w:rsidRDefault="00D50069" w:rsidP="00C43729">
            <w:pPr>
              <w:rPr>
                <w:rFonts w:eastAsia="Calibri" w:cstheme="majorBidi"/>
                <w:position w:val="0"/>
                <w:sz w:val="22"/>
              </w:rPr>
            </w:pPr>
          </w:p>
        </w:tc>
        <w:tc>
          <w:tcPr>
            <w:tcW w:w="5801" w:type="dxa"/>
            <w:gridSpan w:val="6"/>
          </w:tcPr>
          <w:p w14:paraId="4B45C18F" w14:textId="77777777" w:rsidR="00D50069" w:rsidRPr="00D50069" w:rsidRDefault="00D50069" w:rsidP="00C43729">
            <w:pPr>
              <w:jc w:val="center"/>
              <w:cnfStyle w:val="000000100000" w:firstRow="0" w:lastRow="0" w:firstColumn="0" w:lastColumn="0" w:oddVBand="0" w:evenVBand="0" w:oddHBand="1" w:evenHBand="0" w:firstRowFirstColumn="0" w:firstRowLastColumn="0" w:lastRowFirstColumn="0" w:lastRowLastColumn="0"/>
              <w:rPr>
                <w:rFonts w:eastAsia="Calibri" w:cstheme="majorBidi"/>
                <w:position w:val="0"/>
                <w:sz w:val="22"/>
              </w:rPr>
            </w:pPr>
            <w:r w:rsidRPr="00D50069">
              <w:rPr>
                <w:rFonts w:eastAsia="Calibri" w:cstheme="majorBidi"/>
                <w:position w:val="0"/>
                <w:sz w:val="22"/>
              </w:rPr>
              <w:t xml:space="preserve">Frequency and Percentage </w:t>
            </w:r>
          </w:p>
        </w:tc>
      </w:tr>
      <w:tr w:rsidR="00D50069" w:rsidRPr="00D50069" w14:paraId="67957FAC" w14:textId="77777777" w:rsidTr="00C141A1">
        <w:tc>
          <w:tcPr>
            <w:cnfStyle w:val="001000000000" w:firstRow="0" w:lastRow="0" w:firstColumn="1" w:lastColumn="0" w:oddVBand="0" w:evenVBand="0" w:oddHBand="0" w:evenHBand="0" w:firstRowFirstColumn="0" w:firstRowLastColumn="0" w:lastRowFirstColumn="0" w:lastRowLastColumn="0"/>
            <w:tcW w:w="3550" w:type="dxa"/>
          </w:tcPr>
          <w:p w14:paraId="28476A14" w14:textId="77777777" w:rsidR="00D50069" w:rsidRPr="00D50069" w:rsidRDefault="00D50069" w:rsidP="00C43729">
            <w:pPr>
              <w:rPr>
                <w:rFonts w:eastAsia="Calibri" w:cstheme="majorBidi"/>
                <w:position w:val="0"/>
                <w:sz w:val="22"/>
              </w:rPr>
            </w:pPr>
            <w:r w:rsidRPr="00D50069">
              <w:rPr>
                <w:rFonts w:eastAsia="Calibri" w:cstheme="majorBidi"/>
                <w:position w:val="0"/>
                <w:sz w:val="22"/>
              </w:rPr>
              <w:t>1. I have enhanced my assessment design skills by engaging with online teacher communities.</w:t>
            </w:r>
          </w:p>
          <w:p w14:paraId="56BD4B98" w14:textId="77777777" w:rsidR="00D50069" w:rsidRPr="00D50069" w:rsidRDefault="00D50069" w:rsidP="00C43729">
            <w:pPr>
              <w:rPr>
                <w:rFonts w:eastAsia="Calibri" w:cstheme="majorBidi"/>
                <w:position w:val="0"/>
                <w:sz w:val="22"/>
              </w:rPr>
            </w:pPr>
          </w:p>
        </w:tc>
        <w:tc>
          <w:tcPr>
            <w:tcW w:w="998" w:type="dxa"/>
          </w:tcPr>
          <w:p w14:paraId="3709E740" w14:textId="77777777" w:rsidR="00D50069" w:rsidRPr="00D50069" w:rsidRDefault="00D50069" w:rsidP="00C43729">
            <w:pPr>
              <w:cnfStyle w:val="000000000000" w:firstRow="0" w:lastRow="0" w:firstColumn="0" w:lastColumn="0" w:oddVBand="0" w:evenVBand="0" w:oddHBand="0" w:evenHBand="0" w:firstRowFirstColumn="0" w:firstRowLastColumn="0" w:lastRowFirstColumn="0" w:lastRowLastColumn="0"/>
              <w:rPr>
                <w:rFonts w:eastAsia="Calibri" w:cstheme="majorBidi"/>
                <w:position w:val="0"/>
                <w:sz w:val="22"/>
              </w:rPr>
            </w:pPr>
            <w:r w:rsidRPr="00D50069">
              <w:rPr>
                <w:rFonts w:eastAsia="Calibri" w:cstheme="majorBidi"/>
                <w:position w:val="0"/>
                <w:sz w:val="22"/>
              </w:rPr>
              <w:t>00</w:t>
            </w:r>
          </w:p>
          <w:p w14:paraId="11F964B5" w14:textId="77777777" w:rsidR="00D50069" w:rsidRPr="00D50069" w:rsidRDefault="00D50069" w:rsidP="00C43729">
            <w:pPr>
              <w:cnfStyle w:val="000000000000" w:firstRow="0" w:lastRow="0" w:firstColumn="0" w:lastColumn="0" w:oddVBand="0" w:evenVBand="0" w:oddHBand="0" w:evenHBand="0" w:firstRowFirstColumn="0" w:firstRowLastColumn="0" w:lastRowFirstColumn="0" w:lastRowLastColumn="0"/>
              <w:rPr>
                <w:rFonts w:eastAsia="Calibri" w:cstheme="majorBidi"/>
                <w:position w:val="0"/>
                <w:sz w:val="22"/>
              </w:rPr>
            </w:pPr>
            <w:r w:rsidRPr="00D50069">
              <w:rPr>
                <w:rFonts w:eastAsia="Calibri" w:cstheme="majorBidi"/>
                <w:position w:val="0"/>
                <w:sz w:val="22"/>
              </w:rPr>
              <w:t>00 %</w:t>
            </w:r>
          </w:p>
        </w:tc>
        <w:tc>
          <w:tcPr>
            <w:tcW w:w="1054" w:type="dxa"/>
          </w:tcPr>
          <w:p w14:paraId="27994128" w14:textId="77777777" w:rsidR="00D50069" w:rsidRPr="00D50069" w:rsidRDefault="00D50069" w:rsidP="00C43729">
            <w:pPr>
              <w:cnfStyle w:val="000000000000" w:firstRow="0" w:lastRow="0" w:firstColumn="0" w:lastColumn="0" w:oddVBand="0" w:evenVBand="0" w:oddHBand="0" w:evenHBand="0" w:firstRowFirstColumn="0" w:firstRowLastColumn="0" w:lastRowFirstColumn="0" w:lastRowLastColumn="0"/>
              <w:rPr>
                <w:rFonts w:eastAsia="Calibri" w:cstheme="majorBidi"/>
                <w:position w:val="0"/>
                <w:sz w:val="22"/>
              </w:rPr>
            </w:pPr>
            <w:r w:rsidRPr="00D50069">
              <w:rPr>
                <w:rFonts w:eastAsia="Calibri" w:cstheme="majorBidi"/>
                <w:position w:val="0"/>
                <w:sz w:val="22"/>
              </w:rPr>
              <w:t>01</w:t>
            </w:r>
          </w:p>
          <w:p w14:paraId="3D65675C" w14:textId="77777777" w:rsidR="00D50069" w:rsidRPr="00D50069" w:rsidRDefault="00D50069" w:rsidP="00C43729">
            <w:pPr>
              <w:cnfStyle w:val="000000000000" w:firstRow="0" w:lastRow="0" w:firstColumn="0" w:lastColumn="0" w:oddVBand="0" w:evenVBand="0" w:oddHBand="0" w:evenHBand="0" w:firstRowFirstColumn="0" w:firstRowLastColumn="0" w:lastRowFirstColumn="0" w:lastRowLastColumn="0"/>
              <w:rPr>
                <w:rFonts w:eastAsia="Calibri" w:cstheme="majorBidi"/>
                <w:position w:val="0"/>
                <w:sz w:val="22"/>
              </w:rPr>
            </w:pPr>
            <w:r w:rsidRPr="00D50069">
              <w:rPr>
                <w:rFonts w:eastAsia="Calibri" w:cstheme="majorBidi"/>
                <w:position w:val="0"/>
                <w:sz w:val="22"/>
              </w:rPr>
              <w:t>02 %</w:t>
            </w:r>
          </w:p>
        </w:tc>
        <w:tc>
          <w:tcPr>
            <w:tcW w:w="923" w:type="dxa"/>
          </w:tcPr>
          <w:p w14:paraId="763B075D" w14:textId="77777777" w:rsidR="00D50069" w:rsidRPr="00D50069" w:rsidRDefault="00D50069" w:rsidP="00C43729">
            <w:pPr>
              <w:cnfStyle w:val="000000000000" w:firstRow="0" w:lastRow="0" w:firstColumn="0" w:lastColumn="0" w:oddVBand="0" w:evenVBand="0" w:oddHBand="0" w:evenHBand="0" w:firstRowFirstColumn="0" w:firstRowLastColumn="0" w:lastRowFirstColumn="0" w:lastRowLastColumn="0"/>
              <w:rPr>
                <w:rFonts w:eastAsia="Calibri" w:cstheme="majorBidi"/>
                <w:position w:val="0"/>
                <w:sz w:val="22"/>
              </w:rPr>
            </w:pPr>
            <w:r w:rsidRPr="00D50069">
              <w:rPr>
                <w:rFonts w:eastAsia="Calibri" w:cstheme="majorBidi"/>
                <w:position w:val="0"/>
                <w:sz w:val="22"/>
              </w:rPr>
              <w:t>06</w:t>
            </w:r>
          </w:p>
          <w:p w14:paraId="51967DE9" w14:textId="77777777" w:rsidR="00D50069" w:rsidRPr="00D50069" w:rsidRDefault="00D50069" w:rsidP="00C43729">
            <w:pPr>
              <w:cnfStyle w:val="000000000000" w:firstRow="0" w:lastRow="0" w:firstColumn="0" w:lastColumn="0" w:oddVBand="0" w:evenVBand="0" w:oddHBand="0" w:evenHBand="0" w:firstRowFirstColumn="0" w:firstRowLastColumn="0" w:lastRowFirstColumn="0" w:lastRowLastColumn="0"/>
              <w:rPr>
                <w:rFonts w:eastAsia="Calibri" w:cstheme="majorBidi"/>
                <w:position w:val="0"/>
                <w:sz w:val="22"/>
              </w:rPr>
            </w:pPr>
            <w:r w:rsidRPr="00D50069">
              <w:rPr>
                <w:rFonts w:eastAsia="Calibri" w:cstheme="majorBidi"/>
                <w:position w:val="0"/>
                <w:sz w:val="22"/>
              </w:rPr>
              <w:t>13 %</w:t>
            </w:r>
          </w:p>
        </w:tc>
        <w:tc>
          <w:tcPr>
            <w:tcW w:w="871" w:type="dxa"/>
          </w:tcPr>
          <w:p w14:paraId="156928B1" w14:textId="77777777" w:rsidR="00D50069" w:rsidRPr="00D50069" w:rsidRDefault="00D50069" w:rsidP="00C43729">
            <w:pPr>
              <w:cnfStyle w:val="000000000000" w:firstRow="0" w:lastRow="0" w:firstColumn="0" w:lastColumn="0" w:oddVBand="0" w:evenVBand="0" w:oddHBand="0" w:evenHBand="0" w:firstRowFirstColumn="0" w:firstRowLastColumn="0" w:lastRowFirstColumn="0" w:lastRowLastColumn="0"/>
              <w:rPr>
                <w:rFonts w:eastAsia="Calibri" w:cstheme="majorBidi"/>
                <w:position w:val="0"/>
                <w:sz w:val="22"/>
              </w:rPr>
            </w:pPr>
            <w:r w:rsidRPr="00D50069">
              <w:rPr>
                <w:rFonts w:eastAsia="Calibri" w:cstheme="majorBidi"/>
                <w:position w:val="0"/>
                <w:sz w:val="22"/>
              </w:rPr>
              <w:t>40</w:t>
            </w:r>
          </w:p>
          <w:p w14:paraId="7E4AC7FE" w14:textId="77777777" w:rsidR="00D50069" w:rsidRPr="00D50069" w:rsidRDefault="00D50069" w:rsidP="00C43729">
            <w:pPr>
              <w:cnfStyle w:val="000000000000" w:firstRow="0" w:lastRow="0" w:firstColumn="0" w:lastColumn="0" w:oddVBand="0" w:evenVBand="0" w:oddHBand="0" w:evenHBand="0" w:firstRowFirstColumn="0" w:firstRowLastColumn="0" w:lastRowFirstColumn="0" w:lastRowLastColumn="0"/>
              <w:rPr>
                <w:rFonts w:eastAsia="Calibri" w:cstheme="majorBidi"/>
                <w:position w:val="0"/>
                <w:sz w:val="22"/>
              </w:rPr>
            </w:pPr>
            <w:r w:rsidRPr="00D50069">
              <w:rPr>
                <w:rFonts w:eastAsia="Calibri" w:cstheme="majorBidi"/>
                <w:position w:val="0"/>
                <w:sz w:val="22"/>
              </w:rPr>
              <w:t>83 %</w:t>
            </w:r>
          </w:p>
        </w:tc>
        <w:tc>
          <w:tcPr>
            <w:tcW w:w="1028" w:type="dxa"/>
          </w:tcPr>
          <w:p w14:paraId="15E7563C" w14:textId="77777777" w:rsidR="00D50069" w:rsidRPr="00D50069" w:rsidRDefault="00D50069" w:rsidP="00C43729">
            <w:pPr>
              <w:cnfStyle w:val="000000000000" w:firstRow="0" w:lastRow="0" w:firstColumn="0" w:lastColumn="0" w:oddVBand="0" w:evenVBand="0" w:oddHBand="0" w:evenHBand="0" w:firstRowFirstColumn="0" w:firstRowLastColumn="0" w:lastRowFirstColumn="0" w:lastRowLastColumn="0"/>
              <w:rPr>
                <w:rFonts w:eastAsia="Calibri" w:cstheme="majorBidi"/>
                <w:position w:val="0"/>
                <w:sz w:val="22"/>
              </w:rPr>
            </w:pPr>
            <w:r w:rsidRPr="00D50069">
              <w:rPr>
                <w:rFonts w:eastAsia="Calibri" w:cstheme="majorBidi"/>
                <w:position w:val="0"/>
                <w:sz w:val="22"/>
              </w:rPr>
              <w:t>01</w:t>
            </w:r>
          </w:p>
          <w:p w14:paraId="66E3F21E" w14:textId="77777777" w:rsidR="00D50069" w:rsidRPr="00D50069" w:rsidRDefault="00D50069" w:rsidP="00C43729">
            <w:pPr>
              <w:cnfStyle w:val="000000000000" w:firstRow="0" w:lastRow="0" w:firstColumn="0" w:lastColumn="0" w:oddVBand="0" w:evenVBand="0" w:oddHBand="0" w:evenHBand="0" w:firstRowFirstColumn="0" w:firstRowLastColumn="0" w:lastRowFirstColumn="0" w:lastRowLastColumn="0"/>
              <w:rPr>
                <w:rFonts w:eastAsia="Calibri" w:cstheme="majorBidi"/>
                <w:position w:val="0"/>
                <w:sz w:val="22"/>
              </w:rPr>
            </w:pPr>
            <w:r w:rsidRPr="00D50069">
              <w:rPr>
                <w:rFonts w:eastAsia="Calibri" w:cstheme="majorBidi"/>
                <w:position w:val="0"/>
                <w:sz w:val="22"/>
              </w:rPr>
              <w:t>02 %</w:t>
            </w:r>
          </w:p>
        </w:tc>
        <w:tc>
          <w:tcPr>
            <w:tcW w:w="927" w:type="dxa"/>
          </w:tcPr>
          <w:p w14:paraId="51CC5D30" w14:textId="77777777" w:rsidR="00D50069" w:rsidRPr="00D50069" w:rsidRDefault="00D50069" w:rsidP="00C43729">
            <w:pPr>
              <w:cnfStyle w:val="000000000000" w:firstRow="0" w:lastRow="0" w:firstColumn="0" w:lastColumn="0" w:oddVBand="0" w:evenVBand="0" w:oddHBand="0" w:evenHBand="0" w:firstRowFirstColumn="0" w:firstRowLastColumn="0" w:lastRowFirstColumn="0" w:lastRowLastColumn="0"/>
              <w:rPr>
                <w:rFonts w:eastAsia="Calibri" w:cstheme="majorBidi"/>
                <w:position w:val="0"/>
                <w:sz w:val="22"/>
              </w:rPr>
            </w:pPr>
            <w:r w:rsidRPr="00D50069">
              <w:rPr>
                <w:rFonts w:eastAsia="Calibri" w:cstheme="majorBidi"/>
                <w:position w:val="0"/>
                <w:sz w:val="22"/>
              </w:rPr>
              <w:t>48</w:t>
            </w:r>
          </w:p>
          <w:p w14:paraId="281FD0AF" w14:textId="77777777" w:rsidR="00D50069" w:rsidRPr="00D50069" w:rsidRDefault="00D50069" w:rsidP="00C43729">
            <w:pPr>
              <w:cnfStyle w:val="000000000000" w:firstRow="0" w:lastRow="0" w:firstColumn="0" w:lastColumn="0" w:oddVBand="0" w:evenVBand="0" w:oddHBand="0" w:evenHBand="0" w:firstRowFirstColumn="0" w:firstRowLastColumn="0" w:lastRowFirstColumn="0" w:lastRowLastColumn="0"/>
              <w:rPr>
                <w:rFonts w:eastAsia="Calibri" w:cstheme="majorBidi"/>
                <w:position w:val="0"/>
                <w:sz w:val="22"/>
              </w:rPr>
            </w:pPr>
            <w:r w:rsidRPr="00D50069">
              <w:rPr>
                <w:rFonts w:eastAsia="Calibri" w:cstheme="majorBidi"/>
                <w:position w:val="0"/>
                <w:sz w:val="22"/>
              </w:rPr>
              <w:t>100 %</w:t>
            </w:r>
          </w:p>
        </w:tc>
      </w:tr>
      <w:tr w:rsidR="00D50069" w:rsidRPr="00D50069" w14:paraId="509ECC89" w14:textId="77777777" w:rsidTr="00C141A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50" w:type="dxa"/>
          </w:tcPr>
          <w:p w14:paraId="6D4FC8DE" w14:textId="77777777" w:rsidR="00D50069" w:rsidRPr="00D50069" w:rsidRDefault="00D50069" w:rsidP="00C43729">
            <w:pPr>
              <w:rPr>
                <w:rFonts w:eastAsia="Calibri" w:cstheme="majorBidi"/>
                <w:position w:val="0"/>
                <w:sz w:val="22"/>
              </w:rPr>
            </w:pPr>
            <w:proofErr w:type="gramStart"/>
            <w:r w:rsidRPr="00D50069">
              <w:rPr>
                <w:rFonts w:eastAsia="Calibri" w:cstheme="majorBidi"/>
                <w:position w:val="0"/>
                <w:sz w:val="22"/>
              </w:rPr>
              <w:t>2.I</w:t>
            </w:r>
            <w:proofErr w:type="gramEnd"/>
            <w:r w:rsidRPr="00D50069">
              <w:rPr>
                <w:rFonts w:eastAsia="Calibri" w:cstheme="majorBidi"/>
                <w:position w:val="0"/>
                <w:sz w:val="22"/>
              </w:rPr>
              <w:t xml:space="preserve"> have developed the ability to consistently align my summative assessments with clearly defined learning objectives.</w:t>
            </w:r>
          </w:p>
        </w:tc>
        <w:tc>
          <w:tcPr>
            <w:tcW w:w="998" w:type="dxa"/>
          </w:tcPr>
          <w:p w14:paraId="28D9CF41" w14:textId="77777777" w:rsidR="00D50069" w:rsidRPr="00D50069" w:rsidRDefault="00D50069" w:rsidP="00C43729">
            <w:pPr>
              <w:cnfStyle w:val="000000100000" w:firstRow="0" w:lastRow="0" w:firstColumn="0" w:lastColumn="0" w:oddVBand="0" w:evenVBand="0" w:oddHBand="1" w:evenHBand="0" w:firstRowFirstColumn="0" w:firstRowLastColumn="0" w:lastRowFirstColumn="0" w:lastRowLastColumn="0"/>
              <w:rPr>
                <w:rFonts w:eastAsia="Calibri" w:cstheme="majorBidi"/>
                <w:position w:val="0"/>
                <w:sz w:val="22"/>
              </w:rPr>
            </w:pPr>
            <w:r w:rsidRPr="00D50069">
              <w:rPr>
                <w:rFonts w:eastAsia="Calibri" w:cstheme="majorBidi"/>
                <w:position w:val="0"/>
                <w:sz w:val="22"/>
              </w:rPr>
              <w:t>00</w:t>
            </w:r>
          </w:p>
          <w:p w14:paraId="46F0CBF3" w14:textId="77777777" w:rsidR="00D50069" w:rsidRPr="00D50069" w:rsidRDefault="00D50069" w:rsidP="00C43729">
            <w:pPr>
              <w:cnfStyle w:val="000000100000" w:firstRow="0" w:lastRow="0" w:firstColumn="0" w:lastColumn="0" w:oddVBand="0" w:evenVBand="0" w:oddHBand="1" w:evenHBand="0" w:firstRowFirstColumn="0" w:firstRowLastColumn="0" w:lastRowFirstColumn="0" w:lastRowLastColumn="0"/>
              <w:rPr>
                <w:rFonts w:eastAsia="Calibri" w:cstheme="majorBidi"/>
                <w:position w:val="0"/>
                <w:sz w:val="22"/>
              </w:rPr>
            </w:pPr>
            <w:r w:rsidRPr="00D50069">
              <w:rPr>
                <w:rFonts w:eastAsia="Calibri" w:cstheme="majorBidi"/>
                <w:position w:val="0"/>
                <w:sz w:val="22"/>
              </w:rPr>
              <w:t>00 %</w:t>
            </w:r>
          </w:p>
        </w:tc>
        <w:tc>
          <w:tcPr>
            <w:tcW w:w="1054" w:type="dxa"/>
          </w:tcPr>
          <w:p w14:paraId="1ECD133A" w14:textId="77777777" w:rsidR="00D50069" w:rsidRPr="00D50069" w:rsidRDefault="00D50069" w:rsidP="00C43729">
            <w:pPr>
              <w:cnfStyle w:val="000000100000" w:firstRow="0" w:lastRow="0" w:firstColumn="0" w:lastColumn="0" w:oddVBand="0" w:evenVBand="0" w:oddHBand="1" w:evenHBand="0" w:firstRowFirstColumn="0" w:firstRowLastColumn="0" w:lastRowFirstColumn="0" w:lastRowLastColumn="0"/>
              <w:rPr>
                <w:rFonts w:eastAsia="Calibri" w:cstheme="majorBidi"/>
                <w:position w:val="0"/>
                <w:sz w:val="22"/>
              </w:rPr>
            </w:pPr>
            <w:r w:rsidRPr="00D50069">
              <w:rPr>
                <w:rFonts w:eastAsia="Calibri" w:cstheme="majorBidi"/>
                <w:position w:val="0"/>
                <w:sz w:val="22"/>
              </w:rPr>
              <w:t>01</w:t>
            </w:r>
          </w:p>
          <w:p w14:paraId="3C676BC4" w14:textId="77777777" w:rsidR="00D50069" w:rsidRPr="00D50069" w:rsidRDefault="00D50069" w:rsidP="00C43729">
            <w:pPr>
              <w:cnfStyle w:val="000000100000" w:firstRow="0" w:lastRow="0" w:firstColumn="0" w:lastColumn="0" w:oddVBand="0" w:evenVBand="0" w:oddHBand="1" w:evenHBand="0" w:firstRowFirstColumn="0" w:firstRowLastColumn="0" w:lastRowFirstColumn="0" w:lastRowLastColumn="0"/>
              <w:rPr>
                <w:rFonts w:eastAsia="Calibri" w:cstheme="majorBidi"/>
                <w:position w:val="0"/>
                <w:sz w:val="22"/>
              </w:rPr>
            </w:pPr>
            <w:r w:rsidRPr="00D50069">
              <w:rPr>
                <w:rFonts w:eastAsia="Calibri" w:cstheme="majorBidi"/>
                <w:position w:val="0"/>
                <w:sz w:val="22"/>
              </w:rPr>
              <w:t>02 %</w:t>
            </w:r>
          </w:p>
        </w:tc>
        <w:tc>
          <w:tcPr>
            <w:tcW w:w="923" w:type="dxa"/>
          </w:tcPr>
          <w:p w14:paraId="669E13EB" w14:textId="77777777" w:rsidR="00D50069" w:rsidRPr="00D50069" w:rsidRDefault="00D50069" w:rsidP="00C43729">
            <w:pPr>
              <w:cnfStyle w:val="000000100000" w:firstRow="0" w:lastRow="0" w:firstColumn="0" w:lastColumn="0" w:oddVBand="0" w:evenVBand="0" w:oddHBand="1" w:evenHBand="0" w:firstRowFirstColumn="0" w:firstRowLastColumn="0" w:lastRowFirstColumn="0" w:lastRowLastColumn="0"/>
              <w:rPr>
                <w:rFonts w:eastAsia="Calibri" w:cstheme="majorBidi"/>
                <w:position w:val="0"/>
                <w:sz w:val="22"/>
              </w:rPr>
            </w:pPr>
            <w:r w:rsidRPr="00D50069">
              <w:rPr>
                <w:rFonts w:eastAsia="Calibri" w:cstheme="majorBidi"/>
                <w:position w:val="0"/>
                <w:sz w:val="22"/>
              </w:rPr>
              <w:t>09</w:t>
            </w:r>
          </w:p>
          <w:p w14:paraId="596F16C8" w14:textId="77777777" w:rsidR="00D50069" w:rsidRPr="00D50069" w:rsidRDefault="00D50069" w:rsidP="00C43729">
            <w:pPr>
              <w:cnfStyle w:val="000000100000" w:firstRow="0" w:lastRow="0" w:firstColumn="0" w:lastColumn="0" w:oddVBand="0" w:evenVBand="0" w:oddHBand="1" w:evenHBand="0" w:firstRowFirstColumn="0" w:firstRowLastColumn="0" w:lastRowFirstColumn="0" w:lastRowLastColumn="0"/>
              <w:rPr>
                <w:rFonts w:eastAsia="Calibri" w:cstheme="majorBidi"/>
                <w:position w:val="0"/>
                <w:sz w:val="22"/>
              </w:rPr>
            </w:pPr>
            <w:r w:rsidRPr="00D50069">
              <w:rPr>
                <w:rFonts w:eastAsia="Calibri" w:cstheme="majorBidi"/>
                <w:position w:val="0"/>
                <w:sz w:val="22"/>
              </w:rPr>
              <w:t>19 %</w:t>
            </w:r>
          </w:p>
        </w:tc>
        <w:tc>
          <w:tcPr>
            <w:tcW w:w="871" w:type="dxa"/>
          </w:tcPr>
          <w:p w14:paraId="15C9CC87" w14:textId="77777777" w:rsidR="00D50069" w:rsidRPr="00D50069" w:rsidRDefault="00D50069" w:rsidP="00C43729">
            <w:pPr>
              <w:cnfStyle w:val="000000100000" w:firstRow="0" w:lastRow="0" w:firstColumn="0" w:lastColumn="0" w:oddVBand="0" w:evenVBand="0" w:oddHBand="1" w:evenHBand="0" w:firstRowFirstColumn="0" w:firstRowLastColumn="0" w:lastRowFirstColumn="0" w:lastRowLastColumn="0"/>
              <w:rPr>
                <w:rFonts w:eastAsia="Calibri" w:cstheme="majorBidi"/>
                <w:position w:val="0"/>
                <w:sz w:val="22"/>
              </w:rPr>
            </w:pPr>
            <w:r w:rsidRPr="00D50069">
              <w:rPr>
                <w:rFonts w:eastAsia="Calibri" w:cstheme="majorBidi"/>
                <w:position w:val="0"/>
                <w:sz w:val="22"/>
              </w:rPr>
              <w:t>35</w:t>
            </w:r>
          </w:p>
          <w:p w14:paraId="79B810A9" w14:textId="77777777" w:rsidR="00D50069" w:rsidRPr="00D50069" w:rsidRDefault="00D50069" w:rsidP="00C43729">
            <w:pPr>
              <w:cnfStyle w:val="000000100000" w:firstRow="0" w:lastRow="0" w:firstColumn="0" w:lastColumn="0" w:oddVBand="0" w:evenVBand="0" w:oddHBand="1" w:evenHBand="0" w:firstRowFirstColumn="0" w:firstRowLastColumn="0" w:lastRowFirstColumn="0" w:lastRowLastColumn="0"/>
              <w:rPr>
                <w:rFonts w:eastAsia="Calibri" w:cstheme="majorBidi"/>
                <w:position w:val="0"/>
                <w:sz w:val="22"/>
              </w:rPr>
            </w:pPr>
            <w:r w:rsidRPr="00D50069">
              <w:rPr>
                <w:rFonts w:eastAsia="Calibri" w:cstheme="majorBidi"/>
                <w:position w:val="0"/>
                <w:sz w:val="22"/>
              </w:rPr>
              <w:t>74 %</w:t>
            </w:r>
          </w:p>
        </w:tc>
        <w:tc>
          <w:tcPr>
            <w:tcW w:w="1028" w:type="dxa"/>
          </w:tcPr>
          <w:p w14:paraId="25641763" w14:textId="77777777" w:rsidR="00D50069" w:rsidRPr="00D50069" w:rsidRDefault="00D50069" w:rsidP="00C43729">
            <w:pPr>
              <w:cnfStyle w:val="000000100000" w:firstRow="0" w:lastRow="0" w:firstColumn="0" w:lastColumn="0" w:oddVBand="0" w:evenVBand="0" w:oddHBand="1" w:evenHBand="0" w:firstRowFirstColumn="0" w:firstRowLastColumn="0" w:lastRowFirstColumn="0" w:lastRowLastColumn="0"/>
              <w:rPr>
                <w:rFonts w:eastAsia="Calibri" w:cstheme="majorBidi"/>
                <w:position w:val="0"/>
                <w:sz w:val="22"/>
              </w:rPr>
            </w:pPr>
            <w:r w:rsidRPr="00D50069">
              <w:rPr>
                <w:rFonts w:eastAsia="Calibri" w:cstheme="majorBidi"/>
                <w:position w:val="0"/>
                <w:sz w:val="22"/>
              </w:rPr>
              <w:t>02</w:t>
            </w:r>
          </w:p>
          <w:p w14:paraId="0BE1EB56" w14:textId="77777777" w:rsidR="00D50069" w:rsidRPr="00D50069" w:rsidRDefault="00D50069" w:rsidP="00C43729">
            <w:pPr>
              <w:cnfStyle w:val="000000100000" w:firstRow="0" w:lastRow="0" w:firstColumn="0" w:lastColumn="0" w:oddVBand="0" w:evenVBand="0" w:oddHBand="1" w:evenHBand="0" w:firstRowFirstColumn="0" w:firstRowLastColumn="0" w:lastRowFirstColumn="0" w:lastRowLastColumn="0"/>
              <w:rPr>
                <w:rFonts w:eastAsia="Calibri" w:cstheme="majorBidi"/>
                <w:position w:val="0"/>
                <w:sz w:val="22"/>
              </w:rPr>
            </w:pPr>
            <w:r w:rsidRPr="00D50069">
              <w:rPr>
                <w:rFonts w:eastAsia="Calibri" w:cstheme="majorBidi"/>
                <w:position w:val="0"/>
                <w:sz w:val="22"/>
              </w:rPr>
              <w:t>04 %</w:t>
            </w:r>
          </w:p>
        </w:tc>
        <w:tc>
          <w:tcPr>
            <w:tcW w:w="927" w:type="dxa"/>
          </w:tcPr>
          <w:p w14:paraId="750E08D2" w14:textId="77777777" w:rsidR="00D50069" w:rsidRPr="00D50069" w:rsidRDefault="00D50069" w:rsidP="00C43729">
            <w:pPr>
              <w:cnfStyle w:val="000000100000" w:firstRow="0" w:lastRow="0" w:firstColumn="0" w:lastColumn="0" w:oddVBand="0" w:evenVBand="0" w:oddHBand="1" w:evenHBand="0" w:firstRowFirstColumn="0" w:firstRowLastColumn="0" w:lastRowFirstColumn="0" w:lastRowLastColumn="0"/>
              <w:rPr>
                <w:rFonts w:eastAsia="Calibri" w:cstheme="majorBidi"/>
                <w:position w:val="0"/>
                <w:sz w:val="22"/>
              </w:rPr>
            </w:pPr>
            <w:r w:rsidRPr="00D50069">
              <w:rPr>
                <w:rFonts w:eastAsia="Calibri" w:cstheme="majorBidi"/>
                <w:position w:val="0"/>
                <w:sz w:val="22"/>
              </w:rPr>
              <w:t>47</w:t>
            </w:r>
          </w:p>
          <w:p w14:paraId="3675648A" w14:textId="77777777" w:rsidR="00D50069" w:rsidRPr="00D50069" w:rsidRDefault="00D50069" w:rsidP="00C43729">
            <w:pPr>
              <w:cnfStyle w:val="000000100000" w:firstRow="0" w:lastRow="0" w:firstColumn="0" w:lastColumn="0" w:oddVBand="0" w:evenVBand="0" w:oddHBand="1" w:evenHBand="0" w:firstRowFirstColumn="0" w:firstRowLastColumn="0" w:lastRowFirstColumn="0" w:lastRowLastColumn="0"/>
              <w:rPr>
                <w:rFonts w:eastAsia="Calibri" w:cstheme="majorBidi"/>
                <w:position w:val="0"/>
                <w:sz w:val="22"/>
              </w:rPr>
            </w:pPr>
            <w:r w:rsidRPr="00D50069">
              <w:rPr>
                <w:rFonts w:eastAsia="Calibri" w:cstheme="majorBidi"/>
                <w:position w:val="0"/>
                <w:sz w:val="22"/>
              </w:rPr>
              <w:t>100 %</w:t>
            </w:r>
          </w:p>
        </w:tc>
      </w:tr>
      <w:tr w:rsidR="00D50069" w:rsidRPr="00D50069" w14:paraId="03A843DE" w14:textId="77777777" w:rsidTr="00C141A1">
        <w:tc>
          <w:tcPr>
            <w:cnfStyle w:val="001000000000" w:firstRow="0" w:lastRow="0" w:firstColumn="1" w:lastColumn="0" w:oddVBand="0" w:evenVBand="0" w:oddHBand="0" w:evenHBand="0" w:firstRowFirstColumn="0" w:firstRowLastColumn="0" w:lastRowFirstColumn="0" w:lastRowLastColumn="0"/>
            <w:tcW w:w="3550" w:type="dxa"/>
          </w:tcPr>
          <w:p w14:paraId="77198BC4" w14:textId="77777777" w:rsidR="00D50069" w:rsidRPr="00D50069" w:rsidRDefault="00D50069" w:rsidP="00C43729">
            <w:pPr>
              <w:rPr>
                <w:rFonts w:eastAsia="Calibri" w:cstheme="majorBidi"/>
                <w:position w:val="0"/>
                <w:sz w:val="22"/>
              </w:rPr>
            </w:pPr>
            <w:r w:rsidRPr="00D50069">
              <w:rPr>
                <w:rFonts w:eastAsia="Calibri" w:cstheme="majorBidi"/>
                <w:position w:val="0"/>
                <w:sz w:val="22"/>
              </w:rPr>
              <w:t>3. I adapt assessment tools from online sources to suit my teaching context.</w:t>
            </w:r>
          </w:p>
          <w:p w14:paraId="2A13E2E7" w14:textId="77777777" w:rsidR="00D50069" w:rsidRPr="00D50069" w:rsidRDefault="00D50069" w:rsidP="00C43729">
            <w:pPr>
              <w:rPr>
                <w:rFonts w:eastAsia="Calibri" w:cstheme="majorBidi"/>
                <w:position w:val="0"/>
                <w:sz w:val="22"/>
              </w:rPr>
            </w:pPr>
          </w:p>
        </w:tc>
        <w:tc>
          <w:tcPr>
            <w:tcW w:w="998" w:type="dxa"/>
          </w:tcPr>
          <w:p w14:paraId="57F485C4" w14:textId="77777777" w:rsidR="00D50069" w:rsidRPr="00D50069" w:rsidRDefault="00D50069" w:rsidP="00C43729">
            <w:pPr>
              <w:cnfStyle w:val="000000000000" w:firstRow="0" w:lastRow="0" w:firstColumn="0" w:lastColumn="0" w:oddVBand="0" w:evenVBand="0" w:oddHBand="0" w:evenHBand="0" w:firstRowFirstColumn="0" w:firstRowLastColumn="0" w:lastRowFirstColumn="0" w:lastRowLastColumn="0"/>
              <w:rPr>
                <w:rFonts w:eastAsia="Calibri" w:cstheme="majorBidi"/>
                <w:position w:val="0"/>
                <w:sz w:val="22"/>
              </w:rPr>
            </w:pPr>
            <w:r w:rsidRPr="00D50069">
              <w:rPr>
                <w:rFonts w:eastAsia="Calibri" w:cstheme="majorBidi"/>
                <w:position w:val="0"/>
                <w:sz w:val="22"/>
              </w:rPr>
              <w:t>00</w:t>
            </w:r>
          </w:p>
          <w:p w14:paraId="5ABCA5D7" w14:textId="77777777" w:rsidR="00D50069" w:rsidRPr="00D50069" w:rsidRDefault="00D50069" w:rsidP="00C43729">
            <w:pPr>
              <w:cnfStyle w:val="000000000000" w:firstRow="0" w:lastRow="0" w:firstColumn="0" w:lastColumn="0" w:oddVBand="0" w:evenVBand="0" w:oddHBand="0" w:evenHBand="0" w:firstRowFirstColumn="0" w:firstRowLastColumn="0" w:lastRowFirstColumn="0" w:lastRowLastColumn="0"/>
              <w:rPr>
                <w:rFonts w:eastAsia="Calibri" w:cstheme="majorBidi"/>
                <w:position w:val="0"/>
                <w:sz w:val="22"/>
              </w:rPr>
            </w:pPr>
            <w:r w:rsidRPr="00D50069">
              <w:rPr>
                <w:rFonts w:eastAsia="Calibri" w:cstheme="majorBidi"/>
                <w:position w:val="0"/>
                <w:sz w:val="22"/>
              </w:rPr>
              <w:t>00 %</w:t>
            </w:r>
          </w:p>
        </w:tc>
        <w:tc>
          <w:tcPr>
            <w:tcW w:w="1054" w:type="dxa"/>
          </w:tcPr>
          <w:p w14:paraId="123309B1" w14:textId="77777777" w:rsidR="00D50069" w:rsidRPr="00D50069" w:rsidRDefault="00D50069" w:rsidP="00C43729">
            <w:pPr>
              <w:cnfStyle w:val="000000000000" w:firstRow="0" w:lastRow="0" w:firstColumn="0" w:lastColumn="0" w:oddVBand="0" w:evenVBand="0" w:oddHBand="0" w:evenHBand="0" w:firstRowFirstColumn="0" w:firstRowLastColumn="0" w:lastRowFirstColumn="0" w:lastRowLastColumn="0"/>
              <w:rPr>
                <w:rFonts w:eastAsia="Calibri" w:cstheme="majorBidi"/>
                <w:position w:val="0"/>
                <w:sz w:val="22"/>
              </w:rPr>
            </w:pPr>
            <w:r w:rsidRPr="00D50069">
              <w:rPr>
                <w:rFonts w:eastAsia="Calibri" w:cstheme="majorBidi"/>
                <w:position w:val="0"/>
                <w:sz w:val="22"/>
              </w:rPr>
              <w:t>01</w:t>
            </w:r>
          </w:p>
          <w:p w14:paraId="4B0783F2" w14:textId="77777777" w:rsidR="00D50069" w:rsidRPr="00D50069" w:rsidRDefault="00D50069" w:rsidP="00C43729">
            <w:pPr>
              <w:cnfStyle w:val="000000000000" w:firstRow="0" w:lastRow="0" w:firstColumn="0" w:lastColumn="0" w:oddVBand="0" w:evenVBand="0" w:oddHBand="0" w:evenHBand="0" w:firstRowFirstColumn="0" w:firstRowLastColumn="0" w:lastRowFirstColumn="0" w:lastRowLastColumn="0"/>
              <w:rPr>
                <w:rFonts w:eastAsia="Calibri" w:cstheme="majorBidi"/>
                <w:position w:val="0"/>
                <w:sz w:val="22"/>
              </w:rPr>
            </w:pPr>
            <w:r w:rsidRPr="00D50069">
              <w:rPr>
                <w:rFonts w:eastAsia="Calibri" w:cstheme="majorBidi"/>
                <w:position w:val="0"/>
                <w:sz w:val="22"/>
              </w:rPr>
              <w:t>02 %</w:t>
            </w:r>
          </w:p>
        </w:tc>
        <w:tc>
          <w:tcPr>
            <w:tcW w:w="923" w:type="dxa"/>
          </w:tcPr>
          <w:p w14:paraId="7A5DC10A" w14:textId="77777777" w:rsidR="00D50069" w:rsidRPr="00D50069" w:rsidRDefault="00D50069" w:rsidP="00C43729">
            <w:pPr>
              <w:cnfStyle w:val="000000000000" w:firstRow="0" w:lastRow="0" w:firstColumn="0" w:lastColumn="0" w:oddVBand="0" w:evenVBand="0" w:oddHBand="0" w:evenHBand="0" w:firstRowFirstColumn="0" w:firstRowLastColumn="0" w:lastRowFirstColumn="0" w:lastRowLastColumn="0"/>
              <w:rPr>
                <w:rFonts w:eastAsia="Calibri" w:cstheme="majorBidi"/>
                <w:position w:val="0"/>
                <w:sz w:val="22"/>
              </w:rPr>
            </w:pPr>
            <w:r w:rsidRPr="00D50069">
              <w:rPr>
                <w:rFonts w:eastAsia="Calibri" w:cstheme="majorBidi"/>
                <w:position w:val="0"/>
                <w:sz w:val="22"/>
              </w:rPr>
              <w:t>02</w:t>
            </w:r>
          </w:p>
          <w:p w14:paraId="79C38C93" w14:textId="77777777" w:rsidR="00D50069" w:rsidRPr="00D50069" w:rsidRDefault="00D50069" w:rsidP="00C43729">
            <w:pPr>
              <w:cnfStyle w:val="000000000000" w:firstRow="0" w:lastRow="0" w:firstColumn="0" w:lastColumn="0" w:oddVBand="0" w:evenVBand="0" w:oddHBand="0" w:evenHBand="0" w:firstRowFirstColumn="0" w:firstRowLastColumn="0" w:lastRowFirstColumn="0" w:lastRowLastColumn="0"/>
              <w:rPr>
                <w:rFonts w:eastAsia="Calibri" w:cstheme="majorBidi"/>
                <w:position w:val="0"/>
                <w:sz w:val="22"/>
              </w:rPr>
            </w:pPr>
            <w:r w:rsidRPr="00D50069">
              <w:rPr>
                <w:rFonts w:eastAsia="Calibri" w:cstheme="majorBidi"/>
                <w:position w:val="0"/>
                <w:sz w:val="22"/>
              </w:rPr>
              <w:t>04 %</w:t>
            </w:r>
          </w:p>
        </w:tc>
        <w:tc>
          <w:tcPr>
            <w:tcW w:w="871" w:type="dxa"/>
          </w:tcPr>
          <w:p w14:paraId="5DF4CBA0" w14:textId="77777777" w:rsidR="00D50069" w:rsidRPr="00D50069" w:rsidRDefault="00D50069" w:rsidP="00C43729">
            <w:pPr>
              <w:cnfStyle w:val="000000000000" w:firstRow="0" w:lastRow="0" w:firstColumn="0" w:lastColumn="0" w:oddVBand="0" w:evenVBand="0" w:oddHBand="0" w:evenHBand="0" w:firstRowFirstColumn="0" w:firstRowLastColumn="0" w:lastRowFirstColumn="0" w:lastRowLastColumn="0"/>
              <w:rPr>
                <w:rFonts w:eastAsia="Calibri" w:cstheme="majorBidi"/>
                <w:position w:val="0"/>
                <w:sz w:val="22"/>
              </w:rPr>
            </w:pPr>
            <w:r w:rsidRPr="00D50069">
              <w:rPr>
                <w:rFonts w:eastAsia="Calibri" w:cstheme="majorBidi"/>
                <w:position w:val="0"/>
                <w:sz w:val="22"/>
              </w:rPr>
              <w:t>34</w:t>
            </w:r>
          </w:p>
          <w:p w14:paraId="1334AC71" w14:textId="77777777" w:rsidR="00D50069" w:rsidRPr="00D50069" w:rsidRDefault="00D50069" w:rsidP="00C43729">
            <w:pPr>
              <w:cnfStyle w:val="000000000000" w:firstRow="0" w:lastRow="0" w:firstColumn="0" w:lastColumn="0" w:oddVBand="0" w:evenVBand="0" w:oddHBand="0" w:evenHBand="0" w:firstRowFirstColumn="0" w:firstRowLastColumn="0" w:lastRowFirstColumn="0" w:lastRowLastColumn="0"/>
              <w:rPr>
                <w:rFonts w:eastAsia="Calibri" w:cstheme="majorBidi"/>
                <w:position w:val="0"/>
                <w:sz w:val="22"/>
              </w:rPr>
            </w:pPr>
            <w:r w:rsidRPr="00D50069">
              <w:rPr>
                <w:rFonts w:eastAsia="Calibri" w:cstheme="majorBidi"/>
                <w:position w:val="0"/>
                <w:sz w:val="22"/>
              </w:rPr>
              <w:t>71 %</w:t>
            </w:r>
          </w:p>
        </w:tc>
        <w:tc>
          <w:tcPr>
            <w:tcW w:w="1028" w:type="dxa"/>
          </w:tcPr>
          <w:p w14:paraId="66C8336E" w14:textId="77777777" w:rsidR="00D50069" w:rsidRPr="00D50069" w:rsidRDefault="00D50069" w:rsidP="00C43729">
            <w:pPr>
              <w:cnfStyle w:val="000000000000" w:firstRow="0" w:lastRow="0" w:firstColumn="0" w:lastColumn="0" w:oddVBand="0" w:evenVBand="0" w:oddHBand="0" w:evenHBand="0" w:firstRowFirstColumn="0" w:firstRowLastColumn="0" w:lastRowFirstColumn="0" w:lastRowLastColumn="0"/>
              <w:rPr>
                <w:rFonts w:eastAsia="Calibri" w:cstheme="majorBidi"/>
                <w:position w:val="0"/>
                <w:sz w:val="22"/>
              </w:rPr>
            </w:pPr>
            <w:r w:rsidRPr="00D50069">
              <w:rPr>
                <w:rFonts w:eastAsia="Calibri" w:cstheme="majorBidi"/>
                <w:position w:val="0"/>
                <w:sz w:val="22"/>
              </w:rPr>
              <w:t>11</w:t>
            </w:r>
          </w:p>
          <w:p w14:paraId="2969EEA2" w14:textId="77777777" w:rsidR="00D50069" w:rsidRPr="00D50069" w:rsidRDefault="00D50069" w:rsidP="00C43729">
            <w:pPr>
              <w:cnfStyle w:val="000000000000" w:firstRow="0" w:lastRow="0" w:firstColumn="0" w:lastColumn="0" w:oddVBand="0" w:evenVBand="0" w:oddHBand="0" w:evenHBand="0" w:firstRowFirstColumn="0" w:firstRowLastColumn="0" w:lastRowFirstColumn="0" w:lastRowLastColumn="0"/>
              <w:rPr>
                <w:rFonts w:eastAsia="Calibri" w:cstheme="majorBidi"/>
                <w:position w:val="0"/>
                <w:sz w:val="22"/>
              </w:rPr>
            </w:pPr>
            <w:r w:rsidRPr="00D50069">
              <w:rPr>
                <w:rFonts w:eastAsia="Calibri" w:cstheme="majorBidi"/>
                <w:position w:val="0"/>
                <w:sz w:val="22"/>
              </w:rPr>
              <w:t>23 %</w:t>
            </w:r>
          </w:p>
        </w:tc>
        <w:tc>
          <w:tcPr>
            <w:tcW w:w="927" w:type="dxa"/>
          </w:tcPr>
          <w:p w14:paraId="5FF4975D" w14:textId="77777777" w:rsidR="00D50069" w:rsidRPr="00D50069" w:rsidRDefault="00D50069" w:rsidP="00C43729">
            <w:pPr>
              <w:cnfStyle w:val="000000000000" w:firstRow="0" w:lastRow="0" w:firstColumn="0" w:lastColumn="0" w:oddVBand="0" w:evenVBand="0" w:oddHBand="0" w:evenHBand="0" w:firstRowFirstColumn="0" w:firstRowLastColumn="0" w:lastRowFirstColumn="0" w:lastRowLastColumn="0"/>
              <w:rPr>
                <w:rFonts w:eastAsia="Calibri" w:cstheme="majorBidi"/>
                <w:position w:val="0"/>
                <w:sz w:val="22"/>
              </w:rPr>
            </w:pPr>
            <w:r w:rsidRPr="00D50069">
              <w:rPr>
                <w:rFonts w:eastAsia="Calibri" w:cstheme="majorBidi"/>
                <w:position w:val="0"/>
                <w:sz w:val="22"/>
              </w:rPr>
              <w:t>48</w:t>
            </w:r>
          </w:p>
          <w:p w14:paraId="455FB4CF" w14:textId="77777777" w:rsidR="00D50069" w:rsidRPr="00D50069" w:rsidRDefault="00D50069" w:rsidP="00C43729">
            <w:pPr>
              <w:cnfStyle w:val="000000000000" w:firstRow="0" w:lastRow="0" w:firstColumn="0" w:lastColumn="0" w:oddVBand="0" w:evenVBand="0" w:oddHBand="0" w:evenHBand="0" w:firstRowFirstColumn="0" w:firstRowLastColumn="0" w:lastRowFirstColumn="0" w:lastRowLastColumn="0"/>
              <w:rPr>
                <w:rFonts w:eastAsia="Calibri" w:cstheme="majorBidi"/>
                <w:position w:val="0"/>
                <w:sz w:val="22"/>
              </w:rPr>
            </w:pPr>
            <w:r w:rsidRPr="00D50069">
              <w:rPr>
                <w:rFonts w:eastAsia="Calibri" w:cstheme="majorBidi"/>
                <w:position w:val="0"/>
                <w:sz w:val="22"/>
              </w:rPr>
              <w:t>100 %</w:t>
            </w:r>
          </w:p>
        </w:tc>
      </w:tr>
      <w:tr w:rsidR="00D50069" w:rsidRPr="00D50069" w14:paraId="5EEE7E8D" w14:textId="77777777" w:rsidTr="00C141A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50" w:type="dxa"/>
          </w:tcPr>
          <w:p w14:paraId="694046E1" w14:textId="77777777" w:rsidR="00D50069" w:rsidRPr="00D50069" w:rsidRDefault="00D50069" w:rsidP="00C43729">
            <w:pPr>
              <w:rPr>
                <w:rFonts w:eastAsia="Calibri" w:cstheme="majorBidi"/>
                <w:position w:val="0"/>
                <w:sz w:val="22"/>
              </w:rPr>
            </w:pPr>
            <w:r w:rsidRPr="00D50069">
              <w:rPr>
                <w:rFonts w:eastAsia="Calibri" w:cstheme="majorBidi"/>
                <w:position w:val="0"/>
                <w:sz w:val="22"/>
              </w:rPr>
              <w:t>4. I effectively use rubrics and checklists after learning from online interactions.</w:t>
            </w:r>
          </w:p>
        </w:tc>
        <w:tc>
          <w:tcPr>
            <w:tcW w:w="998" w:type="dxa"/>
          </w:tcPr>
          <w:p w14:paraId="61EC1E85" w14:textId="77777777" w:rsidR="00D50069" w:rsidRPr="00D50069" w:rsidRDefault="00D50069" w:rsidP="00C43729">
            <w:pPr>
              <w:cnfStyle w:val="000000100000" w:firstRow="0" w:lastRow="0" w:firstColumn="0" w:lastColumn="0" w:oddVBand="0" w:evenVBand="0" w:oddHBand="1" w:evenHBand="0" w:firstRowFirstColumn="0" w:firstRowLastColumn="0" w:lastRowFirstColumn="0" w:lastRowLastColumn="0"/>
              <w:rPr>
                <w:rFonts w:eastAsia="Calibri" w:cstheme="majorBidi"/>
                <w:position w:val="0"/>
                <w:sz w:val="22"/>
              </w:rPr>
            </w:pPr>
            <w:r w:rsidRPr="00D50069">
              <w:rPr>
                <w:rFonts w:eastAsia="Calibri" w:cstheme="majorBidi"/>
                <w:position w:val="0"/>
                <w:sz w:val="22"/>
              </w:rPr>
              <w:t>01</w:t>
            </w:r>
          </w:p>
          <w:p w14:paraId="3A5BCD07" w14:textId="77777777" w:rsidR="00D50069" w:rsidRPr="00D50069" w:rsidRDefault="00D50069" w:rsidP="00C43729">
            <w:pPr>
              <w:cnfStyle w:val="000000100000" w:firstRow="0" w:lastRow="0" w:firstColumn="0" w:lastColumn="0" w:oddVBand="0" w:evenVBand="0" w:oddHBand="1" w:evenHBand="0" w:firstRowFirstColumn="0" w:firstRowLastColumn="0" w:lastRowFirstColumn="0" w:lastRowLastColumn="0"/>
              <w:rPr>
                <w:rFonts w:eastAsia="Calibri" w:cstheme="majorBidi"/>
                <w:position w:val="0"/>
                <w:sz w:val="22"/>
              </w:rPr>
            </w:pPr>
            <w:r w:rsidRPr="00D50069">
              <w:rPr>
                <w:rFonts w:eastAsia="Calibri" w:cstheme="majorBidi"/>
                <w:position w:val="0"/>
                <w:sz w:val="22"/>
              </w:rPr>
              <w:t>02 %</w:t>
            </w:r>
          </w:p>
        </w:tc>
        <w:tc>
          <w:tcPr>
            <w:tcW w:w="1054" w:type="dxa"/>
          </w:tcPr>
          <w:p w14:paraId="6ED550EB" w14:textId="77777777" w:rsidR="00D50069" w:rsidRPr="00D50069" w:rsidRDefault="00D50069" w:rsidP="00C43729">
            <w:pPr>
              <w:cnfStyle w:val="000000100000" w:firstRow="0" w:lastRow="0" w:firstColumn="0" w:lastColumn="0" w:oddVBand="0" w:evenVBand="0" w:oddHBand="1" w:evenHBand="0" w:firstRowFirstColumn="0" w:firstRowLastColumn="0" w:lastRowFirstColumn="0" w:lastRowLastColumn="0"/>
              <w:rPr>
                <w:rFonts w:eastAsia="Calibri" w:cstheme="majorBidi"/>
                <w:position w:val="0"/>
                <w:sz w:val="22"/>
              </w:rPr>
            </w:pPr>
            <w:r w:rsidRPr="00D50069">
              <w:rPr>
                <w:rFonts w:eastAsia="Calibri" w:cstheme="majorBidi"/>
                <w:position w:val="0"/>
                <w:sz w:val="22"/>
              </w:rPr>
              <w:t>03</w:t>
            </w:r>
          </w:p>
          <w:p w14:paraId="088E3D3D" w14:textId="77777777" w:rsidR="00D50069" w:rsidRPr="00D50069" w:rsidRDefault="00D50069" w:rsidP="00C43729">
            <w:pPr>
              <w:cnfStyle w:val="000000100000" w:firstRow="0" w:lastRow="0" w:firstColumn="0" w:lastColumn="0" w:oddVBand="0" w:evenVBand="0" w:oddHBand="1" w:evenHBand="0" w:firstRowFirstColumn="0" w:firstRowLastColumn="0" w:lastRowFirstColumn="0" w:lastRowLastColumn="0"/>
              <w:rPr>
                <w:rFonts w:eastAsia="Calibri" w:cstheme="majorBidi"/>
                <w:position w:val="0"/>
                <w:sz w:val="22"/>
              </w:rPr>
            </w:pPr>
            <w:r w:rsidRPr="00D50069">
              <w:rPr>
                <w:rFonts w:eastAsia="Calibri" w:cstheme="majorBidi"/>
                <w:position w:val="0"/>
                <w:sz w:val="22"/>
              </w:rPr>
              <w:t>06 %</w:t>
            </w:r>
          </w:p>
        </w:tc>
        <w:tc>
          <w:tcPr>
            <w:tcW w:w="923" w:type="dxa"/>
          </w:tcPr>
          <w:p w14:paraId="53CFF5FF" w14:textId="77777777" w:rsidR="00D50069" w:rsidRPr="00D50069" w:rsidRDefault="00D50069" w:rsidP="00C43729">
            <w:pPr>
              <w:cnfStyle w:val="000000100000" w:firstRow="0" w:lastRow="0" w:firstColumn="0" w:lastColumn="0" w:oddVBand="0" w:evenVBand="0" w:oddHBand="1" w:evenHBand="0" w:firstRowFirstColumn="0" w:firstRowLastColumn="0" w:lastRowFirstColumn="0" w:lastRowLastColumn="0"/>
              <w:rPr>
                <w:rFonts w:eastAsia="Calibri" w:cstheme="majorBidi"/>
                <w:position w:val="0"/>
                <w:sz w:val="22"/>
              </w:rPr>
            </w:pPr>
            <w:r w:rsidRPr="00D50069">
              <w:rPr>
                <w:rFonts w:eastAsia="Calibri" w:cstheme="majorBidi"/>
                <w:position w:val="0"/>
                <w:sz w:val="22"/>
              </w:rPr>
              <w:t>13</w:t>
            </w:r>
          </w:p>
          <w:p w14:paraId="6C1D1140" w14:textId="77777777" w:rsidR="00D50069" w:rsidRPr="00D50069" w:rsidRDefault="00D50069" w:rsidP="00C43729">
            <w:pPr>
              <w:cnfStyle w:val="000000100000" w:firstRow="0" w:lastRow="0" w:firstColumn="0" w:lastColumn="0" w:oddVBand="0" w:evenVBand="0" w:oddHBand="1" w:evenHBand="0" w:firstRowFirstColumn="0" w:firstRowLastColumn="0" w:lastRowFirstColumn="0" w:lastRowLastColumn="0"/>
              <w:rPr>
                <w:rFonts w:eastAsia="Calibri" w:cstheme="majorBidi"/>
                <w:position w:val="0"/>
                <w:sz w:val="22"/>
              </w:rPr>
            </w:pPr>
            <w:r w:rsidRPr="00D50069">
              <w:rPr>
                <w:rFonts w:eastAsia="Calibri" w:cstheme="majorBidi"/>
                <w:position w:val="0"/>
                <w:sz w:val="22"/>
              </w:rPr>
              <w:t>27 %</w:t>
            </w:r>
          </w:p>
        </w:tc>
        <w:tc>
          <w:tcPr>
            <w:tcW w:w="871" w:type="dxa"/>
          </w:tcPr>
          <w:p w14:paraId="322BA762" w14:textId="77777777" w:rsidR="00D50069" w:rsidRPr="00D50069" w:rsidRDefault="00D50069" w:rsidP="00C43729">
            <w:pPr>
              <w:cnfStyle w:val="000000100000" w:firstRow="0" w:lastRow="0" w:firstColumn="0" w:lastColumn="0" w:oddVBand="0" w:evenVBand="0" w:oddHBand="1" w:evenHBand="0" w:firstRowFirstColumn="0" w:firstRowLastColumn="0" w:lastRowFirstColumn="0" w:lastRowLastColumn="0"/>
              <w:rPr>
                <w:rFonts w:eastAsia="Calibri" w:cstheme="majorBidi"/>
                <w:position w:val="0"/>
                <w:sz w:val="22"/>
              </w:rPr>
            </w:pPr>
            <w:r w:rsidRPr="00D50069">
              <w:rPr>
                <w:rFonts w:eastAsia="Calibri" w:cstheme="majorBidi"/>
                <w:position w:val="0"/>
                <w:sz w:val="22"/>
              </w:rPr>
              <w:t>29</w:t>
            </w:r>
          </w:p>
          <w:p w14:paraId="4FC11A11" w14:textId="77777777" w:rsidR="00D50069" w:rsidRPr="00D50069" w:rsidRDefault="00D50069" w:rsidP="00C43729">
            <w:pPr>
              <w:cnfStyle w:val="000000100000" w:firstRow="0" w:lastRow="0" w:firstColumn="0" w:lastColumn="0" w:oddVBand="0" w:evenVBand="0" w:oddHBand="1" w:evenHBand="0" w:firstRowFirstColumn="0" w:firstRowLastColumn="0" w:lastRowFirstColumn="0" w:lastRowLastColumn="0"/>
              <w:rPr>
                <w:rFonts w:eastAsia="Calibri" w:cstheme="majorBidi"/>
                <w:position w:val="0"/>
                <w:sz w:val="22"/>
              </w:rPr>
            </w:pPr>
            <w:r w:rsidRPr="00D50069">
              <w:rPr>
                <w:rFonts w:eastAsia="Calibri" w:cstheme="majorBidi"/>
                <w:position w:val="0"/>
                <w:sz w:val="22"/>
              </w:rPr>
              <w:t>60 %</w:t>
            </w:r>
          </w:p>
        </w:tc>
        <w:tc>
          <w:tcPr>
            <w:tcW w:w="1028" w:type="dxa"/>
          </w:tcPr>
          <w:p w14:paraId="3E11D23F" w14:textId="77777777" w:rsidR="00D50069" w:rsidRPr="00D50069" w:rsidRDefault="00D50069" w:rsidP="00C43729">
            <w:pPr>
              <w:cnfStyle w:val="000000100000" w:firstRow="0" w:lastRow="0" w:firstColumn="0" w:lastColumn="0" w:oddVBand="0" w:evenVBand="0" w:oddHBand="1" w:evenHBand="0" w:firstRowFirstColumn="0" w:firstRowLastColumn="0" w:lastRowFirstColumn="0" w:lastRowLastColumn="0"/>
              <w:rPr>
                <w:rFonts w:eastAsia="Calibri" w:cstheme="majorBidi"/>
                <w:position w:val="0"/>
                <w:sz w:val="22"/>
              </w:rPr>
            </w:pPr>
            <w:r w:rsidRPr="00D50069">
              <w:rPr>
                <w:rFonts w:eastAsia="Calibri" w:cstheme="majorBidi"/>
                <w:position w:val="0"/>
                <w:sz w:val="22"/>
              </w:rPr>
              <w:t>02</w:t>
            </w:r>
          </w:p>
          <w:p w14:paraId="4CBB8D15" w14:textId="77777777" w:rsidR="00D50069" w:rsidRPr="00D50069" w:rsidRDefault="00D50069" w:rsidP="00C43729">
            <w:pPr>
              <w:cnfStyle w:val="000000100000" w:firstRow="0" w:lastRow="0" w:firstColumn="0" w:lastColumn="0" w:oddVBand="0" w:evenVBand="0" w:oddHBand="1" w:evenHBand="0" w:firstRowFirstColumn="0" w:firstRowLastColumn="0" w:lastRowFirstColumn="0" w:lastRowLastColumn="0"/>
              <w:rPr>
                <w:rFonts w:eastAsia="Calibri" w:cstheme="majorBidi"/>
                <w:position w:val="0"/>
                <w:sz w:val="22"/>
              </w:rPr>
            </w:pPr>
            <w:r w:rsidRPr="00D50069">
              <w:rPr>
                <w:rFonts w:eastAsia="Calibri" w:cstheme="majorBidi"/>
                <w:position w:val="0"/>
                <w:sz w:val="22"/>
              </w:rPr>
              <w:t>04 %</w:t>
            </w:r>
          </w:p>
        </w:tc>
        <w:tc>
          <w:tcPr>
            <w:tcW w:w="927" w:type="dxa"/>
          </w:tcPr>
          <w:p w14:paraId="5220426F" w14:textId="77777777" w:rsidR="00D50069" w:rsidRPr="00D50069" w:rsidRDefault="00D50069" w:rsidP="00C43729">
            <w:pPr>
              <w:cnfStyle w:val="000000100000" w:firstRow="0" w:lastRow="0" w:firstColumn="0" w:lastColumn="0" w:oddVBand="0" w:evenVBand="0" w:oddHBand="1" w:evenHBand="0" w:firstRowFirstColumn="0" w:firstRowLastColumn="0" w:lastRowFirstColumn="0" w:lastRowLastColumn="0"/>
              <w:rPr>
                <w:rFonts w:eastAsia="Calibri" w:cstheme="majorBidi"/>
                <w:position w:val="0"/>
                <w:sz w:val="22"/>
              </w:rPr>
            </w:pPr>
            <w:r w:rsidRPr="00D50069">
              <w:rPr>
                <w:rFonts w:eastAsia="Calibri" w:cstheme="majorBidi"/>
                <w:position w:val="0"/>
                <w:sz w:val="22"/>
              </w:rPr>
              <w:t>48</w:t>
            </w:r>
          </w:p>
          <w:p w14:paraId="3AA17411" w14:textId="77777777" w:rsidR="00D50069" w:rsidRPr="00D50069" w:rsidRDefault="00D50069" w:rsidP="00C43729">
            <w:pPr>
              <w:cnfStyle w:val="000000100000" w:firstRow="0" w:lastRow="0" w:firstColumn="0" w:lastColumn="0" w:oddVBand="0" w:evenVBand="0" w:oddHBand="1" w:evenHBand="0" w:firstRowFirstColumn="0" w:firstRowLastColumn="0" w:lastRowFirstColumn="0" w:lastRowLastColumn="0"/>
              <w:rPr>
                <w:rFonts w:eastAsia="Calibri" w:cstheme="majorBidi"/>
                <w:position w:val="0"/>
                <w:sz w:val="22"/>
              </w:rPr>
            </w:pPr>
            <w:r w:rsidRPr="00D50069">
              <w:rPr>
                <w:rFonts w:eastAsia="Calibri" w:cstheme="majorBidi"/>
                <w:position w:val="0"/>
                <w:sz w:val="22"/>
              </w:rPr>
              <w:t>100 %</w:t>
            </w:r>
          </w:p>
        </w:tc>
      </w:tr>
      <w:tr w:rsidR="00D50069" w:rsidRPr="00D50069" w14:paraId="61A0033B" w14:textId="77777777" w:rsidTr="00C141A1">
        <w:tc>
          <w:tcPr>
            <w:cnfStyle w:val="001000000000" w:firstRow="0" w:lastRow="0" w:firstColumn="1" w:lastColumn="0" w:oddVBand="0" w:evenVBand="0" w:oddHBand="0" w:evenHBand="0" w:firstRowFirstColumn="0" w:firstRowLastColumn="0" w:lastRowFirstColumn="0" w:lastRowLastColumn="0"/>
            <w:tcW w:w="3550" w:type="dxa"/>
          </w:tcPr>
          <w:p w14:paraId="7E79C0E9" w14:textId="77777777" w:rsidR="00D50069" w:rsidRPr="00D50069" w:rsidRDefault="00D50069" w:rsidP="00C43729">
            <w:pPr>
              <w:rPr>
                <w:rFonts w:eastAsia="Calibri" w:cstheme="majorBidi"/>
                <w:position w:val="0"/>
                <w:sz w:val="22"/>
              </w:rPr>
            </w:pPr>
            <w:r w:rsidRPr="00D50069">
              <w:rPr>
                <w:rFonts w:eastAsia="Calibri" w:cstheme="majorBidi"/>
                <w:position w:val="0"/>
                <w:sz w:val="22"/>
              </w:rPr>
              <w:t>5. I seek and receive constructive feedback on my assessment tools from online peers.</w:t>
            </w:r>
          </w:p>
          <w:p w14:paraId="1FEA94BF" w14:textId="77777777" w:rsidR="00D50069" w:rsidRPr="00D50069" w:rsidRDefault="00D50069" w:rsidP="00C43729">
            <w:pPr>
              <w:rPr>
                <w:rFonts w:eastAsia="Calibri" w:cstheme="majorBidi"/>
                <w:position w:val="0"/>
                <w:sz w:val="22"/>
              </w:rPr>
            </w:pPr>
          </w:p>
        </w:tc>
        <w:tc>
          <w:tcPr>
            <w:tcW w:w="998" w:type="dxa"/>
          </w:tcPr>
          <w:p w14:paraId="05591EA9" w14:textId="77777777" w:rsidR="00D50069" w:rsidRPr="00D50069" w:rsidRDefault="00D50069" w:rsidP="00C43729">
            <w:pPr>
              <w:cnfStyle w:val="000000000000" w:firstRow="0" w:lastRow="0" w:firstColumn="0" w:lastColumn="0" w:oddVBand="0" w:evenVBand="0" w:oddHBand="0" w:evenHBand="0" w:firstRowFirstColumn="0" w:firstRowLastColumn="0" w:lastRowFirstColumn="0" w:lastRowLastColumn="0"/>
              <w:rPr>
                <w:rFonts w:eastAsia="Calibri" w:cstheme="majorBidi"/>
                <w:position w:val="0"/>
                <w:sz w:val="22"/>
              </w:rPr>
            </w:pPr>
            <w:r w:rsidRPr="00D50069">
              <w:rPr>
                <w:rFonts w:eastAsia="Calibri" w:cstheme="majorBidi"/>
                <w:position w:val="0"/>
                <w:sz w:val="22"/>
              </w:rPr>
              <w:t>01</w:t>
            </w:r>
          </w:p>
          <w:p w14:paraId="46F9E082" w14:textId="77777777" w:rsidR="00D50069" w:rsidRPr="00D50069" w:rsidRDefault="00D50069" w:rsidP="00C43729">
            <w:pPr>
              <w:cnfStyle w:val="000000000000" w:firstRow="0" w:lastRow="0" w:firstColumn="0" w:lastColumn="0" w:oddVBand="0" w:evenVBand="0" w:oddHBand="0" w:evenHBand="0" w:firstRowFirstColumn="0" w:firstRowLastColumn="0" w:lastRowFirstColumn="0" w:lastRowLastColumn="0"/>
              <w:rPr>
                <w:rFonts w:eastAsia="Calibri" w:cstheme="majorBidi"/>
                <w:position w:val="0"/>
                <w:sz w:val="22"/>
              </w:rPr>
            </w:pPr>
            <w:r w:rsidRPr="00D50069">
              <w:rPr>
                <w:rFonts w:eastAsia="Calibri" w:cstheme="majorBidi"/>
                <w:position w:val="0"/>
                <w:sz w:val="22"/>
              </w:rPr>
              <w:t>02 %</w:t>
            </w:r>
          </w:p>
        </w:tc>
        <w:tc>
          <w:tcPr>
            <w:tcW w:w="1054" w:type="dxa"/>
          </w:tcPr>
          <w:p w14:paraId="7B26AE05" w14:textId="77777777" w:rsidR="00D50069" w:rsidRPr="00D50069" w:rsidRDefault="00D50069" w:rsidP="00C43729">
            <w:pPr>
              <w:cnfStyle w:val="000000000000" w:firstRow="0" w:lastRow="0" w:firstColumn="0" w:lastColumn="0" w:oddVBand="0" w:evenVBand="0" w:oddHBand="0" w:evenHBand="0" w:firstRowFirstColumn="0" w:firstRowLastColumn="0" w:lastRowFirstColumn="0" w:lastRowLastColumn="0"/>
              <w:rPr>
                <w:rFonts w:eastAsia="Calibri" w:cstheme="majorBidi"/>
                <w:position w:val="0"/>
                <w:sz w:val="22"/>
              </w:rPr>
            </w:pPr>
            <w:r w:rsidRPr="00D50069">
              <w:rPr>
                <w:rFonts w:eastAsia="Calibri" w:cstheme="majorBidi"/>
                <w:position w:val="0"/>
                <w:sz w:val="22"/>
              </w:rPr>
              <w:t>05</w:t>
            </w:r>
          </w:p>
          <w:p w14:paraId="15EEEB02" w14:textId="77777777" w:rsidR="00D50069" w:rsidRPr="00D50069" w:rsidRDefault="00D50069" w:rsidP="00C43729">
            <w:pPr>
              <w:cnfStyle w:val="000000000000" w:firstRow="0" w:lastRow="0" w:firstColumn="0" w:lastColumn="0" w:oddVBand="0" w:evenVBand="0" w:oddHBand="0" w:evenHBand="0" w:firstRowFirstColumn="0" w:firstRowLastColumn="0" w:lastRowFirstColumn="0" w:lastRowLastColumn="0"/>
              <w:rPr>
                <w:rFonts w:eastAsia="Calibri" w:cstheme="majorBidi"/>
                <w:position w:val="0"/>
                <w:sz w:val="22"/>
              </w:rPr>
            </w:pPr>
            <w:r w:rsidRPr="00D50069">
              <w:rPr>
                <w:rFonts w:eastAsia="Calibri" w:cstheme="majorBidi"/>
                <w:position w:val="0"/>
                <w:sz w:val="22"/>
              </w:rPr>
              <w:t>10 %</w:t>
            </w:r>
          </w:p>
        </w:tc>
        <w:tc>
          <w:tcPr>
            <w:tcW w:w="923" w:type="dxa"/>
          </w:tcPr>
          <w:p w14:paraId="09BA6281" w14:textId="77777777" w:rsidR="00D50069" w:rsidRPr="00D50069" w:rsidRDefault="00D50069" w:rsidP="00C43729">
            <w:pPr>
              <w:cnfStyle w:val="000000000000" w:firstRow="0" w:lastRow="0" w:firstColumn="0" w:lastColumn="0" w:oddVBand="0" w:evenVBand="0" w:oddHBand="0" w:evenHBand="0" w:firstRowFirstColumn="0" w:firstRowLastColumn="0" w:lastRowFirstColumn="0" w:lastRowLastColumn="0"/>
              <w:rPr>
                <w:rFonts w:eastAsia="Calibri" w:cstheme="majorBidi"/>
                <w:position w:val="0"/>
                <w:sz w:val="22"/>
              </w:rPr>
            </w:pPr>
            <w:r w:rsidRPr="00D50069">
              <w:rPr>
                <w:rFonts w:eastAsia="Calibri" w:cstheme="majorBidi"/>
                <w:position w:val="0"/>
                <w:sz w:val="22"/>
              </w:rPr>
              <w:t>10</w:t>
            </w:r>
          </w:p>
          <w:p w14:paraId="4E6199DF" w14:textId="77777777" w:rsidR="00D50069" w:rsidRPr="00D50069" w:rsidRDefault="00D50069" w:rsidP="00C43729">
            <w:pPr>
              <w:cnfStyle w:val="000000000000" w:firstRow="0" w:lastRow="0" w:firstColumn="0" w:lastColumn="0" w:oddVBand="0" w:evenVBand="0" w:oddHBand="0" w:evenHBand="0" w:firstRowFirstColumn="0" w:firstRowLastColumn="0" w:lastRowFirstColumn="0" w:lastRowLastColumn="0"/>
              <w:rPr>
                <w:rFonts w:eastAsia="Calibri" w:cstheme="majorBidi"/>
                <w:position w:val="0"/>
                <w:sz w:val="22"/>
              </w:rPr>
            </w:pPr>
            <w:r w:rsidRPr="00D50069">
              <w:rPr>
                <w:rFonts w:eastAsia="Calibri" w:cstheme="majorBidi"/>
                <w:position w:val="0"/>
                <w:sz w:val="22"/>
              </w:rPr>
              <w:t>21 %</w:t>
            </w:r>
          </w:p>
        </w:tc>
        <w:tc>
          <w:tcPr>
            <w:tcW w:w="871" w:type="dxa"/>
          </w:tcPr>
          <w:p w14:paraId="1158E3E5" w14:textId="77777777" w:rsidR="00D50069" w:rsidRPr="00D50069" w:rsidRDefault="00D50069" w:rsidP="00C43729">
            <w:pPr>
              <w:cnfStyle w:val="000000000000" w:firstRow="0" w:lastRow="0" w:firstColumn="0" w:lastColumn="0" w:oddVBand="0" w:evenVBand="0" w:oddHBand="0" w:evenHBand="0" w:firstRowFirstColumn="0" w:firstRowLastColumn="0" w:lastRowFirstColumn="0" w:lastRowLastColumn="0"/>
              <w:rPr>
                <w:rFonts w:eastAsia="Calibri" w:cstheme="majorBidi"/>
                <w:position w:val="0"/>
                <w:sz w:val="22"/>
              </w:rPr>
            </w:pPr>
            <w:r w:rsidRPr="00D50069">
              <w:rPr>
                <w:rFonts w:eastAsia="Calibri" w:cstheme="majorBidi"/>
                <w:position w:val="0"/>
                <w:sz w:val="22"/>
              </w:rPr>
              <w:t>28</w:t>
            </w:r>
          </w:p>
          <w:p w14:paraId="1A2B808A" w14:textId="77777777" w:rsidR="00D50069" w:rsidRPr="00D50069" w:rsidRDefault="00D50069" w:rsidP="00C43729">
            <w:pPr>
              <w:cnfStyle w:val="000000000000" w:firstRow="0" w:lastRow="0" w:firstColumn="0" w:lastColumn="0" w:oddVBand="0" w:evenVBand="0" w:oddHBand="0" w:evenHBand="0" w:firstRowFirstColumn="0" w:firstRowLastColumn="0" w:lastRowFirstColumn="0" w:lastRowLastColumn="0"/>
              <w:rPr>
                <w:rFonts w:eastAsia="Calibri" w:cstheme="majorBidi"/>
                <w:position w:val="0"/>
                <w:sz w:val="22"/>
              </w:rPr>
            </w:pPr>
            <w:r w:rsidRPr="00D50069">
              <w:rPr>
                <w:rFonts w:eastAsia="Calibri" w:cstheme="majorBidi"/>
                <w:position w:val="0"/>
                <w:sz w:val="22"/>
              </w:rPr>
              <w:t>58 %</w:t>
            </w:r>
          </w:p>
        </w:tc>
        <w:tc>
          <w:tcPr>
            <w:tcW w:w="1028" w:type="dxa"/>
          </w:tcPr>
          <w:p w14:paraId="11EEF864" w14:textId="77777777" w:rsidR="00D50069" w:rsidRPr="00D50069" w:rsidRDefault="00D50069" w:rsidP="00C43729">
            <w:pPr>
              <w:cnfStyle w:val="000000000000" w:firstRow="0" w:lastRow="0" w:firstColumn="0" w:lastColumn="0" w:oddVBand="0" w:evenVBand="0" w:oddHBand="0" w:evenHBand="0" w:firstRowFirstColumn="0" w:firstRowLastColumn="0" w:lastRowFirstColumn="0" w:lastRowLastColumn="0"/>
              <w:rPr>
                <w:rFonts w:eastAsia="Calibri" w:cstheme="majorBidi"/>
                <w:position w:val="0"/>
                <w:sz w:val="22"/>
              </w:rPr>
            </w:pPr>
            <w:r w:rsidRPr="00D50069">
              <w:rPr>
                <w:rFonts w:eastAsia="Calibri" w:cstheme="majorBidi"/>
                <w:position w:val="0"/>
                <w:sz w:val="22"/>
              </w:rPr>
              <w:t>04</w:t>
            </w:r>
          </w:p>
          <w:p w14:paraId="17BBC808" w14:textId="77777777" w:rsidR="00D50069" w:rsidRPr="00D50069" w:rsidRDefault="00D50069" w:rsidP="00C43729">
            <w:pPr>
              <w:cnfStyle w:val="000000000000" w:firstRow="0" w:lastRow="0" w:firstColumn="0" w:lastColumn="0" w:oddVBand="0" w:evenVBand="0" w:oddHBand="0" w:evenHBand="0" w:firstRowFirstColumn="0" w:firstRowLastColumn="0" w:lastRowFirstColumn="0" w:lastRowLastColumn="0"/>
              <w:rPr>
                <w:rFonts w:eastAsia="Calibri" w:cstheme="majorBidi"/>
                <w:position w:val="0"/>
                <w:sz w:val="22"/>
              </w:rPr>
            </w:pPr>
            <w:r w:rsidRPr="00D50069">
              <w:rPr>
                <w:rFonts w:eastAsia="Calibri" w:cstheme="majorBidi"/>
                <w:position w:val="0"/>
                <w:sz w:val="22"/>
              </w:rPr>
              <w:t>08 %</w:t>
            </w:r>
          </w:p>
        </w:tc>
        <w:tc>
          <w:tcPr>
            <w:tcW w:w="927" w:type="dxa"/>
          </w:tcPr>
          <w:p w14:paraId="19F59B1F" w14:textId="77777777" w:rsidR="00D50069" w:rsidRPr="00D50069" w:rsidRDefault="00D50069" w:rsidP="00C43729">
            <w:pPr>
              <w:cnfStyle w:val="000000000000" w:firstRow="0" w:lastRow="0" w:firstColumn="0" w:lastColumn="0" w:oddVBand="0" w:evenVBand="0" w:oddHBand="0" w:evenHBand="0" w:firstRowFirstColumn="0" w:firstRowLastColumn="0" w:lastRowFirstColumn="0" w:lastRowLastColumn="0"/>
              <w:rPr>
                <w:rFonts w:eastAsia="Calibri" w:cstheme="majorBidi"/>
                <w:position w:val="0"/>
                <w:sz w:val="22"/>
              </w:rPr>
            </w:pPr>
            <w:r w:rsidRPr="00D50069">
              <w:rPr>
                <w:rFonts w:eastAsia="Calibri" w:cstheme="majorBidi"/>
                <w:position w:val="0"/>
                <w:sz w:val="22"/>
              </w:rPr>
              <w:t>48</w:t>
            </w:r>
          </w:p>
          <w:p w14:paraId="7E4CC149" w14:textId="77777777" w:rsidR="00D50069" w:rsidRPr="00D50069" w:rsidRDefault="00D50069" w:rsidP="00C43729">
            <w:pPr>
              <w:cnfStyle w:val="000000000000" w:firstRow="0" w:lastRow="0" w:firstColumn="0" w:lastColumn="0" w:oddVBand="0" w:evenVBand="0" w:oddHBand="0" w:evenHBand="0" w:firstRowFirstColumn="0" w:firstRowLastColumn="0" w:lastRowFirstColumn="0" w:lastRowLastColumn="0"/>
              <w:rPr>
                <w:rFonts w:eastAsia="Calibri" w:cstheme="majorBidi"/>
                <w:position w:val="0"/>
                <w:sz w:val="22"/>
              </w:rPr>
            </w:pPr>
            <w:r w:rsidRPr="00D50069">
              <w:rPr>
                <w:rFonts w:eastAsia="Calibri" w:cstheme="majorBidi"/>
                <w:position w:val="0"/>
                <w:sz w:val="22"/>
              </w:rPr>
              <w:t>100 %</w:t>
            </w:r>
          </w:p>
        </w:tc>
      </w:tr>
      <w:tr w:rsidR="00D50069" w:rsidRPr="00D50069" w14:paraId="0611546A" w14:textId="77777777" w:rsidTr="00C141A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50" w:type="dxa"/>
          </w:tcPr>
          <w:p w14:paraId="52A8D60F" w14:textId="77777777" w:rsidR="00D50069" w:rsidRPr="00D50069" w:rsidRDefault="00D50069" w:rsidP="00C43729">
            <w:pPr>
              <w:rPr>
                <w:rFonts w:eastAsia="Calibri" w:cstheme="majorBidi"/>
                <w:position w:val="0"/>
                <w:sz w:val="22"/>
              </w:rPr>
            </w:pPr>
            <w:r w:rsidRPr="00D50069">
              <w:rPr>
                <w:rFonts w:eastAsia="Calibri" w:cstheme="majorBidi"/>
                <w:position w:val="0"/>
                <w:sz w:val="22"/>
              </w:rPr>
              <w:t>6. I use data from online teacher communities to inform my assessment designs.</w:t>
            </w:r>
          </w:p>
        </w:tc>
        <w:tc>
          <w:tcPr>
            <w:tcW w:w="998" w:type="dxa"/>
          </w:tcPr>
          <w:p w14:paraId="3228DF4F" w14:textId="77777777" w:rsidR="00D50069" w:rsidRPr="00D50069" w:rsidRDefault="00D50069" w:rsidP="00C43729">
            <w:pPr>
              <w:cnfStyle w:val="000000100000" w:firstRow="0" w:lastRow="0" w:firstColumn="0" w:lastColumn="0" w:oddVBand="0" w:evenVBand="0" w:oddHBand="1" w:evenHBand="0" w:firstRowFirstColumn="0" w:firstRowLastColumn="0" w:lastRowFirstColumn="0" w:lastRowLastColumn="0"/>
              <w:rPr>
                <w:rFonts w:eastAsia="Calibri" w:cstheme="majorBidi"/>
                <w:position w:val="0"/>
                <w:sz w:val="22"/>
              </w:rPr>
            </w:pPr>
            <w:r w:rsidRPr="00D50069">
              <w:rPr>
                <w:rFonts w:eastAsia="Calibri" w:cstheme="majorBidi"/>
                <w:position w:val="0"/>
                <w:sz w:val="22"/>
              </w:rPr>
              <w:t>00</w:t>
            </w:r>
          </w:p>
          <w:p w14:paraId="650B95B7" w14:textId="77777777" w:rsidR="00D50069" w:rsidRPr="00D50069" w:rsidRDefault="00D50069" w:rsidP="00C43729">
            <w:pPr>
              <w:cnfStyle w:val="000000100000" w:firstRow="0" w:lastRow="0" w:firstColumn="0" w:lastColumn="0" w:oddVBand="0" w:evenVBand="0" w:oddHBand="1" w:evenHBand="0" w:firstRowFirstColumn="0" w:firstRowLastColumn="0" w:lastRowFirstColumn="0" w:lastRowLastColumn="0"/>
              <w:rPr>
                <w:rFonts w:eastAsia="Calibri" w:cstheme="majorBidi"/>
                <w:position w:val="0"/>
                <w:sz w:val="22"/>
              </w:rPr>
            </w:pPr>
            <w:r w:rsidRPr="00D50069">
              <w:rPr>
                <w:rFonts w:eastAsia="Calibri" w:cstheme="majorBidi"/>
                <w:position w:val="0"/>
                <w:sz w:val="22"/>
              </w:rPr>
              <w:t>00 %</w:t>
            </w:r>
          </w:p>
        </w:tc>
        <w:tc>
          <w:tcPr>
            <w:tcW w:w="1054" w:type="dxa"/>
          </w:tcPr>
          <w:p w14:paraId="087B7A48" w14:textId="77777777" w:rsidR="00D50069" w:rsidRPr="00D50069" w:rsidRDefault="00D50069" w:rsidP="00C43729">
            <w:pPr>
              <w:cnfStyle w:val="000000100000" w:firstRow="0" w:lastRow="0" w:firstColumn="0" w:lastColumn="0" w:oddVBand="0" w:evenVBand="0" w:oddHBand="1" w:evenHBand="0" w:firstRowFirstColumn="0" w:firstRowLastColumn="0" w:lastRowFirstColumn="0" w:lastRowLastColumn="0"/>
              <w:rPr>
                <w:rFonts w:eastAsia="Calibri" w:cstheme="majorBidi"/>
                <w:position w:val="0"/>
                <w:sz w:val="22"/>
              </w:rPr>
            </w:pPr>
            <w:r w:rsidRPr="00D50069">
              <w:rPr>
                <w:rFonts w:eastAsia="Calibri" w:cstheme="majorBidi"/>
                <w:position w:val="0"/>
                <w:sz w:val="22"/>
              </w:rPr>
              <w:t>01</w:t>
            </w:r>
          </w:p>
          <w:p w14:paraId="040EC5BF" w14:textId="77777777" w:rsidR="00D50069" w:rsidRPr="00D50069" w:rsidRDefault="00D50069" w:rsidP="00C43729">
            <w:pPr>
              <w:cnfStyle w:val="000000100000" w:firstRow="0" w:lastRow="0" w:firstColumn="0" w:lastColumn="0" w:oddVBand="0" w:evenVBand="0" w:oddHBand="1" w:evenHBand="0" w:firstRowFirstColumn="0" w:firstRowLastColumn="0" w:lastRowFirstColumn="0" w:lastRowLastColumn="0"/>
              <w:rPr>
                <w:rFonts w:eastAsia="Calibri" w:cstheme="majorBidi"/>
                <w:position w:val="0"/>
                <w:sz w:val="22"/>
              </w:rPr>
            </w:pPr>
            <w:r w:rsidRPr="00D50069">
              <w:rPr>
                <w:rFonts w:eastAsia="Calibri" w:cstheme="majorBidi"/>
                <w:position w:val="0"/>
                <w:sz w:val="22"/>
              </w:rPr>
              <w:t>02 %</w:t>
            </w:r>
          </w:p>
        </w:tc>
        <w:tc>
          <w:tcPr>
            <w:tcW w:w="923" w:type="dxa"/>
          </w:tcPr>
          <w:p w14:paraId="45C4DC98" w14:textId="77777777" w:rsidR="00D50069" w:rsidRPr="00D50069" w:rsidRDefault="00D50069" w:rsidP="00C43729">
            <w:pPr>
              <w:cnfStyle w:val="000000100000" w:firstRow="0" w:lastRow="0" w:firstColumn="0" w:lastColumn="0" w:oddVBand="0" w:evenVBand="0" w:oddHBand="1" w:evenHBand="0" w:firstRowFirstColumn="0" w:firstRowLastColumn="0" w:lastRowFirstColumn="0" w:lastRowLastColumn="0"/>
              <w:rPr>
                <w:rFonts w:eastAsia="Calibri" w:cstheme="majorBidi"/>
                <w:position w:val="0"/>
                <w:sz w:val="22"/>
              </w:rPr>
            </w:pPr>
            <w:r w:rsidRPr="00D50069">
              <w:rPr>
                <w:rFonts w:eastAsia="Calibri" w:cstheme="majorBidi"/>
                <w:position w:val="0"/>
                <w:sz w:val="22"/>
              </w:rPr>
              <w:t>05</w:t>
            </w:r>
          </w:p>
          <w:p w14:paraId="2C4F9381" w14:textId="77777777" w:rsidR="00D50069" w:rsidRPr="00D50069" w:rsidRDefault="00D50069" w:rsidP="00C43729">
            <w:pPr>
              <w:cnfStyle w:val="000000100000" w:firstRow="0" w:lastRow="0" w:firstColumn="0" w:lastColumn="0" w:oddVBand="0" w:evenVBand="0" w:oddHBand="1" w:evenHBand="0" w:firstRowFirstColumn="0" w:firstRowLastColumn="0" w:lastRowFirstColumn="0" w:lastRowLastColumn="0"/>
              <w:rPr>
                <w:rFonts w:eastAsia="Calibri" w:cstheme="majorBidi"/>
                <w:position w:val="0"/>
                <w:sz w:val="22"/>
              </w:rPr>
            </w:pPr>
            <w:r w:rsidRPr="00D50069">
              <w:rPr>
                <w:rFonts w:eastAsia="Calibri" w:cstheme="majorBidi"/>
                <w:position w:val="0"/>
                <w:sz w:val="22"/>
              </w:rPr>
              <w:t>10 %</w:t>
            </w:r>
          </w:p>
        </w:tc>
        <w:tc>
          <w:tcPr>
            <w:tcW w:w="871" w:type="dxa"/>
          </w:tcPr>
          <w:p w14:paraId="03DA7F01" w14:textId="77777777" w:rsidR="00D50069" w:rsidRPr="00D50069" w:rsidRDefault="00D50069" w:rsidP="00C43729">
            <w:pPr>
              <w:cnfStyle w:val="000000100000" w:firstRow="0" w:lastRow="0" w:firstColumn="0" w:lastColumn="0" w:oddVBand="0" w:evenVBand="0" w:oddHBand="1" w:evenHBand="0" w:firstRowFirstColumn="0" w:firstRowLastColumn="0" w:lastRowFirstColumn="0" w:lastRowLastColumn="0"/>
              <w:rPr>
                <w:rFonts w:eastAsia="Calibri" w:cstheme="majorBidi"/>
                <w:position w:val="0"/>
                <w:sz w:val="22"/>
              </w:rPr>
            </w:pPr>
            <w:r w:rsidRPr="00D50069">
              <w:rPr>
                <w:rFonts w:eastAsia="Calibri" w:cstheme="majorBidi"/>
                <w:position w:val="0"/>
                <w:sz w:val="22"/>
              </w:rPr>
              <w:t>38</w:t>
            </w:r>
          </w:p>
          <w:p w14:paraId="7046F33F" w14:textId="77777777" w:rsidR="00D50069" w:rsidRPr="00D50069" w:rsidRDefault="00D50069" w:rsidP="00C43729">
            <w:pPr>
              <w:cnfStyle w:val="000000100000" w:firstRow="0" w:lastRow="0" w:firstColumn="0" w:lastColumn="0" w:oddVBand="0" w:evenVBand="0" w:oddHBand="1" w:evenHBand="0" w:firstRowFirstColumn="0" w:firstRowLastColumn="0" w:lastRowFirstColumn="0" w:lastRowLastColumn="0"/>
              <w:rPr>
                <w:rFonts w:eastAsia="Calibri" w:cstheme="majorBidi"/>
                <w:position w:val="0"/>
                <w:sz w:val="22"/>
              </w:rPr>
            </w:pPr>
            <w:r w:rsidRPr="00D50069">
              <w:rPr>
                <w:rFonts w:eastAsia="Calibri" w:cstheme="majorBidi"/>
                <w:position w:val="0"/>
                <w:sz w:val="22"/>
              </w:rPr>
              <w:t>79 %</w:t>
            </w:r>
          </w:p>
        </w:tc>
        <w:tc>
          <w:tcPr>
            <w:tcW w:w="1028" w:type="dxa"/>
          </w:tcPr>
          <w:p w14:paraId="6CEEA654" w14:textId="77777777" w:rsidR="00D50069" w:rsidRPr="00D50069" w:rsidRDefault="00D50069" w:rsidP="00C43729">
            <w:pPr>
              <w:cnfStyle w:val="000000100000" w:firstRow="0" w:lastRow="0" w:firstColumn="0" w:lastColumn="0" w:oddVBand="0" w:evenVBand="0" w:oddHBand="1" w:evenHBand="0" w:firstRowFirstColumn="0" w:firstRowLastColumn="0" w:lastRowFirstColumn="0" w:lastRowLastColumn="0"/>
              <w:rPr>
                <w:rFonts w:eastAsia="Calibri" w:cstheme="majorBidi"/>
                <w:position w:val="0"/>
                <w:sz w:val="22"/>
              </w:rPr>
            </w:pPr>
            <w:r w:rsidRPr="00D50069">
              <w:rPr>
                <w:rFonts w:eastAsia="Calibri" w:cstheme="majorBidi"/>
                <w:position w:val="0"/>
                <w:sz w:val="22"/>
              </w:rPr>
              <w:t>04</w:t>
            </w:r>
          </w:p>
          <w:p w14:paraId="1A6FDAD4" w14:textId="77777777" w:rsidR="00D50069" w:rsidRPr="00D50069" w:rsidRDefault="00D50069" w:rsidP="00C43729">
            <w:pPr>
              <w:cnfStyle w:val="000000100000" w:firstRow="0" w:lastRow="0" w:firstColumn="0" w:lastColumn="0" w:oddVBand="0" w:evenVBand="0" w:oddHBand="1" w:evenHBand="0" w:firstRowFirstColumn="0" w:firstRowLastColumn="0" w:lastRowFirstColumn="0" w:lastRowLastColumn="0"/>
              <w:rPr>
                <w:rFonts w:eastAsia="Calibri" w:cstheme="majorBidi"/>
                <w:position w:val="0"/>
                <w:sz w:val="22"/>
              </w:rPr>
            </w:pPr>
            <w:r w:rsidRPr="00D50069">
              <w:rPr>
                <w:rFonts w:eastAsia="Calibri" w:cstheme="majorBidi"/>
                <w:position w:val="0"/>
                <w:sz w:val="22"/>
              </w:rPr>
              <w:t>08 %</w:t>
            </w:r>
          </w:p>
          <w:p w14:paraId="502AC9A9" w14:textId="77777777" w:rsidR="00D50069" w:rsidRPr="00D50069" w:rsidRDefault="00D50069" w:rsidP="00C43729">
            <w:pPr>
              <w:cnfStyle w:val="000000100000" w:firstRow="0" w:lastRow="0" w:firstColumn="0" w:lastColumn="0" w:oddVBand="0" w:evenVBand="0" w:oddHBand="1" w:evenHBand="0" w:firstRowFirstColumn="0" w:firstRowLastColumn="0" w:lastRowFirstColumn="0" w:lastRowLastColumn="0"/>
              <w:rPr>
                <w:rFonts w:eastAsia="Calibri" w:cstheme="majorBidi"/>
                <w:position w:val="0"/>
                <w:sz w:val="22"/>
              </w:rPr>
            </w:pPr>
          </w:p>
        </w:tc>
        <w:tc>
          <w:tcPr>
            <w:tcW w:w="927" w:type="dxa"/>
          </w:tcPr>
          <w:p w14:paraId="14873FA6" w14:textId="77777777" w:rsidR="00D50069" w:rsidRPr="00D50069" w:rsidRDefault="00D50069" w:rsidP="00C43729">
            <w:pPr>
              <w:cnfStyle w:val="000000100000" w:firstRow="0" w:lastRow="0" w:firstColumn="0" w:lastColumn="0" w:oddVBand="0" w:evenVBand="0" w:oddHBand="1" w:evenHBand="0" w:firstRowFirstColumn="0" w:firstRowLastColumn="0" w:lastRowFirstColumn="0" w:lastRowLastColumn="0"/>
              <w:rPr>
                <w:rFonts w:eastAsia="Calibri" w:cstheme="majorBidi"/>
                <w:position w:val="0"/>
                <w:sz w:val="22"/>
              </w:rPr>
            </w:pPr>
            <w:r w:rsidRPr="00D50069">
              <w:rPr>
                <w:rFonts w:eastAsia="Calibri" w:cstheme="majorBidi"/>
                <w:position w:val="0"/>
                <w:sz w:val="22"/>
              </w:rPr>
              <w:t>48</w:t>
            </w:r>
          </w:p>
          <w:p w14:paraId="23A18252" w14:textId="77777777" w:rsidR="00D50069" w:rsidRPr="00D50069" w:rsidRDefault="00D50069" w:rsidP="00C43729">
            <w:pPr>
              <w:cnfStyle w:val="000000100000" w:firstRow="0" w:lastRow="0" w:firstColumn="0" w:lastColumn="0" w:oddVBand="0" w:evenVBand="0" w:oddHBand="1" w:evenHBand="0" w:firstRowFirstColumn="0" w:firstRowLastColumn="0" w:lastRowFirstColumn="0" w:lastRowLastColumn="0"/>
              <w:rPr>
                <w:rFonts w:eastAsia="Calibri" w:cstheme="majorBidi"/>
                <w:position w:val="0"/>
                <w:sz w:val="22"/>
              </w:rPr>
            </w:pPr>
            <w:r w:rsidRPr="00D50069">
              <w:rPr>
                <w:rFonts w:eastAsia="Calibri" w:cstheme="majorBidi"/>
                <w:position w:val="0"/>
                <w:sz w:val="22"/>
              </w:rPr>
              <w:t>100 %</w:t>
            </w:r>
          </w:p>
        </w:tc>
      </w:tr>
    </w:tbl>
    <w:bookmarkEnd w:id="227"/>
    <w:p w14:paraId="0F5C05EC" w14:textId="77777777" w:rsidR="00044B2B" w:rsidRDefault="004A2F35" w:rsidP="00044B2B">
      <w:pPr>
        <w:spacing w:after="160" w:line="480" w:lineRule="auto"/>
        <w:ind w:firstLine="567"/>
        <w:jc w:val="both"/>
        <w:rPr>
          <w:rFonts w:eastAsia="Calibri"/>
          <w:kern w:val="2"/>
          <w:position w:val="0"/>
          <w14:ligatures w14:val="standardContextual"/>
        </w:rPr>
      </w:pPr>
      <w:r w:rsidRPr="00D50069">
        <w:rPr>
          <w:rFonts w:eastAsia="Calibri"/>
          <w:kern w:val="2"/>
          <w:position w:val="0"/>
          <w14:ligatures w14:val="standardContextual"/>
        </w:rPr>
        <w:lastRenderedPageBreak/>
        <w:t xml:space="preserve">As observed earlier in </w:t>
      </w:r>
      <w:r w:rsidRPr="00D50069">
        <w:rPr>
          <w:rFonts w:eastAsia="Calibri"/>
          <w:b/>
          <w:bCs/>
          <w:kern w:val="2"/>
          <w:position w:val="0"/>
          <w14:ligatures w14:val="standardContextual"/>
        </w:rPr>
        <w:t>Graph 07</w:t>
      </w:r>
      <w:r w:rsidRPr="00D50069">
        <w:rPr>
          <w:rFonts w:eastAsia="Calibri"/>
          <w:kern w:val="2"/>
          <w:position w:val="0"/>
          <w14:ligatures w14:val="standardContextual"/>
        </w:rPr>
        <w:t xml:space="preserve"> above, the analysis of section three Likert scale items (</w:t>
      </w:r>
      <w:r w:rsidRPr="00D50069">
        <w:rPr>
          <w:rFonts w:eastAsia="Calibri"/>
          <w:b/>
          <w:bCs/>
          <w:kern w:val="2"/>
          <w:position w:val="0"/>
          <w14:ligatures w14:val="standardContextual"/>
        </w:rPr>
        <w:t xml:space="preserve">Graph 12 and Table </w:t>
      </w:r>
      <w:r w:rsidR="000304D2">
        <w:rPr>
          <w:rFonts w:eastAsia="Calibri"/>
          <w:b/>
          <w:bCs/>
          <w:kern w:val="2"/>
          <w:position w:val="0"/>
          <w14:ligatures w14:val="standardContextual"/>
        </w:rPr>
        <w:t>12</w:t>
      </w:r>
      <w:r w:rsidRPr="00D50069">
        <w:rPr>
          <w:rFonts w:eastAsia="Calibri"/>
          <w:b/>
          <w:bCs/>
          <w:kern w:val="2"/>
          <w:position w:val="0"/>
          <w14:ligatures w14:val="standardContextual"/>
        </w:rPr>
        <w:t>)</w:t>
      </w:r>
      <w:r w:rsidRPr="00D50069">
        <w:rPr>
          <w:rFonts w:eastAsia="Calibri"/>
          <w:kern w:val="2"/>
          <w:position w:val="0"/>
          <w14:ligatures w14:val="standardContextual"/>
        </w:rPr>
        <w:t xml:space="preserve"> received a similar pattern of consistency. The recurrence of high agreement rates, alongside relatively steady neutrality (less than 27 %) and limited disagreement (not more than 10 %) across the six statements indicates a coherent and shared positive perception of online resources role in designing valid a consistent assessment tool. </w:t>
      </w:r>
    </w:p>
    <w:p w14:paraId="27B24ECE" w14:textId="36770733" w:rsidR="00D50069" w:rsidRPr="00D50069" w:rsidRDefault="00C43729" w:rsidP="00044B2B">
      <w:pPr>
        <w:spacing w:after="160" w:line="480" w:lineRule="auto"/>
        <w:ind w:firstLine="567"/>
        <w:jc w:val="both"/>
        <w:rPr>
          <w:rFonts w:eastAsia="Calibri"/>
          <w:kern w:val="2"/>
          <w:position w:val="0"/>
          <w14:ligatures w14:val="standardContextual"/>
        </w:rPr>
      </w:pPr>
      <w:r>
        <w:rPr>
          <w:rFonts w:eastAsia="Calibri"/>
          <w:b/>
          <w:bCs/>
          <w:kern w:val="2"/>
          <w:position w:val="0"/>
          <w14:ligatures w14:val="standardContextual"/>
        </w:rPr>
        <w:t xml:space="preserve"> </w:t>
      </w:r>
      <w:r w:rsidR="00D50069" w:rsidRPr="00D50069">
        <w:rPr>
          <w:rFonts w:eastAsia="Calibri"/>
          <w:b/>
          <w:bCs/>
          <w:kern w:val="2"/>
          <w:position w:val="0"/>
          <w14:ligatures w14:val="standardContextual"/>
        </w:rPr>
        <w:t>Table 1</w:t>
      </w:r>
      <w:r w:rsidR="00803CA1">
        <w:rPr>
          <w:rFonts w:eastAsia="Calibri"/>
          <w:b/>
          <w:bCs/>
          <w:kern w:val="2"/>
          <w:position w:val="0"/>
          <w14:ligatures w14:val="standardContextual"/>
        </w:rPr>
        <w:t>3</w:t>
      </w:r>
      <w:r w:rsidR="00D50069" w:rsidRPr="00D50069">
        <w:rPr>
          <w:rFonts w:eastAsia="Calibri"/>
          <w:kern w:val="2"/>
          <w:position w:val="0"/>
          <w14:ligatures w14:val="standardContextual"/>
        </w:rPr>
        <w:t xml:space="preserve"> and </w:t>
      </w:r>
      <w:r w:rsidR="00D50069" w:rsidRPr="00D50069">
        <w:rPr>
          <w:rFonts w:eastAsia="Calibri"/>
          <w:b/>
          <w:bCs/>
          <w:kern w:val="2"/>
          <w:position w:val="0"/>
          <w14:ligatures w14:val="standardContextual"/>
        </w:rPr>
        <w:t>Graph 13</w:t>
      </w:r>
      <w:r w:rsidR="00D50069" w:rsidRPr="00D50069">
        <w:rPr>
          <w:rFonts w:eastAsia="Calibri"/>
          <w:kern w:val="2"/>
          <w:position w:val="0"/>
          <w14:ligatures w14:val="standardContextual"/>
        </w:rPr>
        <w:t xml:space="preserve"> present the central tendency and dispersion measures for six questions related to participants’ skills in assessing achievements. The </w:t>
      </w:r>
      <w:r w:rsidR="00D50069" w:rsidRPr="00D50069">
        <w:rPr>
          <w:rFonts w:eastAsia="Calibri"/>
          <w:b/>
          <w:bCs/>
          <w:kern w:val="2"/>
          <w:position w:val="0"/>
          <w14:ligatures w14:val="standardContextual"/>
        </w:rPr>
        <w:t>mean scores</w:t>
      </w:r>
      <w:r w:rsidR="00D50069" w:rsidRPr="00D50069">
        <w:rPr>
          <w:rFonts w:eastAsia="Calibri"/>
          <w:kern w:val="2"/>
          <w:position w:val="0"/>
          <w14:ligatures w14:val="standardContextual"/>
        </w:rPr>
        <w:t xml:space="preserve">, all around </w:t>
      </w:r>
      <w:proofErr w:type="gramStart"/>
      <w:r w:rsidR="00D50069" w:rsidRPr="00D50069">
        <w:rPr>
          <w:rFonts w:eastAsia="Calibri"/>
          <w:kern w:val="2"/>
          <w:position w:val="0"/>
          <w14:ligatures w14:val="standardContextual"/>
        </w:rPr>
        <w:t>4</w:t>
      </w:r>
      <w:proofErr w:type="gramEnd"/>
      <w:r w:rsidR="00D50069" w:rsidRPr="00D50069">
        <w:rPr>
          <w:rFonts w:eastAsia="Calibri"/>
          <w:kern w:val="2"/>
          <w:position w:val="0"/>
          <w14:ligatures w14:val="standardContextual"/>
        </w:rPr>
        <w:t xml:space="preserve">, reveal a strong positive tendency in participants’ responses, as it was noticed in </w:t>
      </w:r>
      <w:r w:rsidR="00D50069" w:rsidRPr="00D50069">
        <w:rPr>
          <w:rFonts w:eastAsia="Calibri"/>
          <w:b/>
          <w:bCs/>
          <w:kern w:val="2"/>
          <w:position w:val="0"/>
          <w14:ligatures w14:val="standardContextual"/>
        </w:rPr>
        <w:t>Graph 12</w:t>
      </w:r>
      <w:r w:rsidR="00D50069" w:rsidRPr="00D50069">
        <w:rPr>
          <w:rFonts w:eastAsia="Calibri"/>
          <w:kern w:val="2"/>
          <w:position w:val="0"/>
          <w14:ligatures w14:val="standardContextual"/>
        </w:rPr>
        <w:t xml:space="preserve"> above. The small </w:t>
      </w:r>
      <w:r w:rsidR="00D50069" w:rsidRPr="00D50069">
        <w:rPr>
          <w:rFonts w:eastAsia="Calibri"/>
          <w:b/>
          <w:bCs/>
          <w:kern w:val="2"/>
          <w:position w:val="0"/>
          <w14:ligatures w14:val="standardContextual"/>
        </w:rPr>
        <w:t>standard errors</w:t>
      </w:r>
      <w:r w:rsidR="00D50069" w:rsidRPr="00D50069">
        <w:rPr>
          <w:rFonts w:eastAsia="Calibri"/>
          <w:kern w:val="2"/>
          <w:position w:val="0"/>
          <w14:ligatures w14:val="standardContextual"/>
        </w:rPr>
        <w:t xml:space="preserve"> observed across all questions from (0.10 to 0.17) indicate that the sample means are reliable. The uniformity of </w:t>
      </w:r>
      <w:r w:rsidR="00D50069" w:rsidRPr="00D50069">
        <w:rPr>
          <w:rFonts w:eastAsia="Calibri"/>
          <w:b/>
          <w:bCs/>
          <w:kern w:val="2"/>
          <w:position w:val="0"/>
          <w14:ligatures w14:val="standardContextual"/>
        </w:rPr>
        <w:t>median</w:t>
      </w:r>
      <w:r w:rsidR="00D50069" w:rsidRPr="00D50069">
        <w:rPr>
          <w:rFonts w:eastAsia="Calibri"/>
          <w:kern w:val="2"/>
          <w:position w:val="0"/>
          <w14:ligatures w14:val="standardContextual"/>
        </w:rPr>
        <w:t xml:space="preserve"> values supports the conclusion that predominantly favorable attitudes </w:t>
      </w:r>
      <w:proofErr w:type="gramStart"/>
      <w:r w:rsidR="00D50069" w:rsidRPr="00D50069">
        <w:rPr>
          <w:rFonts w:eastAsia="Calibri"/>
          <w:kern w:val="2"/>
          <w:position w:val="0"/>
          <w14:ligatures w14:val="standardContextual"/>
        </w:rPr>
        <w:t>are symmetrically distributed</w:t>
      </w:r>
      <w:proofErr w:type="gramEnd"/>
      <w:r w:rsidR="00D50069" w:rsidRPr="00D50069">
        <w:rPr>
          <w:rFonts w:eastAsia="Calibri"/>
          <w:kern w:val="2"/>
          <w:position w:val="0"/>
          <w14:ligatures w14:val="standardContextual"/>
        </w:rPr>
        <w:t xml:space="preserve"> throughout the Likert scale data set. What is more, low </w:t>
      </w:r>
      <w:r w:rsidR="00D50069" w:rsidRPr="00D50069">
        <w:rPr>
          <w:rFonts w:eastAsia="Calibri"/>
          <w:b/>
          <w:bCs/>
          <w:kern w:val="2"/>
          <w:position w:val="0"/>
          <w14:ligatures w14:val="standardContextual"/>
        </w:rPr>
        <w:t xml:space="preserve">standard deviation </w:t>
      </w:r>
      <w:r w:rsidR="00D50069" w:rsidRPr="00D50069">
        <w:rPr>
          <w:rFonts w:eastAsia="Calibri"/>
          <w:kern w:val="2"/>
          <w:position w:val="0"/>
          <w14:ligatures w14:val="standardContextual"/>
        </w:rPr>
        <w:t xml:space="preserve">values, particularly for Questions 3 (0.67) and </w:t>
      </w:r>
      <w:proofErr w:type="gramStart"/>
      <w:r w:rsidR="00D50069" w:rsidRPr="00D50069">
        <w:rPr>
          <w:rFonts w:eastAsia="Calibri"/>
          <w:kern w:val="2"/>
          <w:position w:val="0"/>
          <w14:ligatures w14:val="standardContextual"/>
        </w:rPr>
        <w:t>6</w:t>
      </w:r>
      <w:proofErr w:type="gramEnd"/>
      <w:r w:rsidR="00D50069" w:rsidRPr="00D50069">
        <w:rPr>
          <w:rFonts w:eastAsia="Calibri"/>
          <w:kern w:val="2"/>
          <w:position w:val="0"/>
          <w14:ligatures w14:val="standardContextual"/>
        </w:rPr>
        <w:t xml:space="preserve"> (0.76), highlight that participants’ answers are closely clustered around the mean. </w:t>
      </w:r>
      <w:proofErr w:type="gramStart"/>
      <w:r w:rsidR="00D50069" w:rsidRPr="00D50069">
        <w:rPr>
          <w:rFonts w:eastAsia="Calibri"/>
          <w:kern w:val="2"/>
          <w:position w:val="0"/>
          <w14:ligatures w14:val="standardContextual"/>
        </w:rPr>
        <w:t>Overall</w:t>
      </w:r>
      <w:proofErr w:type="gramEnd"/>
      <w:r w:rsidR="00D50069" w:rsidRPr="00D50069">
        <w:rPr>
          <w:rFonts w:eastAsia="Calibri"/>
          <w:kern w:val="2"/>
          <w:position w:val="0"/>
          <w14:ligatures w14:val="standardContextual"/>
        </w:rPr>
        <w:t xml:space="preserve"> moderate variability with minor differences in individual interpretations or experiences can inform targeted and impactful future training and professional development. Such data-driven insights can serve as a foundation to help reinforce strengths and address teachers’ specific gaps aiming for further growth.</w:t>
      </w:r>
      <w:bookmarkStart w:id="231" w:name="_Hlk198637034"/>
    </w:p>
    <w:p w14:paraId="5A7D46B5" w14:textId="7FDB6EB5" w:rsidR="00044B2B" w:rsidRDefault="00D50069" w:rsidP="00044B2B">
      <w:pPr>
        <w:keepNext/>
        <w:spacing w:after="200" w:line="276" w:lineRule="auto"/>
        <w:rPr>
          <w:rFonts w:eastAsia="Calibri"/>
          <w:i/>
          <w:iCs/>
          <w:kern w:val="2"/>
          <w:position w:val="0"/>
          <w14:ligatures w14:val="standardContextual"/>
        </w:rPr>
      </w:pPr>
      <w:bookmarkStart w:id="232" w:name="_Toc199832007"/>
      <w:bookmarkStart w:id="233" w:name="_Toc199832376"/>
      <w:bookmarkStart w:id="234" w:name="_Toc200446661"/>
      <w:r w:rsidRPr="00D50069">
        <w:rPr>
          <w:rFonts w:eastAsia="Calibri"/>
          <w:b/>
          <w:bCs/>
          <w:kern w:val="2"/>
          <w:position w:val="0"/>
          <w14:ligatures w14:val="standardContextual"/>
        </w:rPr>
        <w:t xml:space="preserve">Table </w:t>
      </w:r>
      <w:r w:rsidR="00274F6F" w:rsidRPr="00803CA1">
        <w:rPr>
          <w:rFonts w:eastAsia="Calibri"/>
          <w:b/>
          <w:bCs/>
          <w:kern w:val="2"/>
          <w:position w:val="0"/>
          <w14:ligatures w14:val="standardContextual"/>
        </w:rPr>
        <w:fldChar w:fldCharType="begin"/>
      </w:r>
      <w:r w:rsidR="00274F6F" w:rsidRPr="00803CA1">
        <w:rPr>
          <w:rFonts w:eastAsia="Calibri"/>
          <w:b/>
          <w:bCs/>
          <w:kern w:val="2"/>
          <w:position w:val="0"/>
          <w14:ligatures w14:val="standardContextual"/>
        </w:rPr>
        <w:instrText xml:space="preserve"> SEQ Table \* ARABIC </w:instrText>
      </w:r>
      <w:r w:rsidR="00274F6F" w:rsidRPr="00803CA1">
        <w:rPr>
          <w:rFonts w:eastAsia="Calibri"/>
          <w:b/>
          <w:bCs/>
          <w:kern w:val="2"/>
          <w:position w:val="0"/>
          <w14:ligatures w14:val="standardContextual"/>
        </w:rPr>
        <w:fldChar w:fldCharType="separate"/>
      </w:r>
      <w:r w:rsidR="00DC3231">
        <w:rPr>
          <w:rFonts w:eastAsia="Calibri"/>
          <w:b/>
          <w:bCs/>
          <w:noProof/>
          <w:kern w:val="2"/>
          <w:position w:val="0"/>
          <w14:ligatures w14:val="standardContextual"/>
        </w:rPr>
        <w:t>13</w:t>
      </w:r>
      <w:r w:rsidR="00274F6F" w:rsidRPr="00803CA1">
        <w:rPr>
          <w:rFonts w:eastAsia="Calibri"/>
          <w:b/>
          <w:bCs/>
          <w:kern w:val="2"/>
          <w:position w:val="0"/>
          <w14:ligatures w14:val="standardContextual"/>
        </w:rPr>
        <w:fldChar w:fldCharType="end"/>
      </w:r>
      <w:r w:rsidRPr="00D50069">
        <w:rPr>
          <w:rFonts w:eastAsia="Calibri"/>
          <w:i/>
          <w:iCs/>
          <w:kern w:val="2"/>
          <w:position w:val="0"/>
          <w14:ligatures w14:val="standardContextual"/>
        </w:rPr>
        <w:t xml:space="preserve"> </w:t>
      </w:r>
    </w:p>
    <w:p w14:paraId="7E860BD3" w14:textId="2C161378" w:rsidR="00D50069" w:rsidRPr="00044B2B" w:rsidRDefault="00D50069" w:rsidP="00044B2B">
      <w:pPr>
        <w:keepNext/>
        <w:spacing w:after="200" w:line="276" w:lineRule="auto"/>
        <w:rPr>
          <w:rFonts w:eastAsia="Calibri"/>
          <w:kern w:val="2"/>
          <w:position w:val="0"/>
          <w14:ligatures w14:val="standardContextual"/>
        </w:rPr>
      </w:pPr>
      <w:r w:rsidRPr="00044B2B">
        <w:rPr>
          <w:rFonts w:eastAsia="Calibri"/>
          <w:kern w:val="2"/>
          <w:position w:val="0"/>
          <w14:ligatures w14:val="standardContextual"/>
        </w:rPr>
        <w:t>Likert Scale 02 Descriptive Statistics Summary</w:t>
      </w:r>
      <w:bookmarkEnd w:id="232"/>
      <w:bookmarkEnd w:id="233"/>
      <w:bookmarkEnd w:id="234"/>
    </w:p>
    <w:tbl>
      <w:tblPr>
        <w:tblW w:w="9158" w:type="dxa"/>
        <w:jc w:val="center"/>
        <w:tblLook w:val="04A0" w:firstRow="1" w:lastRow="0" w:firstColumn="1" w:lastColumn="0" w:noHBand="0" w:noVBand="1"/>
      </w:tblPr>
      <w:tblGrid>
        <w:gridCol w:w="2145"/>
        <w:gridCol w:w="1056"/>
        <w:gridCol w:w="1353"/>
        <w:gridCol w:w="1247"/>
        <w:gridCol w:w="1107"/>
        <w:gridCol w:w="1194"/>
        <w:gridCol w:w="1056"/>
      </w:tblGrid>
      <w:tr w:rsidR="00D50069" w:rsidRPr="00D50069" w14:paraId="547D1DD0" w14:textId="77777777" w:rsidTr="001B1D10">
        <w:trPr>
          <w:trHeight w:val="258"/>
          <w:jc w:val="center"/>
        </w:trPr>
        <w:tc>
          <w:tcPr>
            <w:tcW w:w="2145" w:type="dxa"/>
            <w:tcBorders>
              <w:top w:val="single" w:sz="8" w:space="0" w:color="auto"/>
              <w:left w:val="nil"/>
              <w:bottom w:val="single" w:sz="4" w:space="0" w:color="auto"/>
              <w:right w:val="nil"/>
            </w:tcBorders>
            <w:shd w:val="clear" w:color="auto" w:fill="auto"/>
            <w:noWrap/>
            <w:vAlign w:val="bottom"/>
            <w:hideMark/>
          </w:tcPr>
          <w:bookmarkEnd w:id="231"/>
          <w:p w14:paraId="7780996E" w14:textId="77777777" w:rsidR="00D50069" w:rsidRPr="001B1D10" w:rsidRDefault="00D50069" w:rsidP="00803CA1">
            <w:pPr>
              <w:spacing w:line="360" w:lineRule="auto"/>
              <w:jc w:val="center"/>
              <w:rPr>
                <w:color w:val="000000"/>
                <w:position w:val="0"/>
              </w:rPr>
            </w:pPr>
            <w:r w:rsidRPr="001B1D10">
              <w:rPr>
                <w:color w:val="000000"/>
                <w:position w:val="0"/>
              </w:rPr>
              <w:t>Central Tendency Values</w:t>
            </w:r>
          </w:p>
        </w:tc>
        <w:tc>
          <w:tcPr>
            <w:tcW w:w="1056" w:type="dxa"/>
            <w:tcBorders>
              <w:top w:val="single" w:sz="8" w:space="0" w:color="auto"/>
              <w:left w:val="nil"/>
              <w:bottom w:val="single" w:sz="4" w:space="0" w:color="auto"/>
              <w:right w:val="nil"/>
            </w:tcBorders>
            <w:shd w:val="clear" w:color="auto" w:fill="auto"/>
            <w:noWrap/>
            <w:vAlign w:val="bottom"/>
            <w:hideMark/>
          </w:tcPr>
          <w:p w14:paraId="1B8B13DD" w14:textId="13B678C3" w:rsidR="00D50069" w:rsidRPr="001B1D10" w:rsidRDefault="00D50069" w:rsidP="00803CA1">
            <w:pPr>
              <w:spacing w:line="360" w:lineRule="auto"/>
              <w:jc w:val="center"/>
              <w:rPr>
                <w:color w:val="000000"/>
                <w:position w:val="0"/>
              </w:rPr>
            </w:pPr>
            <w:r w:rsidRPr="001B1D10">
              <w:rPr>
                <w:color w:val="000000"/>
                <w:position w:val="0"/>
              </w:rPr>
              <w:t>Q</w:t>
            </w:r>
            <w:r w:rsidR="00044B2B" w:rsidRPr="001B1D10">
              <w:rPr>
                <w:color w:val="000000"/>
                <w:position w:val="0"/>
              </w:rPr>
              <w:t xml:space="preserve"> </w:t>
            </w:r>
            <w:r w:rsidRPr="001B1D10">
              <w:rPr>
                <w:color w:val="000000"/>
                <w:position w:val="0"/>
              </w:rPr>
              <w:t>1</w:t>
            </w:r>
          </w:p>
        </w:tc>
        <w:tc>
          <w:tcPr>
            <w:tcW w:w="1353" w:type="dxa"/>
            <w:tcBorders>
              <w:top w:val="single" w:sz="8" w:space="0" w:color="auto"/>
              <w:left w:val="nil"/>
              <w:bottom w:val="single" w:sz="4" w:space="0" w:color="auto"/>
              <w:right w:val="nil"/>
            </w:tcBorders>
            <w:shd w:val="clear" w:color="auto" w:fill="auto"/>
            <w:noWrap/>
            <w:vAlign w:val="bottom"/>
            <w:hideMark/>
          </w:tcPr>
          <w:p w14:paraId="4185C559" w14:textId="57FFCB1C" w:rsidR="00D50069" w:rsidRPr="001B1D10" w:rsidRDefault="00D50069" w:rsidP="00803CA1">
            <w:pPr>
              <w:spacing w:line="360" w:lineRule="auto"/>
              <w:jc w:val="center"/>
              <w:rPr>
                <w:color w:val="000000"/>
                <w:position w:val="0"/>
              </w:rPr>
            </w:pPr>
            <w:r w:rsidRPr="001B1D10">
              <w:rPr>
                <w:color w:val="000000"/>
                <w:position w:val="0"/>
              </w:rPr>
              <w:t>Q 2</w:t>
            </w:r>
          </w:p>
        </w:tc>
        <w:tc>
          <w:tcPr>
            <w:tcW w:w="1247" w:type="dxa"/>
            <w:tcBorders>
              <w:top w:val="single" w:sz="8" w:space="0" w:color="auto"/>
              <w:left w:val="nil"/>
              <w:bottom w:val="single" w:sz="4" w:space="0" w:color="auto"/>
              <w:right w:val="nil"/>
            </w:tcBorders>
            <w:shd w:val="clear" w:color="auto" w:fill="auto"/>
            <w:noWrap/>
            <w:vAlign w:val="bottom"/>
            <w:hideMark/>
          </w:tcPr>
          <w:p w14:paraId="43F0CCC9" w14:textId="51F830C3" w:rsidR="00D50069" w:rsidRPr="001B1D10" w:rsidRDefault="00D50069" w:rsidP="00803CA1">
            <w:pPr>
              <w:spacing w:line="360" w:lineRule="auto"/>
              <w:jc w:val="center"/>
              <w:rPr>
                <w:color w:val="000000"/>
                <w:position w:val="0"/>
              </w:rPr>
            </w:pPr>
            <w:r w:rsidRPr="001B1D10">
              <w:rPr>
                <w:color w:val="000000"/>
                <w:position w:val="0"/>
              </w:rPr>
              <w:t>Q 3</w:t>
            </w:r>
          </w:p>
        </w:tc>
        <w:tc>
          <w:tcPr>
            <w:tcW w:w="1107" w:type="dxa"/>
            <w:tcBorders>
              <w:top w:val="single" w:sz="8" w:space="0" w:color="auto"/>
              <w:left w:val="nil"/>
              <w:bottom w:val="single" w:sz="4" w:space="0" w:color="auto"/>
              <w:right w:val="nil"/>
            </w:tcBorders>
            <w:shd w:val="clear" w:color="auto" w:fill="auto"/>
            <w:noWrap/>
            <w:vAlign w:val="bottom"/>
            <w:hideMark/>
          </w:tcPr>
          <w:p w14:paraId="07ED129D" w14:textId="42E4BEB3" w:rsidR="00D50069" w:rsidRPr="001B1D10" w:rsidRDefault="00D50069" w:rsidP="00803CA1">
            <w:pPr>
              <w:spacing w:line="360" w:lineRule="auto"/>
              <w:jc w:val="center"/>
              <w:rPr>
                <w:color w:val="000000"/>
                <w:position w:val="0"/>
              </w:rPr>
            </w:pPr>
            <w:r w:rsidRPr="001B1D10">
              <w:rPr>
                <w:color w:val="000000"/>
                <w:position w:val="0"/>
              </w:rPr>
              <w:t>Q 4</w:t>
            </w:r>
          </w:p>
        </w:tc>
        <w:tc>
          <w:tcPr>
            <w:tcW w:w="1194" w:type="dxa"/>
            <w:tcBorders>
              <w:top w:val="single" w:sz="8" w:space="0" w:color="auto"/>
              <w:left w:val="nil"/>
              <w:bottom w:val="single" w:sz="4" w:space="0" w:color="auto"/>
              <w:right w:val="nil"/>
            </w:tcBorders>
            <w:shd w:val="clear" w:color="auto" w:fill="auto"/>
            <w:noWrap/>
            <w:vAlign w:val="bottom"/>
            <w:hideMark/>
          </w:tcPr>
          <w:p w14:paraId="2CEFD17A" w14:textId="101A223F" w:rsidR="00D50069" w:rsidRPr="001B1D10" w:rsidRDefault="00D50069" w:rsidP="00803CA1">
            <w:pPr>
              <w:spacing w:line="360" w:lineRule="auto"/>
              <w:jc w:val="center"/>
              <w:rPr>
                <w:color w:val="000000"/>
                <w:position w:val="0"/>
              </w:rPr>
            </w:pPr>
            <w:r w:rsidRPr="001B1D10">
              <w:rPr>
                <w:color w:val="000000"/>
                <w:position w:val="0"/>
              </w:rPr>
              <w:t>Q 5</w:t>
            </w:r>
          </w:p>
        </w:tc>
        <w:tc>
          <w:tcPr>
            <w:tcW w:w="1056" w:type="dxa"/>
            <w:tcBorders>
              <w:top w:val="single" w:sz="8" w:space="0" w:color="auto"/>
              <w:left w:val="nil"/>
              <w:bottom w:val="single" w:sz="4" w:space="0" w:color="auto"/>
              <w:right w:val="nil"/>
            </w:tcBorders>
            <w:shd w:val="clear" w:color="auto" w:fill="auto"/>
            <w:noWrap/>
            <w:vAlign w:val="bottom"/>
            <w:hideMark/>
          </w:tcPr>
          <w:p w14:paraId="0743F0E4" w14:textId="75E2E2B2" w:rsidR="00D50069" w:rsidRPr="001B1D10" w:rsidRDefault="00D50069" w:rsidP="00803CA1">
            <w:pPr>
              <w:spacing w:line="360" w:lineRule="auto"/>
              <w:jc w:val="center"/>
              <w:rPr>
                <w:color w:val="000000"/>
                <w:position w:val="0"/>
              </w:rPr>
            </w:pPr>
            <w:r w:rsidRPr="001B1D10">
              <w:rPr>
                <w:color w:val="000000"/>
                <w:position w:val="0"/>
              </w:rPr>
              <w:t>Q</w:t>
            </w:r>
            <w:r w:rsidR="00044B2B" w:rsidRPr="001B1D10">
              <w:rPr>
                <w:color w:val="000000"/>
                <w:position w:val="0"/>
              </w:rPr>
              <w:t xml:space="preserve"> </w:t>
            </w:r>
            <w:r w:rsidRPr="001B1D10">
              <w:rPr>
                <w:color w:val="000000"/>
                <w:position w:val="0"/>
              </w:rPr>
              <w:t>6</w:t>
            </w:r>
          </w:p>
        </w:tc>
      </w:tr>
      <w:tr w:rsidR="00D50069" w:rsidRPr="00D50069" w14:paraId="32FE63A1" w14:textId="77777777" w:rsidTr="001B1D10">
        <w:trPr>
          <w:trHeight w:val="247"/>
          <w:jc w:val="center"/>
        </w:trPr>
        <w:tc>
          <w:tcPr>
            <w:tcW w:w="2145" w:type="dxa"/>
            <w:tcBorders>
              <w:top w:val="nil"/>
              <w:left w:val="nil"/>
              <w:bottom w:val="nil"/>
              <w:right w:val="nil"/>
            </w:tcBorders>
            <w:shd w:val="clear" w:color="auto" w:fill="auto"/>
            <w:noWrap/>
            <w:vAlign w:val="bottom"/>
            <w:hideMark/>
          </w:tcPr>
          <w:p w14:paraId="5EED9D3C" w14:textId="77777777" w:rsidR="00D50069" w:rsidRPr="00D50069" w:rsidRDefault="00D50069" w:rsidP="00803CA1">
            <w:pPr>
              <w:spacing w:line="360" w:lineRule="auto"/>
              <w:jc w:val="center"/>
              <w:rPr>
                <w:i/>
                <w:iCs/>
                <w:color w:val="000000"/>
                <w:position w:val="0"/>
              </w:rPr>
            </w:pPr>
          </w:p>
        </w:tc>
        <w:tc>
          <w:tcPr>
            <w:tcW w:w="1056" w:type="dxa"/>
            <w:tcBorders>
              <w:top w:val="nil"/>
              <w:left w:val="nil"/>
              <w:bottom w:val="nil"/>
              <w:right w:val="nil"/>
            </w:tcBorders>
            <w:shd w:val="clear" w:color="auto" w:fill="auto"/>
            <w:noWrap/>
            <w:vAlign w:val="bottom"/>
            <w:hideMark/>
          </w:tcPr>
          <w:p w14:paraId="5CB5FD7B" w14:textId="77777777" w:rsidR="00D50069" w:rsidRPr="00D50069" w:rsidRDefault="00D50069" w:rsidP="00803CA1">
            <w:pPr>
              <w:spacing w:line="360" w:lineRule="auto"/>
              <w:rPr>
                <w:position w:val="0"/>
              </w:rPr>
            </w:pPr>
          </w:p>
        </w:tc>
        <w:tc>
          <w:tcPr>
            <w:tcW w:w="1353" w:type="dxa"/>
            <w:tcBorders>
              <w:top w:val="nil"/>
              <w:left w:val="nil"/>
              <w:bottom w:val="nil"/>
              <w:right w:val="nil"/>
            </w:tcBorders>
            <w:shd w:val="clear" w:color="auto" w:fill="auto"/>
            <w:noWrap/>
            <w:vAlign w:val="bottom"/>
            <w:hideMark/>
          </w:tcPr>
          <w:p w14:paraId="4CCA4D19" w14:textId="77777777" w:rsidR="00D50069" w:rsidRPr="00D50069" w:rsidRDefault="00D50069" w:rsidP="00803CA1">
            <w:pPr>
              <w:spacing w:line="360" w:lineRule="auto"/>
              <w:rPr>
                <w:position w:val="0"/>
              </w:rPr>
            </w:pPr>
          </w:p>
        </w:tc>
        <w:tc>
          <w:tcPr>
            <w:tcW w:w="1247" w:type="dxa"/>
            <w:tcBorders>
              <w:top w:val="nil"/>
              <w:left w:val="nil"/>
              <w:bottom w:val="nil"/>
              <w:right w:val="nil"/>
            </w:tcBorders>
            <w:shd w:val="clear" w:color="auto" w:fill="auto"/>
            <w:noWrap/>
            <w:vAlign w:val="bottom"/>
            <w:hideMark/>
          </w:tcPr>
          <w:p w14:paraId="07FC83C3" w14:textId="77777777" w:rsidR="00D50069" w:rsidRPr="00D50069" w:rsidRDefault="00D50069" w:rsidP="00803CA1">
            <w:pPr>
              <w:spacing w:line="360" w:lineRule="auto"/>
              <w:rPr>
                <w:position w:val="0"/>
              </w:rPr>
            </w:pPr>
          </w:p>
        </w:tc>
        <w:tc>
          <w:tcPr>
            <w:tcW w:w="1107" w:type="dxa"/>
            <w:tcBorders>
              <w:top w:val="nil"/>
              <w:left w:val="nil"/>
              <w:bottom w:val="nil"/>
              <w:right w:val="nil"/>
            </w:tcBorders>
            <w:shd w:val="clear" w:color="auto" w:fill="auto"/>
            <w:noWrap/>
            <w:vAlign w:val="bottom"/>
            <w:hideMark/>
          </w:tcPr>
          <w:p w14:paraId="7D5794D8" w14:textId="77777777" w:rsidR="00D50069" w:rsidRPr="00D50069" w:rsidRDefault="00D50069" w:rsidP="00803CA1">
            <w:pPr>
              <w:spacing w:line="360" w:lineRule="auto"/>
              <w:rPr>
                <w:position w:val="0"/>
              </w:rPr>
            </w:pPr>
          </w:p>
        </w:tc>
        <w:tc>
          <w:tcPr>
            <w:tcW w:w="1194" w:type="dxa"/>
            <w:tcBorders>
              <w:top w:val="nil"/>
              <w:left w:val="nil"/>
              <w:bottom w:val="nil"/>
              <w:right w:val="nil"/>
            </w:tcBorders>
            <w:shd w:val="clear" w:color="auto" w:fill="auto"/>
            <w:noWrap/>
            <w:vAlign w:val="bottom"/>
            <w:hideMark/>
          </w:tcPr>
          <w:p w14:paraId="23F62DD6" w14:textId="77777777" w:rsidR="00D50069" w:rsidRPr="00D50069" w:rsidRDefault="00D50069" w:rsidP="00803CA1">
            <w:pPr>
              <w:spacing w:line="360" w:lineRule="auto"/>
              <w:rPr>
                <w:position w:val="0"/>
              </w:rPr>
            </w:pPr>
          </w:p>
        </w:tc>
        <w:tc>
          <w:tcPr>
            <w:tcW w:w="1056" w:type="dxa"/>
            <w:tcBorders>
              <w:top w:val="nil"/>
              <w:left w:val="nil"/>
              <w:bottom w:val="nil"/>
              <w:right w:val="nil"/>
            </w:tcBorders>
            <w:shd w:val="clear" w:color="auto" w:fill="auto"/>
            <w:noWrap/>
            <w:vAlign w:val="bottom"/>
            <w:hideMark/>
          </w:tcPr>
          <w:p w14:paraId="36493EE3" w14:textId="77777777" w:rsidR="00D50069" w:rsidRPr="00D50069" w:rsidRDefault="00D50069" w:rsidP="00803CA1">
            <w:pPr>
              <w:spacing w:line="360" w:lineRule="auto"/>
              <w:rPr>
                <w:position w:val="0"/>
              </w:rPr>
            </w:pPr>
          </w:p>
        </w:tc>
      </w:tr>
      <w:tr w:rsidR="00D50069" w:rsidRPr="00D50069" w14:paraId="1A83954D" w14:textId="77777777" w:rsidTr="001B1D10">
        <w:trPr>
          <w:trHeight w:val="247"/>
          <w:jc w:val="center"/>
        </w:trPr>
        <w:tc>
          <w:tcPr>
            <w:tcW w:w="2145" w:type="dxa"/>
            <w:tcBorders>
              <w:top w:val="nil"/>
              <w:left w:val="nil"/>
              <w:bottom w:val="nil"/>
              <w:right w:val="nil"/>
            </w:tcBorders>
            <w:shd w:val="clear" w:color="auto" w:fill="auto"/>
            <w:noWrap/>
            <w:vAlign w:val="bottom"/>
            <w:hideMark/>
          </w:tcPr>
          <w:p w14:paraId="6440F72B" w14:textId="77777777" w:rsidR="00D50069" w:rsidRPr="00D50069" w:rsidRDefault="00D50069" w:rsidP="00803CA1">
            <w:pPr>
              <w:spacing w:line="360" w:lineRule="auto"/>
              <w:rPr>
                <w:color w:val="000000"/>
                <w:position w:val="0"/>
              </w:rPr>
            </w:pPr>
            <w:r w:rsidRPr="00D50069">
              <w:rPr>
                <w:color w:val="000000"/>
                <w:position w:val="0"/>
              </w:rPr>
              <w:t>Mean</w:t>
            </w:r>
          </w:p>
        </w:tc>
        <w:tc>
          <w:tcPr>
            <w:tcW w:w="1056" w:type="dxa"/>
            <w:tcBorders>
              <w:top w:val="nil"/>
              <w:left w:val="nil"/>
              <w:bottom w:val="nil"/>
              <w:right w:val="nil"/>
            </w:tcBorders>
            <w:shd w:val="clear" w:color="auto" w:fill="auto"/>
            <w:noWrap/>
            <w:vAlign w:val="bottom"/>
            <w:hideMark/>
          </w:tcPr>
          <w:p w14:paraId="2B572B1A" w14:textId="77777777" w:rsidR="00D50069" w:rsidRPr="00D50069" w:rsidRDefault="00D50069" w:rsidP="00803CA1">
            <w:pPr>
              <w:spacing w:line="360" w:lineRule="auto"/>
              <w:jc w:val="right"/>
              <w:rPr>
                <w:color w:val="000000"/>
                <w:position w:val="0"/>
              </w:rPr>
            </w:pPr>
            <w:r w:rsidRPr="00D50069">
              <w:rPr>
                <w:color w:val="000000"/>
                <w:position w:val="0"/>
              </w:rPr>
              <w:t>4,67</w:t>
            </w:r>
          </w:p>
        </w:tc>
        <w:tc>
          <w:tcPr>
            <w:tcW w:w="1353" w:type="dxa"/>
            <w:tcBorders>
              <w:top w:val="nil"/>
              <w:left w:val="nil"/>
              <w:bottom w:val="nil"/>
              <w:right w:val="nil"/>
            </w:tcBorders>
            <w:shd w:val="clear" w:color="auto" w:fill="auto"/>
            <w:noWrap/>
            <w:vAlign w:val="bottom"/>
            <w:hideMark/>
          </w:tcPr>
          <w:p w14:paraId="4A1D4F4C" w14:textId="77777777" w:rsidR="00D50069" w:rsidRPr="00D50069" w:rsidRDefault="00D50069" w:rsidP="00803CA1">
            <w:pPr>
              <w:spacing w:line="360" w:lineRule="auto"/>
              <w:jc w:val="right"/>
              <w:rPr>
                <w:color w:val="000000"/>
                <w:position w:val="0"/>
              </w:rPr>
            </w:pPr>
            <w:r w:rsidRPr="00D50069">
              <w:rPr>
                <w:color w:val="000000"/>
                <w:position w:val="0"/>
              </w:rPr>
              <w:t>4,51</w:t>
            </w:r>
          </w:p>
        </w:tc>
        <w:tc>
          <w:tcPr>
            <w:tcW w:w="1247" w:type="dxa"/>
            <w:tcBorders>
              <w:top w:val="nil"/>
              <w:left w:val="nil"/>
              <w:bottom w:val="nil"/>
              <w:right w:val="nil"/>
            </w:tcBorders>
            <w:shd w:val="clear" w:color="auto" w:fill="auto"/>
            <w:noWrap/>
            <w:vAlign w:val="bottom"/>
            <w:hideMark/>
          </w:tcPr>
          <w:p w14:paraId="6178020E" w14:textId="77777777" w:rsidR="00D50069" w:rsidRPr="00D50069" w:rsidRDefault="00D50069" w:rsidP="00803CA1">
            <w:pPr>
              <w:spacing w:line="360" w:lineRule="auto"/>
              <w:jc w:val="right"/>
              <w:rPr>
                <w:color w:val="000000"/>
                <w:position w:val="0"/>
              </w:rPr>
            </w:pPr>
            <w:r w:rsidRPr="00D50069">
              <w:rPr>
                <w:color w:val="000000"/>
                <w:position w:val="0"/>
              </w:rPr>
              <w:t>4,63</w:t>
            </w:r>
          </w:p>
        </w:tc>
        <w:tc>
          <w:tcPr>
            <w:tcW w:w="1107" w:type="dxa"/>
            <w:tcBorders>
              <w:top w:val="nil"/>
              <w:left w:val="nil"/>
              <w:bottom w:val="nil"/>
              <w:right w:val="nil"/>
            </w:tcBorders>
            <w:shd w:val="clear" w:color="auto" w:fill="auto"/>
            <w:noWrap/>
            <w:vAlign w:val="bottom"/>
            <w:hideMark/>
          </w:tcPr>
          <w:p w14:paraId="53F3BF0F" w14:textId="77777777" w:rsidR="00D50069" w:rsidRPr="00D50069" w:rsidRDefault="00D50069" w:rsidP="00803CA1">
            <w:pPr>
              <w:spacing w:line="360" w:lineRule="auto"/>
              <w:jc w:val="right"/>
              <w:rPr>
                <w:color w:val="000000"/>
                <w:position w:val="0"/>
              </w:rPr>
            </w:pPr>
            <w:r w:rsidRPr="00D50069">
              <w:rPr>
                <w:color w:val="000000"/>
                <w:position w:val="0"/>
              </w:rPr>
              <w:t>4,15</w:t>
            </w:r>
          </w:p>
        </w:tc>
        <w:tc>
          <w:tcPr>
            <w:tcW w:w="1194" w:type="dxa"/>
            <w:tcBorders>
              <w:top w:val="nil"/>
              <w:left w:val="nil"/>
              <w:bottom w:val="nil"/>
              <w:right w:val="nil"/>
            </w:tcBorders>
            <w:shd w:val="clear" w:color="auto" w:fill="auto"/>
            <w:noWrap/>
            <w:vAlign w:val="bottom"/>
            <w:hideMark/>
          </w:tcPr>
          <w:p w14:paraId="48F57279" w14:textId="77777777" w:rsidR="00D50069" w:rsidRPr="00D50069" w:rsidRDefault="00D50069" w:rsidP="00803CA1">
            <w:pPr>
              <w:spacing w:line="360" w:lineRule="auto"/>
              <w:jc w:val="right"/>
              <w:rPr>
                <w:color w:val="000000"/>
                <w:position w:val="0"/>
              </w:rPr>
            </w:pPr>
            <w:r w:rsidRPr="00D50069">
              <w:rPr>
                <w:color w:val="000000"/>
                <w:position w:val="0"/>
              </w:rPr>
              <w:t>4,10</w:t>
            </w:r>
          </w:p>
        </w:tc>
        <w:tc>
          <w:tcPr>
            <w:tcW w:w="1056" w:type="dxa"/>
            <w:tcBorders>
              <w:top w:val="nil"/>
              <w:left w:val="nil"/>
              <w:bottom w:val="nil"/>
              <w:right w:val="nil"/>
            </w:tcBorders>
            <w:shd w:val="clear" w:color="auto" w:fill="auto"/>
            <w:noWrap/>
            <w:vAlign w:val="bottom"/>
            <w:hideMark/>
          </w:tcPr>
          <w:p w14:paraId="0B356580" w14:textId="77777777" w:rsidR="00D50069" w:rsidRPr="00D50069" w:rsidRDefault="00D50069" w:rsidP="00803CA1">
            <w:pPr>
              <w:spacing w:line="360" w:lineRule="auto"/>
              <w:jc w:val="right"/>
              <w:rPr>
                <w:color w:val="000000"/>
                <w:position w:val="0"/>
              </w:rPr>
            </w:pPr>
            <w:r w:rsidRPr="00D50069">
              <w:rPr>
                <w:color w:val="000000"/>
                <w:position w:val="0"/>
              </w:rPr>
              <w:t>4,65</w:t>
            </w:r>
          </w:p>
        </w:tc>
      </w:tr>
      <w:tr w:rsidR="00D50069" w:rsidRPr="00D50069" w14:paraId="70F6F762" w14:textId="77777777" w:rsidTr="001B1D10">
        <w:trPr>
          <w:trHeight w:val="247"/>
          <w:jc w:val="center"/>
        </w:trPr>
        <w:tc>
          <w:tcPr>
            <w:tcW w:w="2145" w:type="dxa"/>
            <w:tcBorders>
              <w:top w:val="nil"/>
              <w:left w:val="nil"/>
              <w:bottom w:val="nil"/>
              <w:right w:val="nil"/>
            </w:tcBorders>
            <w:shd w:val="clear" w:color="auto" w:fill="auto"/>
            <w:noWrap/>
            <w:vAlign w:val="bottom"/>
            <w:hideMark/>
          </w:tcPr>
          <w:p w14:paraId="45036E7C" w14:textId="77777777" w:rsidR="00D50069" w:rsidRPr="00D50069" w:rsidRDefault="00D50069" w:rsidP="00803CA1">
            <w:pPr>
              <w:spacing w:line="360" w:lineRule="auto"/>
              <w:rPr>
                <w:color w:val="000000"/>
                <w:position w:val="0"/>
              </w:rPr>
            </w:pPr>
            <w:r w:rsidRPr="00D50069">
              <w:rPr>
                <w:color w:val="000000"/>
                <w:position w:val="0"/>
              </w:rPr>
              <w:t>Standard Error</w:t>
            </w:r>
          </w:p>
        </w:tc>
        <w:tc>
          <w:tcPr>
            <w:tcW w:w="1056" w:type="dxa"/>
            <w:tcBorders>
              <w:top w:val="nil"/>
              <w:left w:val="nil"/>
              <w:bottom w:val="nil"/>
              <w:right w:val="nil"/>
            </w:tcBorders>
            <w:shd w:val="clear" w:color="auto" w:fill="auto"/>
            <w:noWrap/>
            <w:vAlign w:val="bottom"/>
            <w:hideMark/>
          </w:tcPr>
          <w:p w14:paraId="2FB257C6" w14:textId="77777777" w:rsidR="00D50069" w:rsidRPr="00D50069" w:rsidRDefault="00D50069" w:rsidP="00803CA1">
            <w:pPr>
              <w:spacing w:line="360" w:lineRule="auto"/>
              <w:jc w:val="right"/>
              <w:rPr>
                <w:color w:val="000000"/>
                <w:position w:val="0"/>
              </w:rPr>
            </w:pPr>
            <w:r w:rsidRPr="00D50069">
              <w:rPr>
                <w:color w:val="000000"/>
                <w:position w:val="0"/>
              </w:rPr>
              <w:t>0,11</w:t>
            </w:r>
          </w:p>
        </w:tc>
        <w:tc>
          <w:tcPr>
            <w:tcW w:w="1353" w:type="dxa"/>
            <w:tcBorders>
              <w:top w:val="nil"/>
              <w:left w:val="nil"/>
              <w:bottom w:val="nil"/>
              <w:right w:val="nil"/>
            </w:tcBorders>
            <w:shd w:val="clear" w:color="auto" w:fill="auto"/>
            <w:noWrap/>
            <w:vAlign w:val="bottom"/>
            <w:hideMark/>
          </w:tcPr>
          <w:p w14:paraId="67DE20C4" w14:textId="77777777" w:rsidR="00D50069" w:rsidRPr="00D50069" w:rsidRDefault="00D50069" w:rsidP="00803CA1">
            <w:pPr>
              <w:spacing w:line="360" w:lineRule="auto"/>
              <w:jc w:val="right"/>
              <w:rPr>
                <w:color w:val="000000"/>
                <w:position w:val="0"/>
              </w:rPr>
            </w:pPr>
            <w:r w:rsidRPr="00D50069">
              <w:rPr>
                <w:color w:val="000000"/>
                <w:position w:val="0"/>
              </w:rPr>
              <w:t>0,13</w:t>
            </w:r>
          </w:p>
        </w:tc>
        <w:tc>
          <w:tcPr>
            <w:tcW w:w="1247" w:type="dxa"/>
            <w:tcBorders>
              <w:top w:val="nil"/>
              <w:left w:val="nil"/>
              <w:bottom w:val="nil"/>
              <w:right w:val="nil"/>
            </w:tcBorders>
            <w:shd w:val="clear" w:color="auto" w:fill="auto"/>
            <w:noWrap/>
            <w:vAlign w:val="bottom"/>
            <w:hideMark/>
          </w:tcPr>
          <w:p w14:paraId="4F9BF73D" w14:textId="77777777" w:rsidR="00D50069" w:rsidRPr="00D50069" w:rsidRDefault="00D50069" w:rsidP="00803CA1">
            <w:pPr>
              <w:spacing w:line="360" w:lineRule="auto"/>
              <w:jc w:val="right"/>
              <w:rPr>
                <w:color w:val="000000"/>
                <w:position w:val="0"/>
              </w:rPr>
            </w:pPr>
            <w:r w:rsidRPr="00D50069">
              <w:rPr>
                <w:color w:val="000000"/>
                <w:position w:val="0"/>
              </w:rPr>
              <w:t>0,10</w:t>
            </w:r>
          </w:p>
        </w:tc>
        <w:tc>
          <w:tcPr>
            <w:tcW w:w="1107" w:type="dxa"/>
            <w:tcBorders>
              <w:top w:val="nil"/>
              <w:left w:val="nil"/>
              <w:bottom w:val="nil"/>
              <w:right w:val="nil"/>
            </w:tcBorders>
            <w:shd w:val="clear" w:color="auto" w:fill="auto"/>
            <w:noWrap/>
            <w:vAlign w:val="bottom"/>
            <w:hideMark/>
          </w:tcPr>
          <w:p w14:paraId="2D68B88D" w14:textId="77777777" w:rsidR="00D50069" w:rsidRPr="00D50069" w:rsidRDefault="00D50069" w:rsidP="00803CA1">
            <w:pPr>
              <w:spacing w:line="360" w:lineRule="auto"/>
              <w:jc w:val="right"/>
              <w:rPr>
                <w:color w:val="000000"/>
                <w:position w:val="0"/>
              </w:rPr>
            </w:pPr>
            <w:r w:rsidRPr="00D50069">
              <w:rPr>
                <w:color w:val="000000"/>
                <w:position w:val="0"/>
              </w:rPr>
              <w:t>0,17</w:t>
            </w:r>
          </w:p>
        </w:tc>
        <w:tc>
          <w:tcPr>
            <w:tcW w:w="1194" w:type="dxa"/>
            <w:tcBorders>
              <w:top w:val="nil"/>
              <w:left w:val="nil"/>
              <w:bottom w:val="nil"/>
              <w:right w:val="nil"/>
            </w:tcBorders>
            <w:shd w:val="clear" w:color="auto" w:fill="auto"/>
            <w:noWrap/>
            <w:vAlign w:val="bottom"/>
            <w:hideMark/>
          </w:tcPr>
          <w:p w14:paraId="257CC773" w14:textId="77777777" w:rsidR="00D50069" w:rsidRPr="00D50069" w:rsidRDefault="00D50069" w:rsidP="00803CA1">
            <w:pPr>
              <w:spacing w:line="360" w:lineRule="auto"/>
              <w:jc w:val="right"/>
              <w:rPr>
                <w:color w:val="000000"/>
                <w:position w:val="0"/>
              </w:rPr>
            </w:pPr>
            <w:r w:rsidRPr="00D50069">
              <w:rPr>
                <w:color w:val="000000"/>
                <w:position w:val="0"/>
              </w:rPr>
              <w:t>0,17</w:t>
            </w:r>
          </w:p>
        </w:tc>
        <w:tc>
          <w:tcPr>
            <w:tcW w:w="1056" w:type="dxa"/>
            <w:tcBorders>
              <w:top w:val="nil"/>
              <w:left w:val="nil"/>
              <w:bottom w:val="nil"/>
              <w:right w:val="nil"/>
            </w:tcBorders>
            <w:shd w:val="clear" w:color="auto" w:fill="auto"/>
            <w:noWrap/>
            <w:vAlign w:val="bottom"/>
            <w:hideMark/>
          </w:tcPr>
          <w:p w14:paraId="3EFC5288" w14:textId="77777777" w:rsidR="00D50069" w:rsidRPr="00D50069" w:rsidRDefault="00D50069" w:rsidP="00803CA1">
            <w:pPr>
              <w:spacing w:line="360" w:lineRule="auto"/>
              <w:jc w:val="right"/>
              <w:rPr>
                <w:color w:val="000000"/>
                <w:position w:val="0"/>
              </w:rPr>
            </w:pPr>
            <w:r w:rsidRPr="00D50069">
              <w:rPr>
                <w:color w:val="000000"/>
                <w:position w:val="0"/>
              </w:rPr>
              <w:t>0,11</w:t>
            </w:r>
          </w:p>
        </w:tc>
      </w:tr>
      <w:tr w:rsidR="00D50069" w:rsidRPr="00D50069" w14:paraId="3CF838CE" w14:textId="77777777" w:rsidTr="001B1D10">
        <w:trPr>
          <w:trHeight w:val="247"/>
          <w:jc w:val="center"/>
        </w:trPr>
        <w:tc>
          <w:tcPr>
            <w:tcW w:w="2145" w:type="dxa"/>
            <w:tcBorders>
              <w:top w:val="nil"/>
              <w:left w:val="nil"/>
              <w:bottom w:val="nil"/>
              <w:right w:val="nil"/>
            </w:tcBorders>
            <w:shd w:val="clear" w:color="auto" w:fill="auto"/>
            <w:noWrap/>
            <w:vAlign w:val="bottom"/>
            <w:hideMark/>
          </w:tcPr>
          <w:p w14:paraId="4D7D4B7C" w14:textId="77777777" w:rsidR="00D50069" w:rsidRPr="00D50069" w:rsidRDefault="00D50069" w:rsidP="00803CA1">
            <w:pPr>
              <w:spacing w:line="360" w:lineRule="auto"/>
              <w:rPr>
                <w:color w:val="000000"/>
                <w:position w:val="0"/>
              </w:rPr>
            </w:pPr>
            <w:r w:rsidRPr="00D50069">
              <w:rPr>
                <w:color w:val="000000"/>
                <w:position w:val="0"/>
              </w:rPr>
              <w:t>Median</w:t>
            </w:r>
          </w:p>
        </w:tc>
        <w:tc>
          <w:tcPr>
            <w:tcW w:w="1056" w:type="dxa"/>
            <w:tcBorders>
              <w:top w:val="nil"/>
              <w:left w:val="nil"/>
              <w:bottom w:val="nil"/>
              <w:right w:val="nil"/>
            </w:tcBorders>
            <w:shd w:val="clear" w:color="auto" w:fill="auto"/>
            <w:noWrap/>
            <w:vAlign w:val="bottom"/>
            <w:hideMark/>
          </w:tcPr>
          <w:p w14:paraId="5AC5A8A4" w14:textId="77777777" w:rsidR="00D50069" w:rsidRPr="00D50069" w:rsidRDefault="00D50069" w:rsidP="00803CA1">
            <w:pPr>
              <w:spacing w:line="360" w:lineRule="auto"/>
              <w:jc w:val="right"/>
              <w:rPr>
                <w:color w:val="000000"/>
                <w:position w:val="0"/>
              </w:rPr>
            </w:pPr>
            <w:r w:rsidRPr="00D50069">
              <w:rPr>
                <w:color w:val="000000"/>
                <w:position w:val="0"/>
              </w:rPr>
              <w:t>5</w:t>
            </w:r>
          </w:p>
        </w:tc>
        <w:tc>
          <w:tcPr>
            <w:tcW w:w="1353" w:type="dxa"/>
            <w:tcBorders>
              <w:top w:val="nil"/>
              <w:left w:val="nil"/>
              <w:bottom w:val="nil"/>
              <w:right w:val="nil"/>
            </w:tcBorders>
            <w:shd w:val="clear" w:color="auto" w:fill="auto"/>
            <w:noWrap/>
            <w:vAlign w:val="bottom"/>
            <w:hideMark/>
          </w:tcPr>
          <w:p w14:paraId="6BE37830" w14:textId="77777777" w:rsidR="00D50069" w:rsidRPr="00D50069" w:rsidRDefault="00D50069" w:rsidP="00803CA1">
            <w:pPr>
              <w:spacing w:line="360" w:lineRule="auto"/>
              <w:jc w:val="right"/>
              <w:rPr>
                <w:color w:val="000000"/>
                <w:position w:val="0"/>
              </w:rPr>
            </w:pPr>
            <w:r w:rsidRPr="00D50069">
              <w:rPr>
                <w:color w:val="000000"/>
                <w:position w:val="0"/>
              </w:rPr>
              <w:t>5</w:t>
            </w:r>
          </w:p>
        </w:tc>
        <w:tc>
          <w:tcPr>
            <w:tcW w:w="1247" w:type="dxa"/>
            <w:tcBorders>
              <w:top w:val="nil"/>
              <w:left w:val="nil"/>
              <w:bottom w:val="nil"/>
              <w:right w:val="nil"/>
            </w:tcBorders>
            <w:shd w:val="clear" w:color="auto" w:fill="auto"/>
            <w:noWrap/>
            <w:vAlign w:val="bottom"/>
            <w:hideMark/>
          </w:tcPr>
          <w:p w14:paraId="1086B6C3" w14:textId="77777777" w:rsidR="00D50069" w:rsidRPr="00D50069" w:rsidRDefault="00D50069" w:rsidP="00803CA1">
            <w:pPr>
              <w:spacing w:line="360" w:lineRule="auto"/>
              <w:jc w:val="right"/>
              <w:rPr>
                <w:color w:val="000000"/>
                <w:position w:val="0"/>
              </w:rPr>
            </w:pPr>
            <w:r w:rsidRPr="00D50069">
              <w:rPr>
                <w:color w:val="000000"/>
                <w:position w:val="0"/>
              </w:rPr>
              <w:t>5</w:t>
            </w:r>
          </w:p>
        </w:tc>
        <w:tc>
          <w:tcPr>
            <w:tcW w:w="1107" w:type="dxa"/>
            <w:tcBorders>
              <w:top w:val="nil"/>
              <w:left w:val="nil"/>
              <w:bottom w:val="nil"/>
              <w:right w:val="nil"/>
            </w:tcBorders>
            <w:shd w:val="clear" w:color="auto" w:fill="auto"/>
            <w:noWrap/>
            <w:vAlign w:val="bottom"/>
            <w:hideMark/>
          </w:tcPr>
          <w:p w14:paraId="1B1E0AEB" w14:textId="77777777" w:rsidR="00D50069" w:rsidRPr="00D50069" w:rsidRDefault="00D50069" w:rsidP="00803CA1">
            <w:pPr>
              <w:spacing w:line="360" w:lineRule="auto"/>
              <w:jc w:val="right"/>
              <w:rPr>
                <w:color w:val="000000"/>
                <w:position w:val="0"/>
              </w:rPr>
            </w:pPr>
            <w:r w:rsidRPr="00D50069">
              <w:rPr>
                <w:color w:val="000000"/>
                <w:position w:val="0"/>
              </w:rPr>
              <w:t>5</w:t>
            </w:r>
          </w:p>
        </w:tc>
        <w:tc>
          <w:tcPr>
            <w:tcW w:w="1194" w:type="dxa"/>
            <w:tcBorders>
              <w:top w:val="nil"/>
              <w:left w:val="nil"/>
              <w:bottom w:val="nil"/>
              <w:right w:val="nil"/>
            </w:tcBorders>
            <w:shd w:val="clear" w:color="auto" w:fill="auto"/>
            <w:noWrap/>
            <w:vAlign w:val="bottom"/>
            <w:hideMark/>
          </w:tcPr>
          <w:p w14:paraId="6A959610" w14:textId="77777777" w:rsidR="00D50069" w:rsidRPr="00D50069" w:rsidRDefault="00D50069" w:rsidP="00803CA1">
            <w:pPr>
              <w:spacing w:line="360" w:lineRule="auto"/>
              <w:jc w:val="right"/>
              <w:rPr>
                <w:color w:val="000000"/>
                <w:position w:val="0"/>
              </w:rPr>
            </w:pPr>
            <w:r w:rsidRPr="00D50069">
              <w:rPr>
                <w:color w:val="000000"/>
                <w:position w:val="0"/>
              </w:rPr>
              <w:t>5</w:t>
            </w:r>
          </w:p>
        </w:tc>
        <w:tc>
          <w:tcPr>
            <w:tcW w:w="1056" w:type="dxa"/>
            <w:tcBorders>
              <w:top w:val="nil"/>
              <w:left w:val="nil"/>
              <w:bottom w:val="nil"/>
              <w:right w:val="nil"/>
            </w:tcBorders>
            <w:shd w:val="clear" w:color="auto" w:fill="auto"/>
            <w:noWrap/>
            <w:vAlign w:val="bottom"/>
            <w:hideMark/>
          </w:tcPr>
          <w:p w14:paraId="07AAC29A" w14:textId="77777777" w:rsidR="00D50069" w:rsidRPr="00D50069" w:rsidRDefault="00D50069" w:rsidP="00803CA1">
            <w:pPr>
              <w:spacing w:line="360" w:lineRule="auto"/>
              <w:jc w:val="right"/>
              <w:rPr>
                <w:color w:val="000000"/>
                <w:position w:val="0"/>
              </w:rPr>
            </w:pPr>
            <w:r w:rsidRPr="00D50069">
              <w:rPr>
                <w:color w:val="000000"/>
                <w:position w:val="0"/>
              </w:rPr>
              <w:t>5</w:t>
            </w:r>
          </w:p>
        </w:tc>
      </w:tr>
      <w:tr w:rsidR="00D50069" w:rsidRPr="00D50069" w14:paraId="1E358E57" w14:textId="77777777" w:rsidTr="001B1D10">
        <w:trPr>
          <w:trHeight w:val="247"/>
          <w:jc w:val="center"/>
        </w:trPr>
        <w:tc>
          <w:tcPr>
            <w:tcW w:w="2145" w:type="dxa"/>
            <w:tcBorders>
              <w:top w:val="nil"/>
              <w:left w:val="nil"/>
              <w:bottom w:val="nil"/>
              <w:right w:val="nil"/>
            </w:tcBorders>
            <w:shd w:val="clear" w:color="auto" w:fill="auto"/>
            <w:noWrap/>
            <w:vAlign w:val="bottom"/>
            <w:hideMark/>
          </w:tcPr>
          <w:p w14:paraId="19A80CC8" w14:textId="77777777" w:rsidR="00D50069" w:rsidRPr="00D50069" w:rsidRDefault="00D50069" w:rsidP="00803CA1">
            <w:pPr>
              <w:spacing w:line="360" w:lineRule="auto"/>
              <w:rPr>
                <w:color w:val="000000"/>
                <w:position w:val="0"/>
              </w:rPr>
            </w:pPr>
            <w:r w:rsidRPr="00D50069">
              <w:rPr>
                <w:color w:val="000000"/>
                <w:position w:val="0"/>
              </w:rPr>
              <w:t>Standard Deviation</w:t>
            </w:r>
          </w:p>
        </w:tc>
        <w:tc>
          <w:tcPr>
            <w:tcW w:w="1056" w:type="dxa"/>
            <w:tcBorders>
              <w:top w:val="nil"/>
              <w:left w:val="nil"/>
              <w:bottom w:val="nil"/>
              <w:right w:val="nil"/>
            </w:tcBorders>
            <w:shd w:val="clear" w:color="auto" w:fill="auto"/>
            <w:noWrap/>
            <w:vAlign w:val="bottom"/>
            <w:hideMark/>
          </w:tcPr>
          <w:p w14:paraId="5EFF153E" w14:textId="77777777" w:rsidR="00D50069" w:rsidRPr="00D50069" w:rsidRDefault="00D50069" w:rsidP="00803CA1">
            <w:pPr>
              <w:spacing w:line="360" w:lineRule="auto"/>
              <w:jc w:val="right"/>
              <w:rPr>
                <w:color w:val="000000"/>
                <w:position w:val="0"/>
              </w:rPr>
            </w:pPr>
            <w:r w:rsidRPr="00D50069">
              <w:rPr>
                <w:color w:val="000000"/>
                <w:position w:val="0"/>
              </w:rPr>
              <w:t>0,78</w:t>
            </w:r>
          </w:p>
        </w:tc>
        <w:tc>
          <w:tcPr>
            <w:tcW w:w="1353" w:type="dxa"/>
            <w:tcBorders>
              <w:top w:val="nil"/>
              <w:left w:val="nil"/>
              <w:bottom w:val="nil"/>
              <w:right w:val="nil"/>
            </w:tcBorders>
            <w:shd w:val="clear" w:color="auto" w:fill="auto"/>
            <w:noWrap/>
            <w:vAlign w:val="bottom"/>
            <w:hideMark/>
          </w:tcPr>
          <w:p w14:paraId="7ADEDB63" w14:textId="77777777" w:rsidR="00D50069" w:rsidRPr="00D50069" w:rsidRDefault="00D50069" w:rsidP="00803CA1">
            <w:pPr>
              <w:spacing w:line="360" w:lineRule="auto"/>
              <w:jc w:val="right"/>
              <w:rPr>
                <w:color w:val="000000"/>
                <w:position w:val="0"/>
              </w:rPr>
            </w:pPr>
            <w:r w:rsidRPr="00D50069">
              <w:rPr>
                <w:color w:val="000000"/>
                <w:position w:val="0"/>
              </w:rPr>
              <w:t>0,88</w:t>
            </w:r>
          </w:p>
        </w:tc>
        <w:tc>
          <w:tcPr>
            <w:tcW w:w="1247" w:type="dxa"/>
            <w:tcBorders>
              <w:top w:val="nil"/>
              <w:left w:val="nil"/>
              <w:bottom w:val="nil"/>
              <w:right w:val="nil"/>
            </w:tcBorders>
            <w:shd w:val="clear" w:color="auto" w:fill="auto"/>
            <w:noWrap/>
            <w:vAlign w:val="bottom"/>
            <w:hideMark/>
          </w:tcPr>
          <w:p w14:paraId="52936C6F" w14:textId="77777777" w:rsidR="00D50069" w:rsidRPr="00D50069" w:rsidRDefault="00D50069" w:rsidP="00803CA1">
            <w:pPr>
              <w:spacing w:line="360" w:lineRule="auto"/>
              <w:jc w:val="right"/>
              <w:rPr>
                <w:color w:val="000000"/>
                <w:position w:val="0"/>
              </w:rPr>
            </w:pPr>
            <w:r w:rsidRPr="00D50069">
              <w:rPr>
                <w:color w:val="000000"/>
                <w:position w:val="0"/>
              </w:rPr>
              <w:t>0,67</w:t>
            </w:r>
          </w:p>
        </w:tc>
        <w:tc>
          <w:tcPr>
            <w:tcW w:w="1107" w:type="dxa"/>
            <w:tcBorders>
              <w:top w:val="nil"/>
              <w:left w:val="nil"/>
              <w:bottom w:val="nil"/>
              <w:right w:val="nil"/>
            </w:tcBorders>
            <w:shd w:val="clear" w:color="auto" w:fill="auto"/>
            <w:noWrap/>
            <w:vAlign w:val="bottom"/>
            <w:hideMark/>
          </w:tcPr>
          <w:p w14:paraId="7CB3C7BF" w14:textId="77777777" w:rsidR="00D50069" w:rsidRPr="00D50069" w:rsidRDefault="00D50069" w:rsidP="00803CA1">
            <w:pPr>
              <w:spacing w:line="360" w:lineRule="auto"/>
              <w:jc w:val="right"/>
              <w:rPr>
                <w:color w:val="000000"/>
                <w:position w:val="0"/>
              </w:rPr>
            </w:pPr>
            <w:r w:rsidRPr="00D50069">
              <w:rPr>
                <w:color w:val="000000"/>
                <w:position w:val="0"/>
              </w:rPr>
              <w:t>1,15</w:t>
            </w:r>
          </w:p>
        </w:tc>
        <w:tc>
          <w:tcPr>
            <w:tcW w:w="1194" w:type="dxa"/>
            <w:tcBorders>
              <w:top w:val="nil"/>
              <w:left w:val="nil"/>
              <w:bottom w:val="nil"/>
              <w:right w:val="nil"/>
            </w:tcBorders>
            <w:shd w:val="clear" w:color="auto" w:fill="auto"/>
            <w:noWrap/>
            <w:vAlign w:val="bottom"/>
            <w:hideMark/>
          </w:tcPr>
          <w:p w14:paraId="1802DA08" w14:textId="77777777" w:rsidR="00D50069" w:rsidRPr="00D50069" w:rsidRDefault="00D50069" w:rsidP="00803CA1">
            <w:pPr>
              <w:spacing w:line="360" w:lineRule="auto"/>
              <w:jc w:val="right"/>
              <w:rPr>
                <w:color w:val="000000"/>
                <w:position w:val="0"/>
              </w:rPr>
            </w:pPr>
            <w:r w:rsidRPr="00D50069">
              <w:rPr>
                <w:color w:val="000000"/>
                <w:position w:val="0"/>
              </w:rPr>
              <w:t>1,19</w:t>
            </w:r>
          </w:p>
        </w:tc>
        <w:tc>
          <w:tcPr>
            <w:tcW w:w="1056" w:type="dxa"/>
            <w:tcBorders>
              <w:top w:val="nil"/>
              <w:left w:val="nil"/>
              <w:bottom w:val="nil"/>
              <w:right w:val="nil"/>
            </w:tcBorders>
            <w:shd w:val="clear" w:color="auto" w:fill="auto"/>
            <w:noWrap/>
            <w:vAlign w:val="bottom"/>
            <w:hideMark/>
          </w:tcPr>
          <w:p w14:paraId="40733142" w14:textId="77777777" w:rsidR="00D50069" w:rsidRPr="00D50069" w:rsidRDefault="00D50069" w:rsidP="00803CA1">
            <w:pPr>
              <w:spacing w:line="360" w:lineRule="auto"/>
              <w:jc w:val="right"/>
              <w:rPr>
                <w:color w:val="000000"/>
                <w:position w:val="0"/>
              </w:rPr>
            </w:pPr>
            <w:r w:rsidRPr="00D50069">
              <w:rPr>
                <w:color w:val="000000"/>
                <w:position w:val="0"/>
              </w:rPr>
              <w:t>0,76</w:t>
            </w:r>
          </w:p>
        </w:tc>
      </w:tr>
      <w:tr w:rsidR="00D50069" w:rsidRPr="00D50069" w14:paraId="2C2F71BC" w14:textId="77777777" w:rsidTr="001B1D10">
        <w:trPr>
          <w:trHeight w:val="258"/>
          <w:jc w:val="center"/>
        </w:trPr>
        <w:tc>
          <w:tcPr>
            <w:tcW w:w="2145" w:type="dxa"/>
            <w:tcBorders>
              <w:top w:val="nil"/>
              <w:left w:val="nil"/>
              <w:bottom w:val="single" w:sz="8" w:space="0" w:color="auto"/>
              <w:right w:val="nil"/>
            </w:tcBorders>
            <w:shd w:val="clear" w:color="auto" w:fill="auto"/>
            <w:noWrap/>
            <w:vAlign w:val="bottom"/>
            <w:hideMark/>
          </w:tcPr>
          <w:p w14:paraId="07A25F86" w14:textId="77777777" w:rsidR="00D50069" w:rsidRPr="00D50069" w:rsidRDefault="00D50069" w:rsidP="00803CA1">
            <w:pPr>
              <w:spacing w:line="360" w:lineRule="auto"/>
              <w:rPr>
                <w:color w:val="000000"/>
                <w:position w:val="0"/>
              </w:rPr>
            </w:pPr>
            <w:r w:rsidRPr="00D50069">
              <w:rPr>
                <w:color w:val="000000"/>
                <w:position w:val="0"/>
              </w:rPr>
              <w:t>Total</w:t>
            </w:r>
          </w:p>
        </w:tc>
        <w:tc>
          <w:tcPr>
            <w:tcW w:w="1056" w:type="dxa"/>
            <w:tcBorders>
              <w:top w:val="nil"/>
              <w:left w:val="nil"/>
              <w:bottom w:val="single" w:sz="8" w:space="0" w:color="auto"/>
              <w:right w:val="nil"/>
            </w:tcBorders>
            <w:shd w:val="clear" w:color="auto" w:fill="auto"/>
            <w:noWrap/>
            <w:vAlign w:val="bottom"/>
            <w:hideMark/>
          </w:tcPr>
          <w:p w14:paraId="7B3748D4" w14:textId="77777777" w:rsidR="00D50069" w:rsidRPr="00D50069" w:rsidRDefault="00D50069" w:rsidP="00803CA1">
            <w:pPr>
              <w:spacing w:line="360" w:lineRule="auto"/>
              <w:jc w:val="right"/>
              <w:rPr>
                <w:color w:val="000000"/>
                <w:position w:val="0"/>
              </w:rPr>
            </w:pPr>
            <w:r w:rsidRPr="00D50069">
              <w:rPr>
                <w:color w:val="000000"/>
                <w:position w:val="0"/>
              </w:rPr>
              <w:t>48</w:t>
            </w:r>
          </w:p>
        </w:tc>
        <w:tc>
          <w:tcPr>
            <w:tcW w:w="1353" w:type="dxa"/>
            <w:tcBorders>
              <w:top w:val="nil"/>
              <w:left w:val="nil"/>
              <w:bottom w:val="single" w:sz="8" w:space="0" w:color="auto"/>
              <w:right w:val="nil"/>
            </w:tcBorders>
            <w:shd w:val="clear" w:color="auto" w:fill="auto"/>
            <w:noWrap/>
            <w:vAlign w:val="bottom"/>
            <w:hideMark/>
          </w:tcPr>
          <w:p w14:paraId="12F1F337" w14:textId="77777777" w:rsidR="00D50069" w:rsidRPr="00D50069" w:rsidRDefault="00D50069" w:rsidP="00803CA1">
            <w:pPr>
              <w:spacing w:line="360" w:lineRule="auto"/>
              <w:jc w:val="right"/>
              <w:rPr>
                <w:color w:val="000000"/>
                <w:position w:val="0"/>
              </w:rPr>
            </w:pPr>
            <w:r w:rsidRPr="00D50069">
              <w:rPr>
                <w:color w:val="000000"/>
                <w:position w:val="0"/>
              </w:rPr>
              <w:t>47</w:t>
            </w:r>
          </w:p>
        </w:tc>
        <w:tc>
          <w:tcPr>
            <w:tcW w:w="1247" w:type="dxa"/>
            <w:tcBorders>
              <w:top w:val="nil"/>
              <w:left w:val="nil"/>
              <w:bottom w:val="single" w:sz="8" w:space="0" w:color="auto"/>
              <w:right w:val="nil"/>
            </w:tcBorders>
            <w:shd w:val="clear" w:color="auto" w:fill="auto"/>
            <w:noWrap/>
            <w:vAlign w:val="bottom"/>
            <w:hideMark/>
          </w:tcPr>
          <w:p w14:paraId="670C44BE" w14:textId="77777777" w:rsidR="00D50069" w:rsidRPr="00D50069" w:rsidRDefault="00D50069" w:rsidP="00803CA1">
            <w:pPr>
              <w:spacing w:line="360" w:lineRule="auto"/>
              <w:jc w:val="right"/>
              <w:rPr>
                <w:color w:val="000000"/>
                <w:position w:val="0"/>
              </w:rPr>
            </w:pPr>
            <w:r w:rsidRPr="00D50069">
              <w:rPr>
                <w:color w:val="000000"/>
                <w:position w:val="0"/>
              </w:rPr>
              <w:t>48</w:t>
            </w:r>
          </w:p>
        </w:tc>
        <w:tc>
          <w:tcPr>
            <w:tcW w:w="1107" w:type="dxa"/>
            <w:tcBorders>
              <w:top w:val="nil"/>
              <w:left w:val="nil"/>
              <w:bottom w:val="single" w:sz="8" w:space="0" w:color="auto"/>
              <w:right w:val="nil"/>
            </w:tcBorders>
            <w:shd w:val="clear" w:color="auto" w:fill="auto"/>
            <w:noWrap/>
            <w:vAlign w:val="bottom"/>
            <w:hideMark/>
          </w:tcPr>
          <w:p w14:paraId="5CB61CF7" w14:textId="77777777" w:rsidR="00D50069" w:rsidRPr="00D50069" w:rsidRDefault="00D50069" w:rsidP="00803CA1">
            <w:pPr>
              <w:spacing w:line="360" w:lineRule="auto"/>
              <w:jc w:val="right"/>
              <w:rPr>
                <w:color w:val="000000"/>
                <w:position w:val="0"/>
              </w:rPr>
            </w:pPr>
            <w:r w:rsidRPr="00D50069">
              <w:rPr>
                <w:color w:val="000000"/>
                <w:position w:val="0"/>
              </w:rPr>
              <w:t>48</w:t>
            </w:r>
          </w:p>
        </w:tc>
        <w:tc>
          <w:tcPr>
            <w:tcW w:w="1194" w:type="dxa"/>
            <w:tcBorders>
              <w:top w:val="nil"/>
              <w:left w:val="nil"/>
              <w:bottom w:val="single" w:sz="8" w:space="0" w:color="auto"/>
              <w:right w:val="nil"/>
            </w:tcBorders>
            <w:shd w:val="clear" w:color="auto" w:fill="auto"/>
            <w:noWrap/>
            <w:vAlign w:val="bottom"/>
            <w:hideMark/>
          </w:tcPr>
          <w:p w14:paraId="518217CE" w14:textId="77777777" w:rsidR="00D50069" w:rsidRPr="00D50069" w:rsidRDefault="00D50069" w:rsidP="00803CA1">
            <w:pPr>
              <w:spacing w:line="360" w:lineRule="auto"/>
              <w:jc w:val="right"/>
              <w:rPr>
                <w:color w:val="000000"/>
                <w:position w:val="0"/>
              </w:rPr>
            </w:pPr>
            <w:r w:rsidRPr="00D50069">
              <w:rPr>
                <w:color w:val="000000"/>
                <w:position w:val="0"/>
              </w:rPr>
              <w:t>48</w:t>
            </w:r>
          </w:p>
        </w:tc>
        <w:tc>
          <w:tcPr>
            <w:tcW w:w="1056" w:type="dxa"/>
            <w:tcBorders>
              <w:top w:val="nil"/>
              <w:left w:val="nil"/>
              <w:bottom w:val="single" w:sz="8" w:space="0" w:color="auto"/>
              <w:right w:val="nil"/>
            </w:tcBorders>
            <w:shd w:val="clear" w:color="auto" w:fill="auto"/>
            <w:noWrap/>
            <w:vAlign w:val="bottom"/>
            <w:hideMark/>
          </w:tcPr>
          <w:p w14:paraId="06D81F25" w14:textId="77777777" w:rsidR="00D50069" w:rsidRPr="00D50069" w:rsidRDefault="00D50069" w:rsidP="00803CA1">
            <w:pPr>
              <w:spacing w:line="360" w:lineRule="auto"/>
              <w:jc w:val="right"/>
              <w:rPr>
                <w:color w:val="000000"/>
                <w:position w:val="0"/>
              </w:rPr>
            </w:pPr>
            <w:r w:rsidRPr="00D50069">
              <w:rPr>
                <w:color w:val="000000"/>
                <w:position w:val="0"/>
              </w:rPr>
              <w:t>48</w:t>
            </w:r>
          </w:p>
        </w:tc>
      </w:tr>
    </w:tbl>
    <w:p w14:paraId="332B01FA" w14:textId="77777777" w:rsidR="00D50069" w:rsidRPr="00D50069" w:rsidRDefault="00D50069" w:rsidP="00D50069">
      <w:pPr>
        <w:spacing w:after="160" w:line="480" w:lineRule="auto"/>
        <w:rPr>
          <w:rFonts w:eastAsia="Calibri"/>
          <w:b/>
          <w:bCs/>
          <w:kern w:val="2"/>
          <w:position w:val="0"/>
          <w14:ligatures w14:val="standardContextual"/>
        </w:rPr>
      </w:pPr>
    </w:p>
    <w:p w14:paraId="13F7B501" w14:textId="77777777" w:rsidR="00D50069" w:rsidRPr="00D50069" w:rsidRDefault="00D50069" w:rsidP="00D50069">
      <w:pPr>
        <w:keepNext/>
        <w:spacing w:after="160" w:line="480" w:lineRule="auto"/>
        <w:rPr>
          <w:rFonts w:ascii="Calibri" w:eastAsia="Calibri" w:hAnsi="Calibri" w:cs="Arial"/>
          <w:kern w:val="2"/>
          <w:position w:val="0"/>
          <w:sz w:val="22"/>
          <w:szCs w:val="22"/>
          <w14:ligatures w14:val="standardContextual"/>
        </w:rPr>
      </w:pPr>
      <w:r w:rsidRPr="00D50069">
        <w:rPr>
          <w:rFonts w:ascii="Calibri" w:eastAsia="Calibri" w:hAnsi="Calibri" w:cs="Arial"/>
          <w:noProof/>
          <w:kern w:val="2"/>
          <w:position w:val="0"/>
          <w:sz w:val="22"/>
          <w:szCs w:val="22"/>
          <w:lang w:val="fr-FR" w:eastAsia="fr-FR"/>
          <w14:ligatures w14:val="standardContextual"/>
        </w:rPr>
        <w:drawing>
          <wp:inline distT="0" distB="0" distL="0" distR="0" wp14:anchorId="3E5AF614" wp14:editId="429F3622">
            <wp:extent cx="4572000" cy="2743200"/>
            <wp:effectExtent l="0" t="0" r="0" b="0"/>
            <wp:docPr id="1834797006" name="Chart 1">
              <a:extLst xmlns:a="http://schemas.openxmlformats.org/drawingml/2006/main">
                <a:ext uri="{FF2B5EF4-FFF2-40B4-BE49-F238E27FC236}">
                  <a16:creationId xmlns:a16="http://schemas.microsoft.com/office/drawing/2014/main"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7B4AFF9C-CB63-F588-91F5-603C179BCD7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14:paraId="20E7B165" w14:textId="709D6614" w:rsidR="00D50069" w:rsidRPr="00FD4047" w:rsidRDefault="00D50069" w:rsidP="00D50069">
      <w:pPr>
        <w:spacing w:after="200" w:line="480" w:lineRule="auto"/>
        <w:rPr>
          <w:rFonts w:eastAsia="Calibri"/>
          <w:b/>
          <w:bCs/>
          <w:kern w:val="2"/>
          <w:position w:val="0"/>
          <w14:ligatures w14:val="standardContextual"/>
        </w:rPr>
      </w:pPr>
      <w:bookmarkStart w:id="235" w:name="_Toc199695828"/>
      <w:r w:rsidRPr="00D50069">
        <w:rPr>
          <w:rFonts w:eastAsia="Calibri"/>
          <w:b/>
          <w:bCs/>
          <w:kern w:val="2"/>
          <w:position w:val="0"/>
          <w14:ligatures w14:val="standardContextual"/>
        </w:rPr>
        <w:t xml:space="preserve">Graph </w:t>
      </w:r>
      <w:r w:rsidRPr="00D50069">
        <w:rPr>
          <w:rFonts w:eastAsia="Calibri"/>
          <w:b/>
          <w:bCs/>
          <w:kern w:val="2"/>
          <w:position w:val="0"/>
          <w14:ligatures w14:val="standardContextual"/>
        </w:rPr>
        <w:fldChar w:fldCharType="begin"/>
      </w:r>
      <w:r w:rsidRPr="00D50069">
        <w:rPr>
          <w:rFonts w:eastAsia="Calibri"/>
          <w:b/>
          <w:bCs/>
          <w:kern w:val="2"/>
          <w:position w:val="0"/>
          <w14:ligatures w14:val="standardContextual"/>
        </w:rPr>
        <w:instrText xml:space="preserve"> SEQ Graph \* ARABIC </w:instrText>
      </w:r>
      <w:r w:rsidRPr="00D50069">
        <w:rPr>
          <w:rFonts w:eastAsia="Calibri"/>
          <w:b/>
          <w:bCs/>
          <w:kern w:val="2"/>
          <w:position w:val="0"/>
          <w14:ligatures w14:val="standardContextual"/>
        </w:rPr>
        <w:fldChar w:fldCharType="separate"/>
      </w:r>
      <w:r w:rsidR="00DC3231">
        <w:rPr>
          <w:rFonts w:eastAsia="Calibri"/>
          <w:b/>
          <w:bCs/>
          <w:noProof/>
          <w:kern w:val="2"/>
          <w:position w:val="0"/>
          <w14:ligatures w14:val="standardContextual"/>
        </w:rPr>
        <w:t>13</w:t>
      </w:r>
      <w:r w:rsidRPr="00D50069">
        <w:rPr>
          <w:rFonts w:eastAsia="Calibri"/>
          <w:b/>
          <w:bCs/>
          <w:kern w:val="2"/>
          <w:position w:val="0"/>
          <w14:ligatures w14:val="standardContextual"/>
        </w:rPr>
        <w:fldChar w:fldCharType="end"/>
      </w:r>
      <w:r w:rsidRPr="00D50069">
        <w:rPr>
          <w:rFonts w:eastAsia="Calibri"/>
          <w:i/>
          <w:iCs/>
          <w:kern w:val="2"/>
          <w:position w:val="0"/>
          <w14:ligatures w14:val="standardContextual"/>
        </w:rPr>
        <w:t xml:space="preserve"> </w:t>
      </w:r>
      <w:r w:rsidRPr="00FD4047">
        <w:rPr>
          <w:rFonts w:eastAsia="Calibri"/>
          <w:kern w:val="2"/>
          <w:position w:val="0"/>
          <w14:ligatures w14:val="standardContextual"/>
        </w:rPr>
        <w:t>Descriptive Statistics: Mean Ratings and Standard Deviation for Six Aspects of Summative Assessment Tools Design</w:t>
      </w:r>
      <w:bookmarkEnd w:id="235"/>
    </w:p>
    <w:p w14:paraId="738D34D9" w14:textId="09D6AFEE" w:rsidR="00D50069" w:rsidRPr="00D50069" w:rsidRDefault="00FD4047" w:rsidP="00AA5DBF">
      <w:pPr>
        <w:pStyle w:val="Titre1"/>
        <w:rPr>
          <w:rFonts w:eastAsia="Calibri"/>
        </w:rPr>
      </w:pPr>
      <w:bookmarkStart w:id="236" w:name="_Toc200486086"/>
      <w:r>
        <w:rPr>
          <w:rFonts w:eastAsia="Calibri"/>
        </w:rPr>
        <w:t xml:space="preserve">2.2.3.3.2 </w:t>
      </w:r>
      <w:r w:rsidR="00D50069" w:rsidRPr="00D50069">
        <w:rPr>
          <w:rFonts w:eastAsia="Calibri"/>
        </w:rPr>
        <w:t>Part Two: Feedback and Reflective Practice</w:t>
      </w:r>
      <w:bookmarkEnd w:id="236"/>
    </w:p>
    <w:p w14:paraId="0B315BC7" w14:textId="483A0403" w:rsidR="00D50069" w:rsidRPr="00D50069" w:rsidRDefault="008369BF" w:rsidP="00FD4047">
      <w:pPr>
        <w:spacing w:after="160" w:line="480" w:lineRule="auto"/>
        <w:ind w:firstLine="567"/>
        <w:contextualSpacing/>
        <w:jc w:val="both"/>
        <w:rPr>
          <w:rFonts w:eastAsia="Calibri"/>
          <w:kern w:val="2"/>
          <w:position w:val="0"/>
          <w14:ligatures w14:val="standardContextual"/>
        </w:rPr>
      </w:pPr>
      <w:r>
        <w:rPr>
          <w:rFonts w:eastAsia="Calibri"/>
          <w:kern w:val="2"/>
          <w:position w:val="0"/>
          <w14:ligatures w14:val="standardContextual"/>
        </w:rPr>
        <w:t xml:space="preserve"> </w:t>
      </w:r>
      <w:r w:rsidR="00D50069" w:rsidRPr="00D50069">
        <w:rPr>
          <w:rFonts w:eastAsia="Calibri"/>
          <w:kern w:val="2"/>
          <w:position w:val="0"/>
          <w14:ligatures w14:val="standardContextual"/>
        </w:rPr>
        <w:t xml:space="preserve">The second part of the questionnaire’s skill-based section focuses on uncovering the efficacy of online teacher interactions in offering constructive </w:t>
      </w:r>
      <w:proofErr w:type="gramStart"/>
      <w:r w:rsidR="00D50069" w:rsidRPr="00D50069">
        <w:rPr>
          <w:rFonts w:eastAsia="Calibri"/>
          <w:kern w:val="2"/>
          <w:position w:val="0"/>
          <w14:ligatures w14:val="standardContextual"/>
        </w:rPr>
        <w:t>criticism which</w:t>
      </w:r>
      <w:proofErr w:type="gramEnd"/>
      <w:r w:rsidR="00D50069" w:rsidRPr="00D50069">
        <w:rPr>
          <w:rFonts w:eastAsia="Calibri"/>
          <w:kern w:val="2"/>
          <w:position w:val="0"/>
          <w14:ligatures w14:val="standardContextual"/>
        </w:rPr>
        <w:t xml:space="preserve"> guides summative assessment process. </w:t>
      </w:r>
      <w:r w:rsidR="00D50069" w:rsidRPr="00D50069">
        <w:rPr>
          <w:rFonts w:eastAsia="Calibri"/>
          <w:b/>
          <w:bCs/>
          <w:kern w:val="2"/>
          <w:position w:val="0"/>
          <w14:ligatures w14:val="standardContextual"/>
        </w:rPr>
        <w:t>Graph 14</w:t>
      </w:r>
      <w:r w:rsidR="00D50069" w:rsidRPr="00D50069">
        <w:rPr>
          <w:rFonts w:eastAsia="Calibri"/>
          <w:kern w:val="2"/>
          <w:position w:val="0"/>
          <w14:ligatures w14:val="standardContextual"/>
        </w:rPr>
        <w:t xml:space="preserve"> and </w:t>
      </w:r>
      <w:r w:rsidR="00D50069" w:rsidRPr="00D50069">
        <w:rPr>
          <w:rFonts w:eastAsia="Calibri"/>
          <w:b/>
          <w:bCs/>
          <w:kern w:val="2"/>
          <w:position w:val="0"/>
          <w14:ligatures w14:val="standardContextual"/>
        </w:rPr>
        <w:t>Table 1</w:t>
      </w:r>
      <w:r w:rsidR="00AF6FC7">
        <w:rPr>
          <w:rFonts w:eastAsia="Calibri"/>
          <w:b/>
          <w:bCs/>
          <w:kern w:val="2"/>
          <w:position w:val="0"/>
          <w14:ligatures w14:val="standardContextual"/>
        </w:rPr>
        <w:t>4</w:t>
      </w:r>
      <w:r w:rsidR="00D50069" w:rsidRPr="00D50069">
        <w:rPr>
          <w:rFonts w:eastAsia="Calibri"/>
          <w:kern w:val="2"/>
          <w:position w:val="0"/>
          <w14:ligatures w14:val="standardContextual"/>
        </w:rPr>
        <w:t xml:space="preserve"> below demonstrates that most of participants confirmed learning effective feedback techniques (68 %), critically considering feedback significance as a pre-assessment process (73 %), encouraging deep reflective practices (65 %) and conducting feedback-based refinements and adjustments (63 %). Although data reflects high levels of agreement on the four topics, the proportion of participants who selected </w:t>
      </w:r>
      <w:bookmarkStart w:id="237" w:name="_Hlk198638850"/>
      <w:r w:rsidR="00D50069" w:rsidRPr="00D50069">
        <w:rPr>
          <w:rFonts w:eastAsia="Calibri"/>
          <w:kern w:val="2"/>
          <w:position w:val="0"/>
          <w14:ligatures w14:val="standardContextual"/>
        </w:rPr>
        <w:t xml:space="preserve">“strongly agree” </w:t>
      </w:r>
      <w:bookmarkEnd w:id="237"/>
      <w:r w:rsidR="00D50069" w:rsidRPr="00D50069">
        <w:rPr>
          <w:rFonts w:eastAsia="Calibri"/>
          <w:kern w:val="2"/>
          <w:position w:val="0"/>
          <w14:ligatures w14:val="standardContextual"/>
        </w:rPr>
        <w:t>remains relatively low, spanned from 10 % to 23 %. Additionally, though only a minority of teachers, ranging from 2 % to 8 %, disagreed with the four items, no respondent (00 %) chose “strongly disagree”. Neutral responses were present throughout the data set with proportions of 6 %</w:t>
      </w:r>
      <w:proofErr w:type="gramStart"/>
      <w:r w:rsidR="00D50069" w:rsidRPr="00D50069">
        <w:rPr>
          <w:rFonts w:eastAsia="Calibri"/>
          <w:kern w:val="2"/>
          <w:position w:val="0"/>
          <w14:ligatures w14:val="standardContextual"/>
        </w:rPr>
        <w:t>,10</w:t>
      </w:r>
      <w:proofErr w:type="gramEnd"/>
      <w:r w:rsidR="00D50069" w:rsidRPr="00D50069">
        <w:rPr>
          <w:rFonts w:eastAsia="Calibri"/>
          <w:kern w:val="2"/>
          <w:position w:val="0"/>
          <w14:ligatures w14:val="standardContextual"/>
        </w:rPr>
        <w:t xml:space="preserve"> %, 13 % and 19 % respectively. Evidence </w:t>
      </w:r>
      <w:r w:rsidR="00D50069" w:rsidRPr="00D50069">
        <w:rPr>
          <w:rFonts w:eastAsia="Calibri"/>
          <w:kern w:val="2"/>
          <w:position w:val="0"/>
          <w14:ligatures w14:val="standardContextual"/>
        </w:rPr>
        <w:lastRenderedPageBreak/>
        <w:t>reveals that online collaborative and interactive practices promote critical thinking, decision-making and problem-solving skills among educators.</w:t>
      </w:r>
    </w:p>
    <w:p w14:paraId="7F9A86FA" w14:textId="77777777" w:rsidR="00D50069" w:rsidRPr="00D50069" w:rsidRDefault="00D50069" w:rsidP="00D50069">
      <w:pPr>
        <w:keepNext/>
        <w:spacing w:after="160" w:line="480" w:lineRule="auto"/>
        <w:rPr>
          <w:rFonts w:ascii="Calibri" w:eastAsia="Calibri" w:hAnsi="Calibri" w:cs="Arial"/>
          <w:kern w:val="2"/>
          <w:position w:val="0"/>
          <w:sz w:val="22"/>
          <w:szCs w:val="22"/>
          <w14:ligatures w14:val="standardContextual"/>
        </w:rPr>
      </w:pPr>
      <w:r w:rsidRPr="00D50069">
        <w:rPr>
          <w:rFonts w:ascii="Calibri" w:eastAsia="Calibri" w:hAnsi="Calibri" w:cs="Arial"/>
          <w:noProof/>
          <w:kern w:val="2"/>
          <w:position w:val="0"/>
          <w:sz w:val="22"/>
          <w:szCs w:val="22"/>
          <w:lang w:val="fr-FR" w:eastAsia="fr-FR"/>
          <w14:ligatures w14:val="standardContextual"/>
        </w:rPr>
        <w:drawing>
          <wp:inline distT="0" distB="0" distL="0" distR="0" wp14:anchorId="70EC859F" wp14:editId="7D46F8F3">
            <wp:extent cx="5534025" cy="2368550"/>
            <wp:effectExtent l="0" t="0" r="9525" b="12700"/>
            <wp:docPr id="1933094345" name="Chart 1">
              <a:extLst xmlns:a="http://schemas.openxmlformats.org/drawingml/2006/main">
                <a:ext uri="{FF2B5EF4-FFF2-40B4-BE49-F238E27FC236}">
                  <a16:creationId xmlns:a16="http://schemas.microsoft.com/office/drawing/2014/main"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5700272E-05CC-FECD-66EC-4A87A6D42A7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inline>
        </w:drawing>
      </w:r>
    </w:p>
    <w:p w14:paraId="66393308" w14:textId="3D31791F" w:rsidR="00D50069" w:rsidRPr="000550CA" w:rsidRDefault="00D50069" w:rsidP="00D50069">
      <w:pPr>
        <w:spacing w:after="200" w:line="480" w:lineRule="auto"/>
        <w:rPr>
          <w:rFonts w:eastAsia="Calibri"/>
          <w:kern w:val="2"/>
          <w:position w:val="0"/>
          <w14:ligatures w14:val="standardContextual"/>
        </w:rPr>
      </w:pPr>
      <w:bookmarkStart w:id="238" w:name="_Toc199695829"/>
      <w:r w:rsidRPr="00D50069">
        <w:rPr>
          <w:rFonts w:eastAsia="Calibri"/>
          <w:b/>
          <w:bCs/>
          <w:kern w:val="2"/>
          <w:position w:val="0"/>
          <w14:ligatures w14:val="standardContextual"/>
        </w:rPr>
        <w:t xml:space="preserve">Graph </w:t>
      </w:r>
      <w:r w:rsidRPr="00D50069">
        <w:rPr>
          <w:rFonts w:eastAsia="Calibri"/>
          <w:b/>
          <w:bCs/>
          <w:kern w:val="2"/>
          <w:position w:val="0"/>
          <w14:ligatures w14:val="standardContextual"/>
        </w:rPr>
        <w:fldChar w:fldCharType="begin"/>
      </w:r>
      <w:r w:rsidRPr="00D50069">
        <w:rPr>
          <w:rFonts w:eastAsia="Calibri"/>
          <w:b/>
          <w:bCs/>
          <w:kern w:val="2"/>
          <w:position w:val="0"/>
          <w14:ligatures w14:val="standardContextual"/>
        </w:rPr>
        <w:instrText xml:space="preserve"> SEQ Graph \* ARABIC </w:instrText>
      </w:r>
      <w:r w:rsidRPr="00D50069">
        <w:rPr>
          <w:rFonts w:eastAsia="Calibri"/>
          <w:b/>
          <w:bCs/>
          <w:kern w:val="2"/>
          <w:position w:val="0"/>
          <w14:ligatures w14:val="standardContextual"/>
        </w:rPr>
        <w:fldChar w:fldCharType="separate"/>
      </w:r>
      <w:r w:rsidR="00DC3231">
        <w:rPr>
          <w:rFonts w:eastAsia="Calibri"/>
          <w:b/>
          <w:bCs/>
          <w:noProof/>
          <w:kern w:val="2"/>
          <w:position w:val="0"/>
          <w14:ligatures w14:val="standardContextual"/>
        </w:rPr>
        <w:t>14</w:t>
      </w:r>
      <w:r w:rsidRPr="00D50069">
        <w:rPr>
          <w:rFonts w:eastAsia="Calibri"/>
          <w:b/>
          <w:bCs/>
          <w:kern w:val="2"/>
          <w:position w:val="0"/>
          <w14:ligatures w14:val="standardContextual"/>
        </w:rPr>
        <w:fldChar w:fldCharType="end"/>
      </w:r>
      <w:r w:rsidRPr="00D50069">
        <w:rPr>
          <w:rFonts w:eastAsia="Calibri"/>
          <w:i/>
          <w:iCs/>
          <w:kern w:val="2"/>
          <w:position w:val="0"/>
          <w14:ligatures w14:val="standardContextual"/>
        </w:rPr>
        <w:t xml:space="preserve"> </w:t>
      </w:r>
      <w:r w:rsidRPr="000550CA">
        <w:rPr>
          <w:rFonts w:eastAsia="Calibri"/>
          <w:kern w:val="2"/>
          <w:position w:val="0"/>
          <w14:ligatures w14:val="standardContextual"/>
        </w:rPr>
        <w:t>Perception Distribution about OTCs Role in Offering Feedback and Improving Reflective Practices</w:t>
      </w:r>
      <w:bookmarkEnd w:id="238"/>
    </w:p>
    <w:p w14:paraId="712C0EA3" w14:textId="095E53CD" w:rsidR="000550CA" w:rsidRDefault="00D50069" w:rsidP="000550CA">
      <w:pPr>
        <w:keepNext/>
        <w:spacing w:after="200" w:line="276" w:lineRule="auto"/>
        <w:rPr>
          <w:rFonts w:eastAsia="Calibri"/>
          <w:i/>
          <w:iCs/>
          <w:kern w:val="2"/>
          <w:position w:val="0"/>
          <w14:ligatures w14:val="standardContextual"/>
        </w:rPr>
      </w:pPr>
      <w:bookmarkStart w:id="239" w:name="_Toc199832008"/>
      <w:bookmarkStart w:id="240" w:name="_Toc199832377"/>
      <w:bookmarkStart w:id="241" w:name="_Toc200446662"/>
      <w:r w:rsidRPr="00D50069">
        <w:rPr>
          <w:rFonts w:eastAsia="Calibri"/>
          <w:b/>
          <w:bCs/>
          <w:kern w:val="2"/>
          <w:position w:val="0"/>
          <w14:ligatures w14:val="standardContextual"/>
        </w:rPr>
        <w:t xml:space="preserve">Table </w:t>
      </w:r>
      <w:r w:rsidR="00274F6F" w:rsidRPr="00AF6FC7">
        <w:rPr>
          <w:rFonts w:eastAsia="Calibri"/>
          <w:b/>
          <w:bCs/>
          <w:kern w:val="2"/>
          <w:position w:val="0"/>
          <w14:ligatures w14:val="standardContextual"/>
        </w:rPr>
        <w:fldChar w:fldCharType="begin"/>
      </w:r>
      <w:r w:rsidR="00274F6F" w:rsidRPr="00AF6FC7">
        <w:rPr>
          <w:rFonts w:eastAsia="Calibri"/>
          <w:b/>
          <w:bCs/>
          <w:kern w:val="2"/>
          <w:position w:val="0"/>
          <w14:ligatures w14:val="standardContextual"/>
        </w:rPr>
        <w:instrText xml:space="preserve"> SEQ Table \* ARABIC </w:instrText>
      </w:r>
      <w:r w:rsidR="00274F6F" w:rsidRPr="00AF6FC7">
        <w:rPr>
          <w:rFonts w:eastAsia="Calibri"/>
          <w:b/>
          <w:bCs/>
          <w:kern w:val="2"/>
          <w:position w:val="0"/>
          <w14:ligatures w14:val="standardContextual"/>
        </w:rPr>
        <w:fldChar w:fldCharType="separate"/>
      </w:r>
      <w:r w:rsidR="00DC3231">
        <w:rPr>
          <w:rFonts w:eastAsia="Calibri"/>
          <w:b/>
          <w:bCs/>
          <w:noProof/>
          <w:kern w:val="2"/>
          <w:position w:val="0"/>
          <w14:ligatures w14:val="standardContextual"/>
        </w:rPr>
        <w:t>14</w:t>
      </w:r>
      <w:r w:rsidR="00274F6F" w:rsidRPr="00AF6FC7">
        <w:rPr>
          <w:rFonts w:eastAsia="Calibri"/>
          <w:b/>
          <w:bCs/>
          <w:kern w:val="2"/>
          <w:position w:val="0"/>
          <w14:ligatures w14:val="standardContextual"/>
        </w:rPr>
        <w:fldChar w:fldCharType="end"/>
      </w:r>
      <w:r w:rsidRPr="00D50069">
        <w:rPr>
          <w:rFonts w:eastAsia="Calibri"/>
          <w:i/>
          <w:iCs/>
          <w:kern w:val="2"/>
          <w:position w:val="0"/>
          <w14:ligatures w14:val="standardContextual"/>
        </w:rPr>
        <w:t xml:space="preserve"> </w:t>
      </w:r>
    </w:p>
    <w:p w14:paraId="3B67B0D1" w14:textId="57D3BDFA" w:rsidR="00D50069" w:rsidRPr="000550CA" w:rsidRDefault="00D50069" w:rsidP="000550CA">
      <w:pPr>
        <w:keepNext/>
        <w:spacing w:after="200" w:line="276" w:lineRule="auto"/>
        <w:rPr>
          <w:rFonts w:eastAsia="Calibri"/>
          <w:kern w:val="2"/>
          <w:position w:val="0"/>
          <w14:ligatures w14:val="standardContextual"/>
        </w:rPr>
      </w:pPr>
      <w:r w:rsidRPr="000550CA">
        <w:rPr>
          <w:rFonts w:eastAsia="Calibri"/>
          <w:kern w:val="2"/>
          <w:position w:val="0"/>
          <w14:ligatures w14:val="standardContextual"/>
        </w:rPr>
        <w:t>Distribution of Respondents Levels of Agreement on Feedback and Reflective Practice within OTCs</w:t>
      </w:r>
      <w:bookmarkEnd w:id="239"/>
      <w:bookmarkEnd w:id="240"/>
      <w:bookmarkEnd w:id="241"/>
    </w:p>
    <w:tbl>
      <w:tblPr>
        <w:tblStyle w:val="TableGrid4"/>
        <w:tblW w:w="9905" w:type="dxa"/>
        <w:jc w:val="center"/>
        <w:tblLook w:val="04A0" w:firstRow="1" w:lastRow="0" w:firstColumn="1" w:lastColumn="0" w:noHBand="0" w:noVBand="1"/>
      </w:tblPr>
      <w:tblGrid>
        <w:gridCol w:w="2098"/>
        <w:gridCol w:w="1150"/>
        <w:gridCol w:w="725"/>
        <w:gridCol w:w="1150"/>
        <w:gridCol w:w="725"/>
        <w:gridCol w:w="1150"/>
        <w:gridCol w:w="780"/>
        <w:gridCol w:w="1150"/>
        <w:gridCol w:w="977"/>
      </w:tblGrid>
      <w:tr w:rsidR="00D50069" w:rsidRPr="00D50069" w14:paraId="22A9E1D4" w14:textId="77777777" w:rsidTr="00C141A1">
        <w:trPr>
          <w:trHeight w:val="315"/>
          <w:jc w:val="center"/>
        </w:trPr>
        <w:tc>
          <w:tcPr>
            <w:tcW w:w="2098" w:type="dxa"/>
            <w:tcBorders>
              <w:top w:val="nil"/>
              <w:left w:val="nil"/>
              <w:bottom w:val="single" w:sz="4" w:space="0" w:color="auto"/>
              <w:right w:val="single" w:sz="4" w:space="0" w:color="auto"/>
            </w:tcBorders>
            <w:noWrap/>
          </w:tcPr>
          <w:p w14:paraId="13F725E2" w14:textId="77777777" w:rsidR="00D50069" w:rsidRPr="00D50069" w:rsidRDefault="00D50069" w:rsidP="00D50069">
            <w:pPr>
              <w:spacing w:line="480" w:lineRule="auto"/>
              <w:rPr>
                <w:position w:val="0"/>
              </w:rPr>
            </w:pPr>
          </w:p>
        </w:tc>
        <w:tc>
          <w:tcPr>
            <w:tcW w:w="1875" w:type="dxa"/>
            <w:gridSpan w:val="2"/>
            <w:tcBorders>
              <w:top w:val="single" w:sz="4" w:space="0" w:color="auto"/>
              <w:left w:val="single" w:sz="4" w:space="0" w:color="auto"/>
              <w:bottom w:val="single" w:sz="4" w:space="0" w:color="auto"/>
              <w:right w:val="single" w:sz="4" w:space="0" w:color="auto"/>
            </w:tcBorders>
            <w:noWrap/>
          </w:tcPr>
          <w:p w14:paraId="0B750E6B" w14:textId="77777777" w:rsidR="00D50069" w:rsidRPr="00D50069" w:rsidRDefault="00D50069" w:rsidP="00D50069">
            <w:pPr>
              <w:bidi/>
              <w:spacing w:line="480" w:lineRule="auto"/>
              <w:jc w:val="center"/>
              <w:rPr>
                <w:b/>
                <w:bCs/>
                <w:position w:val="0"/>
              </w:rPr>
            </w:pPr>
            <w:r w:rsidRPr="00D50069">
              <w:rPr>
                <w:b/>
                <w:bCs/>
                <w:position w:val="0"/>
              </w:rPr>
              <w:t>Question 01</w:t>
            </w:r>
          </w:p>
        </w:tc>
        <w:tc>
          <w:tcPr>
            <w:tcW w:w="1875" w:type="dxa"/>
            <w:gridSpan w:val="2"/>
            <w:tcBorders>
              <w:left w:val="single" w:sz="4" w:space="0" w:color="auto"/>
            </w:tcBorders>
            <w:noWrap/>
          </w:tcPr>
          <w:p w14:paraId="24B6E502" w14:textId="77777777" w:rsidR="00D50069" w:rsidRPr="00D50069" w:rsidRDefault="00D50069" w:rsidP="00D50069">
            <w:pPr>
              <w:bidi/>
              <w:spacing w:line="480" w:lineRule="auto"/>
              <w:jc w:val="center"/>
              <w:rPr>
                <w:b/>
                <w:bCs/>
                <w:position w:val="0"/>
              </w:rPr>
            </w:pPr>
            <w:r w:rsidRPr="00D50069">
              <w:rPr>
                <w:b/>
                <w:bCs/>
                <w:position w:val="0"/>
              </w:rPr>
              <w:t>Question 02</w:t>
            </w:r>
          </w:p>
        </w:tc>
        <w:tc>
          <w:tcPr>
            <w:tcW w:w="1930" w:type="dxa"/>
            <w:gridSpan w:val="2"/>
            <w:noWrap/>
          </w:tcPr>
          <w:p w14:paraId="177C31CE" w14:textId="77777777" w:rsidR="00D50069" w:rsidRPr="00D50069" w:rsidRDefault="00D50069" w:rsidP="00D50069">
            <w:pPr>
              <w:bidi/>
              <w:spacing w:line="480" w:lineRule="auto"/>
              <w:jc w:val="center"/>
              <w:rPr>
                <w:b/>
                <w:bCs/>
                <w:position w:val="0"/>
              </w:rPr>
            </w:pPr>
            <w:r w:rsidRPr="00D50069">
              <w:rPr>
                <w:b/>
                <w:bCs/>
                <w:position w:val="0"/>
              </w:rPr>
              <w:t>Question03</w:t>
            </w:r>
          </w:p>
        </w:tc>
        <w:tc>
          <w:tcPr>
            <w:tcW w:w="2127" w:type="dxa"/>
            <w:gridSpan w:val="2"/>
            <w:noWrap/>
          </w:tcPr>
          <w:p w14:paraId="128F6888" w14:textId="77777777" w:rsidR="00D50069" w:rsidRPr="00D50069" w:rsidRDefault="00D50069" w:rsidP="00D50069">
            <w:pPr>
              <w:bidi/>
              <w:spacing w:line="480" w:lineRule="auto"/>
              <w:jc w:val="center"/>
              <w:rPr>
                <w:b/>
                <w:bCs/>
                <w:position w:val="0"/>
              </w:rPr>
            </w:pPr>
            <w:r w:rsidRPr="00D50069">
              <w:rPr>
                <w:b/>
                <w:bCs/>
                <w:position w:val="0"/>
              </w:rPr>
              <w:t>Question 04</w:t>
            </w:r>
          </w:p>
        </w:tc>
      </w:tr>
      <w:tr w:rsidR="00D50069" w:rsidRPr="00D50069" w14:paraId="20665BF0" w14:textId="77777777" w:rsidTr="00C141A1">
        <w:trPr>
          <w:trHeight w:val="315"/>
          <w:jc w:val="center"/>
        </w:trPr>
        <w:tc>
          <w:tcPr>
            <w:tcW w:w="2098" w:type="dxa"/>
            <w:tcBorders>
              <w:top w:val="single" w:sz="4" w:space="0" w:color="auto"/>
            </w:tcBorders>
            <w:noWrap/>
            <w:hideMark/>
          </w:tcPr>
          <w:p w14:paraId="6A49533C" w14:textId="77777777" w:rsidR="00D50069" w:rsidRPr="00D50069" w:rsidRDefault="00D50069" w:rsidP="00D50069">
            <w:pPr>
              <w:spacing w:line="480" w:lineRule="auto"/>
              <w:rPr>
                <w:b/>
                <w:bCs/>
                <w:position w:val="0"/>
              </w:rPr>
            </w:pPr>
            <w:r w:rsidRPr="00D50069">
              <w:rPr>
                <w:b/>
                <w:bCs/>
                <w:position w:val="0"/>
              </w:rPr>
              <w:t>Level of Agreement</w:t>
            </w:r>
          </w:p>
        </w:tc>
        <w:tc>
          <w:tcPr>
            <w:tcW w:w="1145" w:type="dxa"/>
            <w:tcBorders>
              <w:top w:val="single" w:sz="4" w:space="0" w:color="auto"/>
            </w:tcBorders>
            <w:noWrap/>
            <w:hideMark/>
          </w:tcPr>
          <w:p w14:paraId="1A0B211B" w14:textId="77777777" w:rsidR="00D50069" w:rsidRPr="00D50069" w:rsidRDefault="00D50069" w:rsidP="00D50069">
            <w:pPr>
              <w:bidi/>
              <w:spacing w:line="480" w:lineRule="auto"/>
              <w:jc w:val="center"/>
              <w:rPr>
                <w:position w:val="0"/>
              </w:rPr>
            </w:pPr>
            <w:r w:rsidRPr="00D50069">
              <w:rPr>
                <w:position w:val="0"/>
              </w:rPr>
              <w:t>Frequency</w:t>
            </w:r>
          </w:p>
        </w:tc>
        <w:tc>
          <w:tcPr>
            <w:tcW w:w="730" w:type="dxa"/>
            <w:tcBorders>
              <w:top w:val="single" w:sz="4" w:space="0" w:color="auto"/>
            </w:tcBorders>
          </w:tcPr>
          <w:p w14:paraId="3801C966" w14:textId="77777777" w:rsidR="00D50069" w:rsidRPr="00D50069" w:rsidRDefault="00D50069" w:rsidP="00D50069">
            <w:pPr>
              <w:bidi/>
              <w:spacing w:line="480" w:lineRule="auto"/>
              <w:jc w:val="center"/>
              <w:rPr>
                <w:position w:val="0"/>
              </w:rPr>
            </w:pPr>
            <w:r w:rsidRPr="00D50069">
              <w:rPr>
                <w:position w:val="0"/>
              </w:rPr>
              <w:t>%</w:t>
            </w:r>
          </w:p>
        </w:tc>
        <w:tc>
          <w:tcPr>
            <w:tcW w:w="1145" w:type="dxa"/>
            <w:noWrap/>
            <w:hideMark/>
          </w:tcPr>
          <w:p w14:paraId="3798178F" w14:textId="77777777" w:rsidR="00D50069" w:rsidRPr="00D50069" w:rsidRDefault="00D50069" w:rsidP="00D50069">
            <w:pPr>
              <w:bidi/>
              <w:spacing w:line="480" w:lineRule="auto"/>
              <w:jc w:val="center"/>
              <w:rPr>
                <w:position w:val="0"/>
              </w:rPr>
            </w:pPr>
            <w:r w:rsidRPr="00D50069">
              <w:rPr>
                <w:position w:val="0"/>
              </w:rPr>
              <w:t>Frequency</w:t>
            </w:r>
          </w:p>
        </w:tc>
        <w:tc>
          <w:tcPr>
            <w:tcW w:w="730" w:type="dxa"/>
          </w:tcPr>
          <w:p w14:paraId="60CCAA0E" w14:textId="77777777" w:rsidR="00D50069" w:rsidRPr="00D50069" w:rsidRDefault="00D50069" w:rsidP="00D50069">
            <w:pPr>
              <w:bidi/>
              <w:spacing w:line="480" w:lineRule="auto"/>
              <w:jc w:val="center"/>
              <w:rPr>
                <w:position w:val="0"/>
              </w:rPr>
            </w:pPr>
            <w:r w:rsidRPr="00D50069">
              <w:rPr>
                <w:position w:val="0"/>
              </w:rPr>
              <w:t>%</w:t>
            </w:r>
          </w:p>
        </w:tc>
        <w:tc>
          <w:tcPr>
            <w:tcW w:w="1145" w:type="dxa"/>
            <w:noWrap/>
            <w:hideMark/>
          </w:tcPr>
          <w:p w14:paraId="26A4C483" w14:textId="77777777" w:rsidR="00D50069" w:rsidRPr="00D50069" w:rsidRDefault="00D50069" w:rsidP="00D50069">
            <w:pPr>
              <w:bidi/>
              <w:spacing w:line="480" w:lineRule="auto"/>
              <w:jc w:val="center"/>
              <w:rPr>
                <w:position w:val="0"/>
              </w:rPr>
            </w:pPr>
            <w:r w:rsidRPr="00D50069">
              <w:rPr>
                <w:position w:val="0"/>
              </w:rPr>
              <w:t>Frequency</w:t>
            </w:r>
          </w:p>
        </w:tc>
        <w:tc>
          <w:tcPr>
            <w:tcW w:w="785" w:type="dxa"/>
          </w:tcPr>
          <w:p w14:paraId="1A139EDF" w14:textId="77777777" w:rsidR="00D50069" w:rsidRPr="00D50069" w:rsidRDefault="00D50069" w:rsidP="00D50069">
            <w:pPr>
              <w:bidi/>
              <w:spacing w:line="480" w:lineRule="auto"/>
              <w:jc w:val="center"/>
              <w:rPr>
                <w:position w:val="0"/>
              </w:rPr>
            </w:pPr>
            <w:r w:rsidRPr="00D50069">
              <w:rPr>
                <w:position w:val="0"/>
              </w:rPr>
              <w:t>%</w:t>
            </w:r>
          </w:p>
        </w:tc>
        <w:tc>
          <w:tcPr>
            <w:tcW w:w="1145" w:type="dxa"/>
            <w:noWrap/>
            <w:hideMark/>
          </w:tcPr>
          <w:p w14:paraId="7DC29D36" w14:textId="77777777" w:rsidR="00D50069" w:rsidRPr="00D50069" w:rsidRDefault="00D50069" w:rsidP="00D50069">
            <w:pPr>
              <w:bidi/>
              <w:spacing w:line="480" w:lineRule="auto"/>
              <w:jc w:val="center"/>
              <w:rPr>
                <w:position w:val="0"/>
              </w:rPr>
            </w:pPr>
            <w:r w:rsidRPr="00D50069">
              <w:rPr>
                <w:position w:val="0"/>
              </w:rPr>
              <w:t>Frequency</w:t>
            </w:r>
          </w:p>
        </w:tc>
        <w:tc>
          <w:tcPr>
            <w:tcW w:w="982" w:type="dxa"/>
          </w:tcPr>
          <w:p w14:paraId="2E161668" w14:textId="77777777" w:rsidR="00D50069" w:rsidRPr="00D50069" w:rsidRDefault="00D50069" w:rsidP="00D50069">
            <w:pPr>
              <w:bidi/>
              <w:spacing w:line="480" w:lineRule="auto"/>
              <w:jc w:val="center"/>
              <w:rPr>
                <w:position w:val="0"/>
              </w:rPr>
            </w:pPr>
            <w:r w:rsidRPr="00D50069">
              <w:rPr>
                <w:position w:val="0"/>
              </w:rPr>
              <w:t>%</w:t>
            </w:r>
          </w:p>
        </w:tc>
      </w:tr>
      <w:tr w:rsidR="00D50069" w:rsidRPr="00D50069" w14:paraId="7CC62099" w14:textId="77777777" w:rsidTr="00C141A1">
        <w:trPr>
          <w:trHeight w:val="315"/>
          <w:jc w:val="center"/>
        </w:trPr>
        <w:tc>
          <w:tcPr>
            <w:tcW w:w="2098" w:type="dxa"/>
            <w:noWrap/>
            <w:hideMark/>
          </w:tcPr>
          <w:p w14:paraId="11E1DCF5" w14:textId="77777777" w:rsidR="00D50069" w:rsidRPr="00D50069" w:rsidRDefault="00D50069" w:rsidP="00D50069">
            <w:pPr>
              <w:spacing w:line="480" w:lineRule="auto"/>
              <w:rPr>
                <w:b/>
                <w:bCs/>
                <w:position w:val="0"/>
              </w:rPr>
            </w:pPr>
            <w:r w:rsidRPr="00D50069">
              <w:rPr>
                <w:b/>
                <w:bCs/>
                <w:position w:val="0"/>
              </w:rPr>
              <w:t>Agree</w:t>
            </w:r>
          </w:p>
        </w:tc>
        <w:tc>
          <w:tcPr>
            <w:tcW w:w="1145" w:type="dxa"/>
            <w:noWrap/>
            <w:hideMark/>
          </w:tcPr>
          <w:p w14:paraId="20E66385" w14:textId="77777777" w:rsidR="00D50069" w:rsidRPr="00D50069" w:rsidRDefault="00D50069" w:rsidP="00D50069">
            <w:pPr>
              <w:bidi/>
              <w:spacing w:line="480" w:lineRule="auto"/>
              <w:jc w:val="center"/>
              <w:rPr>
                <w:position w:val="0"/>
              </w:rPr>
            </w:pPr>
            <w:r w:rsidRPr="00D50069">
              <w:rPr>
                <w:position w:val="0"/>
              </w:rPr>
              <w:t>32</w:t>
            </w:r>
          </w:p>
        </w:tc>
        <w:tc>
          <w:tcPr>
            <w:tcW w:w="730" w:type="dxa"/>
          </w:tcPr>
          <w:p w14:paraId="4184A7DA" w14:textId="77777777" w:rsidR="00D50069" w:rsidRPr="00D50069" w:rsidRDefault="00D50069" w:rsidP="00D50069">
            <w:pPr>
              <w:spacing w:line="480" w:lineRule="auto"/>
              <w:jc w:val="center"/>
              <w:rPr>
                <w:color w:val="000000"/>
                <w:position w:val="0"/>
                <w:sz w:val="20"/>
                <w:szCs w:val="20"/>
              </w:rPr>
            </w:pPr>
            <w:r w:rsidRPr="00D50069">
              <w:rPr>
                <w:color w:val="000000"/>
                <w:position w:val="0"/>
              </w:rPr>
              <w:t>68 %</w:t>
            </w:r>
          </w:p>
        </w:tc>
        <w:tc>
          <w:tcPr>
            <w:tcW w:w="1145" w:type="dxa"/>
            <w:noWrap/>
            <w:hideMark/>
          </w:tcPr>
          <w:p w14:paraId="19283B6D" w14:textId="77777777" w:rsidR="00D50069" w:rsidRPr="00D50069" w:rsidRDefault="00D50069" w:rsidP="00D50069">
            <w:pPr>
              <w:bidi/>
              <w:spacing w:line="480" w:lineRule="auto"/>
              <w:jc w:val="center"/>
              <w:rPr>
                <w:position w:val="0"/>
              </w:rPr>
            </w:pPr>
            <w:r w:rsidRPr="00D50069">
              <w:rPr>
                <w:position w:val="0"/>
              </w:rPr>
              <w:t>36</w:t>
            </w:r>
          </w:p>
        </w:tc>
        <w:tc>
          <w:tcPr>
            <w:tcW w:w="730" w:type="dxa"/>
          </w:tcPr>
          <w:p w14:paraId="377C8749" w14:textId="77777777" w:rsidR="00D50069" w:rsidRPr="00D50069" w:rsidRDefault="00D50069" w:rsidP="00D50069">
            <w:pPr>
              <w:bidi/>
              <w:spacing w:line="480" w:lineRule="auto"/>
              <w:jc w:val="center"/>
              <w:rPr>
                <w:position w:val="0"/>
              </w:rPr>
            </w:pPr>
            <w:r w:rsidRPr="00D50069">
              <w:rPr>
                <w:position w:val="0"/>
              </w:rPr>
              <w:t>73 %</w:t>
            </w:r>
          </w:p>
        </w:tc>
        <w:tc>
          <w:tcPr>
            <w:tcW w:w="1145" w:type="dxa"/>
            <w:noWrap/>
            <w:hideMark/>
          </w:tcPr>
          <w:p w14:paraId="3F5EC852" w14:textId="77777777" w:rsidR="00D50069" w:rsidRPr="00D50069" w:rsidRDefault="00D50069" w:rsidP="00D50069">
            <w:pPr>
              <w:bidi/>
              <w:spacing w:line="480" w:lineRule="auto"/>
              <w:jc w:val="center"/>
              <w:rPr>
                <w:position w:val="0"/>
              </w:rPr>
            </w:pPr>
            <w:r w:rsidRPr="00D50069">
              <w:rPr>
                <w:position w:val="0"/>
              </w:rPr>
              <w:t>31</w:t>
            </w:r>
          </w:p>
        </w:tc>
        <w:tc>
          <w:tcPr>
            <w:tcW w:w="785" w:type="dxa"/>
          </w:tcPr>
          <w:p w14:paraId="3237D299" w14:textId="77777777" w:rsidR="00D50069" w:rsidRPr="00D50069" w:rsidRDefault="00D50069" w:rsidP="00D50069">
            <w:pPr>
              <w:bidi/>
              <w:spacing w:line="480" w:lineRule="auto"/>
              <w:jc w:val="center"/>
              <w:rPr>
                <w:position w:val="0"/>
              </w:rPr>
            </w:pPr>
            <w:r w:rsidRPr="00D50069">
              <w:rPr>
                <w:position w:val="0"/>
              </w:rPr>
              <w:t>65 %</w:t>
            </w:r>
          </w:p>
        </w:tc>
        <w:tc>
          <w:tcPr>
            <w:tcW w:w="1145" w:type="dxa"/>
            <w:noWrap/>
            <w:hideMark/>
          </w:tcPr>
          <w:p w14:paraId="22970523" w14:textId="77777777" w:rsidR="00D50069" w:rsidRPr="00D50069" w:rsidRDefault="00D50069" w:rsidP="00D50069">
            <w:pPr>
              <w:bidi/>
              <w:spacing w:line="480" w:lineRule="auto"/>
              <w:jc w:val="center"/>
              <w:rPr>
                <w:position w:val="0"/>
              </w:rPr>
            </w:pPr>
            <w:r w:rsidRPr="00D50069">
              <w:rPr>
                <w:position w:val="0"/>
              </w:rPr>
              <w:t>30</w:t>
            </w:r>
          </w:p>
        </w:tc>
        <w:tc>
          <w:tcPr>
            <w:tcW w:w="982" w:type="dxa"/>
          </w:tcPr>
          <w:p w14:paraId="16ACC31E" w14:textId="77777777" w:rsidR="00D50069" w:rsidRPr="00D50069" w:rsidRDefault="00D50069" w:rsidP="00D50069">
            <w:pPr>
              <w:bidi/>
              <w:spacing w:line="480" w:lineRule="auto"/>
              <w:jc w:val="center"/>
              <w:rPr>
                <w:position w:val="0"/>
              </w:rPr>
            </w:pPr>
            <w:r w:rsidRPr="00D50069">
              <w:rPr>
                <w:position w:val="0"/>
              </w:rPr>
              <w:t>63 %</w:t>
            </w:r>
          </w:p>
        </w:tc>
      </w:tr>
      <w:tr w:rsidR="00D50069" w:rsidRPr="00D50069" w14:paraId="2DF10B1E" w14:textId="77777777" w:rsidTr="00C141A1">
        <w:trPr>
          <w:trHeight w:val="315"/>
          <w:jc w:val="center"/>
        </w:trPr>
        <w:tc>
          <w:tcPr>
            <w:tcW w:w="2098" w:type="dxa"/>
            <w:noWrap/>
            <w:hideMark/>
          </w:tcPr>
          <w:p w14:paraId="57DD9174" w14:textId="77777777" w:rsidR="00D50069" w:rsidRPr="00D50069" w:rsidRDefault="00D50069" w:rsidP="00D50069">
            <w:pPr>
              <w:spacing w:line="480" w:lineRule="auto"/>
              <w:rPr>
                <w:b/>
                <w:bCs/>
                <w:position w:val="0"/>
              </w:rPr>
            </w:pPr>
            <w:r w:rsidRPr="00D50069">
              <w:rPr>
                <w:b/>
                <w:bCs/>
                <w:position w:val="0"/>
              </w:rPr>
              <w:t>Strongly agree</w:t>
            </w:r>
          </w:p>
        </w:tc>
        <w:tc>
          <w:tcPr>
            <w:tcW w:w="1145" w:type="dxa"/>
            <w:noWrap/>
            <w:hideMark/>
          </w:tcPr>
          <w:p w14:paraId="6A22035A" w14:textId="77777777" w:rsidR="00D50069" w:rsidRPr="00D50069" w:rsidRDefault="00D50069" w:rsidP="00D50069">
            <w:pPr>
              <w:bidi/>
              <w:spacing w:line="480" w:lineRule="auto"/>
              <w:jc w:val="center"/>
              <w:rPr>
                <w:position w:val="0"/>
              </w:rPr>
            </w:pPr>
            <w:r w:rsidRPr="00D50069">
              <w:rPr>
                <w:position w:val="0"/>
              </w:rPr>
              <w:t>8</w:t>
            </w:r>
          </w:p>
        </w:tc>
        <w:tc>
          <w:tcPr>
            <w:tcW w:w="730" w:type="dxa"/>
          </w:tcPr>
          <w:p w14:paraId="35E78955" w14:textId="77777777" w:rsidR="00D50069" w:rsidRPr="00D50069" w:rsidRDefault="00D50069" w:rsidP="00D50069">
            <w:pPr>
              <w:bidi/>
              <w:spacing w:line="480" w:lineRule="auto"/>
              <w:jc w:val="center"/>
              <w:rPr>
                <w:position w:val="0"/>
              </w:rPr>
            </w:pPr>
            <w:r w:rsidRPr="00D50069">
              <w:rPr>
                <w:position w:val="0"/>
              </w:rPr>
              <w:t>17 %</w:t>
            </w:r>
          </w:p>
        </w:tc>
        <w:tc>
          <w:tcPr>
            <w:tcW w:w="1145" w:type="dxa"/>
            <w:noWrap/>
            <w:hideMark/>
          </w:tcPr>
          <w:p w14:paraId="0E8C6277" w14:textId="77777777" w:rsidR="00D50069" w:rsidRPr="00D50069" w:rsidRDefault="00D50069" w:rsidP="00D50069">
            <w:pPr>
              <w:bidi/>
              <w:spacing w:line="480" w:lineRule="auto"/>
              <w:jc w:val="center"/>
              <w:rPr>
                <w:position w:val="0"/>
              </w:rPr>
            </w:pPr>
            <w:r w:rsidRPr="00D50069">
              <w:rPr>
                <w:position w:val="0"/>
              </w:rPr>
              <w:t>10</w:t>
            </w:r>
          </w:p>
        </w:tc>
        <w:tc>
          <w:tcPr>
            <w:tcW w:w="730" w:type="dxa"/>
          </w:tcPr>
          <w:p w14:paraId="3AAA27E0" w14:textId="77777777" w:rsidR="00D50069" w:rsidRPr="00D50069" w:rsidRDefault="00D50069" w:rsidP="00D50069">
            <w:pPr>
              <w:bidi/>
              <w:spacing w:line="480" w:lineRule="auto"/>
              <w:jc w:val="center"/>
              <w:rPr>
                <w:position w:val="0"/>
              </w:rPr>
            </w:pPr>
            <w:r w:rsidRPr="00D50069">
              <w:rPr>
                <w:position w:val="0"/>
              </w:rPr>
              <w:t>20 %</w:t>
            </w:r>
          </w:p>
        </w:tc>
        <w:tc>
          <w:tcPr>
            <w:tcW w:w="1145" w:type="dxa"/>
            <w:noWrap/>
            <w:hideMark/>
          </w:tcPr>
          <w:p w14:paraId="2CC8A281" w14:textId="77777777" w:rsidR="00D50069" w:rsidRPr="00D50069" w:rsidRDefault="00D50069" w:rsidP="00D50069">
            <w:pPr>
              <w:bidi/>
              <w:spacing w:line="480" w:lineRule="auto"/>
              <w:jc w:val="center"/>
              <w:rPr>
                <w:position w:val="0"/>
              </w:rPr>
            </w:pPr>
            <w:r w:rsidRPr="00D50069">
              <w:rPr>
                <w:position w:val="0"/>
              </w:rPr>
              <w:t>11</w:t>
            </w:r>
          </w:p>
        </w:tc>
        <w:tc>
          <w:tcPr>
            <w:tcW w:w="785" w:type="dxa"/>
          </w:tcPr>
          <w:p w14:paraId="280EF872" w14:textId="77777777" w:rsidR="00D50069" w:rsidRPr="00D50069" w:rsidRDefault="00D50069" w:rsidP="00D50069">
            <w:pPr>
              <w:bidi/>
              <w:spacing w:line="480" w:lineRule="auto"/>
              <w:jc w:val="center"/>
              <w:rPr>
                <w:position w:val="0"/>
              </w:rPr>
            </w:pPr>
            <w:r w:rsidRPr="00D50069">
              <w:rPr>
                <w:position w:val="0"/>
              </w:rPr>
              <w:t>23 %</w:t>
            </w:r>
          </w:p>
        </w:tc>
        <w:tc>
          <w:tcPr>
            <w:tcW w:w="1145" w:type="dxa"/>
            <w:noWrap/>
            <w:hideMark/>
          </w:tcPr>
          <w:p w14:paraId="615DEF20" w14:textId="77777777" w:rsidR="00D50069" w:rsidRPr="00D50069" w:rsidRDefault="00D50069" w:rsidP="00D50069">
            <w:pPr>
              <w:bidi/>
              <w:spacing w:line="480" w:lineRule="auto"/>
              <w:jc w:val="center"/>
              <w:rPr>
                <w:position w:val="0"/>
              </w:rPr>
            </w:pPr>
            <w:r w:rsidRPr="00D50069">
              <w:rPr>
                <w:position w:val="0"/>
              </w:rPr>
              <w:t>5</w:t>
            </w:r>
          </w:p>
        </w:tc>
        <w:tc>
          <w:tcPr>
            <w:tcW w:w="982" w:type="dxa"/>
          </w:tcPr>
          <w:p w14:paraId="6BAB83ED" w14:textId="77777777" w:rsidR="00D50069" w:rsidRPr="00D50069" w:rsidRDefault="00D50069" w:rsidP="00D50069">
            <w:pPr>
              <w:bidi/>
              <w:spacing w:line="480" w:lineRule="auto"/>
              <w:jc w:val="center"/>
              <w:rPr>
                <w:position w:val="0"/>
              </w:rPr>
            </w:pPr>
            <w:r w:rsidRPr="00D50069">
              <w:rPr>
                <w:position w:val="0"/>
              </w:rPr>
              <w:t>10 %</w:t>
            </w:r>
          </w:p>
        </w:tc>
      </w:tr>
      <w:tr w:rsidR="00D50069" w:rsidRPr="00D50069" w14:paraId="01EAC5D3" w14:textId="77777777" w:rsidTr="00C141A1">
        <w:trPr>
          <w:trHeight w:val="315"/>
          <w:jc w:val="center"/>
        </w:trPr>
        <w:tc>
          <w:tcPr>
            <w:tcW w:w="2098" w:type="dxa"/>
            <w:noWrap/>
            <w:hideMark/>
          </w:tcPr>
          <w:p w14:paraId="134446A8" w14:textId="77777777" w:rsidR="00D50069" w:rsidRPr="00D50069" w:rsidRDefault="00D50069" w:rsidP="00D50069">
            <w:pPr>
              <w:spacing w:line="480" w:lineRule="auto"/>
              <w:rPr>
                <w:b/>
                <w:bCs/>
                <w:position w:val="0"/>
              </w:rPr>
            </w:pPr>
            <w:r w:rsidRPr="00D50069">
              <w:rPr>
                <w:b/>
                <w:bCs/>
                <w:position w:val="0"/>
              </w:rPr>
              <w:t>Disagree</w:t>
            </w:r>
          </w:p>
        </w:tc>
        <w:tc>
          <w:tcPr>
            <w:tcW w:w="1145" w:type="dxa"/>
            <w:noWrap/>
            <w:hideMark/>
          </w:tcPr>
          <w:p w14:paraId="3D575CD2" w14:textId="77777777" w:rsidR="00D50069" w:rsidRPr="00D50069" w:rsidRDefault="00D50069" w:rsidP="00D50069">
            <w:pPr>
              <w:bidi/>
              <w:spacing w:line="480" w:lineRule="auto"/>
              <w:jc w:val="center"/>
              <w:rPr>
                <w:position w:val="0"/>
              </w:rPr>
            </w:pPr>
            <w:r w:rsidRPr="00D50069">
              <w:rPr>
                <w:position w:val="0"/>
              </w:rPr>
              <w:t>1</w:t>
            </w:r>
          </w:p>
        </w:tc>
        <w:tc>
          <w:tcPr>
            <w:tcW w:w="730" w:type="dxa"/>
          </w:tcPr>
          <w:p w14:paraId="5B90AA32" w14:textId="77777777" w:rsidR="00D50069" w:rsidRPr="00D50069" w:rsidRDefault="00D50069" w:rsidP="00D50069">
            <w:pPr>
              <w:bidi/>
              <w:spacing w:line="480" w:lineRule="auto"/>
              <w:jc w:val="center"/>
              <w:rPr>
                <w:position w:val="0"/>
              </w:rPr>
            </w:pPr>
            <w:r w:rsidRPr="00D50069">
              <w:rPr>
                <w:position w:val="0"/>
              </w:rPr>
              <w:t>2 %</w:t>
            </w:r>
          </w:p>
        </w:tc>
        <w:tc>
          <w:tcPr>
            <w:tcW w:w="1145" w:type="dxa"/>
            <w:noWrap/>
            <w:hideMark/>
          </w:tcPr>
          <w:p w14:paraId="57DE2C0F" w14:textId="77777777" w:rsidR="00D50069" w:rsidRPr="00D50069" w:rsidRDefault="00D50069" w:rsidP="00D50069">
            <w:pPr>
              <w:bidi/>
              <w:spacing w:line="480" w:lineRule="auto"/>
              <w:jc w:val="center"/>
              <w:rPr>
                <w:position w:val="0"/>
              </w:rPr>
            </w:pPr>
            <w:r w:rsidRPr="00D50069">
              <w:rPr>
                <w:position w:val="0"/>
              </w:rPr>
              <w:t>0</w:t>
            </w:r>
          </w:p>
        </w:tc>
        <w:tc>
          <w:tcPr>
            <w:tcW w:w="730" w:type="dxa"/>
          </w:tcPr>
          <w:p w14:paraId="014D2ADF" w14:textId="77777777" w:rsidR="00D50069" w:rsidRPr="00D50069" w:rsidRDefault="00D50069" w:rsidP="00D50069">
            <w:pPr>
              <w:bidi/>
              <w:spacing w:line="480" w:lineRule="auto"/>
              <w:jc w:val="center"/>
              <w:rPr>
                <w:position w:val="0"/>
              </w:rPr>
            </w:pPr>
            <w:r w:rsidRPr="00D50069">
              <w:rPr>
                <w:position w:val="0"/>
              </w:rPr>
              <w:t>0 %</w:t>
            </w:r>
          </w:p>
        </w:tc>
        <w:tc>
          <w:tcPr>
            <w:tcW w:w="1145" w:type="dxa"/>
            <w:noWrap/>
            <w:hideMark/>
          </w:tcPr>
          <w:p w14:paraId="08726450" w14:textId="77777777" w:rsidR="00D50069" w:rsidRPr="00D50069" w:rsidRDefault="00D50069" w:rsidP="00D50069">
            <w:pPr>
              <w:bidi/>
              <w:spacing w:line="480" w:lineRule="auto"/>
              <w:jc w:val="center"/>
              <w:rPr>
                <w:position w:val="0"/>
              </w:rPr>
            </w:pPr>
            <w:r w:rsidRPr="00D50069">
              <w:rPr>
                <w:position w:val="0"/>
              </w:rPr>
              <w:t>1</w:t>
            </w:r>
          </w:p>
        </w:tc>
        <w:tc>
          <w:tcPr>
            <w:tcW w:w="785" w:type="dxa"/>
          </w:tcPr>
          <w:p w14:paraId="277F067D" w14:textId="77777777" w:rsidR="00D50069" w:rsidRPr="00D50069" w:rsidRDefault="00D50069" w:rsidP="00D50069">
            <w:pPr>
              <w:bidi/>
              <w:spacing w:line="480" w:lineRule="auto"/>
              <w:jc w:val="center"/>
              <w:rPr>
                <w:position w:val="0"/>
              </w:rPr>
            </w:pPr>
            <w:r w:rsidRPr="00D50069">
              <w:rPr>
                <w:position w:val="0"/>
              </w:rPr>
              <w:t>2 %</w:t>
            </w:r>
          </w:p>
        </w:tc>
        <w:tc>
          <w:tcPr>
            <w:tcW w:w="1145" w:type="dxa"/>
            <w:noWrap/>
            <w:hideMark/>
          </w:tcPr>
          <w:p w14:paraId="4F28BBF1" w14:textId="77777777" w:rsidR="00D50069" w:rsidRPr="00D50069" w:rsidRDefault="00D50069" w:rsidP="00D50069">
            <w:pPr>
              <w:bidi/>
              <w:spacing w:line="480" w:lineRule="auto"/>
              <w:jc w:val="center"/>
              <w:rPr>
                <w:position w:val="0"/>
              </w:rPr>
            </w:pPr>
            <w:r w:rsidRPr="00D50069">
              <w:rPr>
                <w:position w:val="0"/>
              </w:rPr>
              <w:t>4</w:t>
            </w:r>
          </w:p>
        </w:tc>
        <w:tc>
          <w:tcPr>
            <w:tcW w:w="982" w:type="dxa"/>
          </w:tcPr>
          <w:p w14:paraId="68BEFC87" w14:textId="77777777" w:rsidR="00D50069" w:rsidRPr="00D50069" w:rsidRDefault="00D50069" w:rsidP="00D50069">
            <w:pPr>
              <w:bidi/>
              <w:spacing w:line="480" w:lineRule="auto"/>
              <w:jc w:val="center"/>
              <w:rPr>
                <w:position w:val="0"/>
              </w:rPr>
            </w:pPr>
            <w:r w:rsidRPr="00D50069">
              <w:rPr>
                <w:position w:val="0"/>
              </w:rPr>
              <w:t>8 %</w:t>
            </w:r>
          </w:p>
        </w:tc>
      </w:tr>
      <w:tr w:rsidR="00D50069" w:rsidRPr="00D50069" w14:paraId="727494F3" w14:textId="77777777" w:rsidTr="00C141A1">
        <w:trPr>
          <w:trHeight w:val="315"/>
          <w:jc w:val="center"/>
        </w:trPr>
        <w:tc>
          <w:tcPr>
            <w:tcW w:w="2098" w:type="dxa"/>
            <w:noWrap/>
            <w:hideMark/>
          </w:tcPr>
          <w:p w14:paraId="26B3F005" w14:textId="77777777" w:rsidR="00D50069" w:rsidRPr="00D50069" w:rsidRDefault="00D50069" w:rsidP="00D50069">
            <w:pPr>
              <w:spacing w:line="480" w:lineRule="auto"/>
              <w:rPr>
                <w:b/>
                <w:bCs/>
                <w:position w:val="0"/>
              </w:rPr>
            </w:pPr>
            <w:r w:rsidRPr="00D50069">
              <w:rPr>
                <w:b/>
                <w:bCs/>
                <w:position w:val="0"/>
              </w:rPr>
              <w:t>Strongly disagree</w:t>
            </w:r>
          </w:p>
        </w:tc>
        <w:tc>
          <w:tcPr>
            <w:tcW w:w="1145" w:type="dxa"/>
            <w:noWrap/>
            <w:hideMark/>
          </w:tcPr>
          <w:p w14:paraId="600BA46B" w14:textId="77777777" w:rsidR="00D50069" w:rsidRPr="00D50069" w:rsidRDefault="00D50069" w:rsidP="00D50069">
            <w:pPr>
              <w:bidi/>
              <w:spacing w:line="480" w:lineRule="auto"/>
              <w:jc w:val="center"/>
              <w:rPr>
                <w:position w:val="0"/>
              </w:rPr>
            </w:pPr>
            <w:r w:rsidRPr="00D50069">
              <w:rPr>
                <w:position w:val="0"/>
              </w:rPr>
              <w:t>0</w:t>
            </w:r>
          </w:p>
        </w:tc>
        <w:tc>
          <w:tcPr>
            <w:tcW w:w="730" w:type="dxa"/>
          </w:tcPr>
          <w:p w14:paraId="39AF7AFB" w14:textId="77777777" w:rsidR="00D50069" w:rsidRPr="00D50069" w:rsidRDefault="00D50069" w:rsidP="00D50069">
            <w:pPr>
              <w:bidi/>
              <w:spacing w:line="480" w:lineRule="auto"/>
              <w:jc w:val="center"/>
              <w:rPr>
                <w:position w:val="0"/>
              </w:rPr>
            </w:pPr>
            <w:r w:rsidRPr="00D50069">
              <w:rPr>
                <w:position w:val="0"/>
              </w:rPr>
              <w:t>0 %</w:t>
            </w:r>
          </w:p>
        </w:tc>
        <w:tc>
          <w:tcPr>
            <w:tcW w:w="1145" w:type="dxa"/>
            <w:noWrap/>
            <w:hideMark/>
          </w:tcPr>
          <w:p w14:paraId="1C0DCE6C" w14:textId="77777777" w:rsidR="00D50069" w:rsidRPr="00D50069" w:rsidRDefault="00D50069" w:rsidP="00D50069">
            <w:pPr>
              <w:bidi/>
              <w:spacing w:line="480" w:lineRule="auto"/>
              <w:jc w:val="center"/>
              <w:rPr>
                <w:position w:val="0"/>
              </w:rPr>
            </w:pPr>
            <w:r w:rsidRPr="00D50069">
              <w:rPr>
                <w:position w:val="0"/>
              </w:rPr>
              <w:t>0</w:t>
            </w:r>
          </w:p>
        </w:tc>
        <w:tc>
          <w:tcPr>
            <w:tcW w:w="730" w:type="dxa"/>
          </w:tcPr>
          <w:p w14:paraId="58B4B38A" w14:textId="77777777" w:rsidR="00D50069" w:rsidRPr="00D50069" w:rsidRDefault="00D50069" w:rsidP="00D50069">
            <w:pPr>
              <w:bidi/>
              <w:spacing w:line="480" w:lineRule="auto"/>
              <w:jc w:val="center"/>
              <w:rPr>
                <w:position w:val="0"/>
              </w:rPr>
            </w:pPr>
            <w:r w:rsidRPr="00D50069">
              <w:rPr>
                <w:position w:val="0"/>
              </w:rPr>
              <w:t>0 %</w:t>
            </w:r>
          </w:p>
        </w:tc>
        <w:tc>
          <w:tcPr>
            <w:tcW w:w="1145" w:type="dxa"/>
            <w:noWrap/>
            <w:hideMark/>
          </w:tcPr>
          <w:p w14:paraId="275898B7" w14:textId="77777777" w:rsidR="00D50069" w:rsidRPr="00D50069" w:rsidRDefault="00D50069" w:rsidP="00D50069">
            <w:pPr>
              <w:bidi/>
              <w:spacing w:line="480" w:lineRule="auto"/>
              <w:jc w:val="center"/>
              <w:rPr>
                <w:position w:val="0"/>
              </w:rPr>
            </w:pPr>
            <w:r w:rsidRPr="00D50069">
              <w:rPr>
                <w:position w:val="0"/>
              </w:rPr>
              <w:t>0</w:t>
            </w:r>
          </w:p>
        </w:tc>
        <w:tc>
          <w:tcPr>
            <w:tcW w:w="785" w:type="dxa"/>
          </w:tcPr>
          <w:p w14:paraId="0CE76752" w14:textId="77777777" w:rsidR="00D50069" w:rsidRPr="00D50069" w:rsidRDefault="00D50069" w:rsidP="00D50069">
            <w:pPr>
              <w:bidi/>
              <w:spacing w:line="480" w:lineRule="auto"/>
              <w:jc w:val="center"/>
              <w:rPr>
                <w:position w:val="0"/>
              </w:rPr>
            </w:pPr>
            <w:r w:rsidRPr="00D50069">
              <w:rPr>
                <w:position w:val="0"/>
              </w:rPr>
              <w:t>0 %</w:t>
            </w:r>
          </w:p>
        </w:tc>
        <w:tc>
          <w:tcPr>
            <w:tcW w:w="1145" w:type="dxa"/>
            <w:noWrap/>
            <w:hideMark/>
          </w:tcPr>
          <w:p w14:paraId="2473692A" w14:textId="77777777" w:rsidR="00D50069" w:rsidRPr="00D50069" w:rsidRDefault="00D50069" w:rsidP="00D50069">
            <w:pPr>
              <w:bidi/>
              <w:spacing w:line="480" w:lineRule="auto"/>
              <w:jc w:val="center"/>
              <w:rPr>
                <w:position w:val="0"/>
              </w:rPr>
            </w:pPr>
            <w:r w:rsidRPr="00D50069">
              <w:rPr>
                <w:position w:val="0"/>
              </w:rPr>
              <w:t>0</w:t>
            </w:r>
          </w:p>
        </w:tc>
        <w:tc>
          <w:tcPr>
            <w:tcW w:w="982" w:type="dxa"/>
          </w:tcPr>
          <w:p w14:paraId="7A9648D2" w14:textId="77777777" w:rsidR="00D50069" w:rsidRPr="00D50069" w:rsidRDefault="00D50069" w:rsidP="00D50069">
            <w:pPr>
              <w:bidi/>
              <w:spacing w:line="480" w:lineRule="auto"/>
              <w:jc w:val="center"/>
              <w:rPr>
                <w:position w:val="0"/>
              </w:rPr>
            </w:pPr>
            <w:r w:rsidRPr="00D50069">
              <w:rPr>
                <w:position w:val="0"/>
              </w:rPr>
              <w:t>0 %</w:t>
            </w:r>
          </w:p>
        </w:tc>
      </w:tr>
      <w:tr w:rsidR="00D50069" w:rsidRPr="00D50069" w14:paraId="589E2D2C" w14:textId="77777777" w:rsidTr="00C141A1">
        <w:trPr>
          <w:trHeight w:val="315"/>
          <w:jc w:val="center"/>
        </w:trPr>
        <w:tc>
          <w:tcPr>
            <w:tcW w:w="2098" w:type="dxa"/>
            <w:noWrap/>
            <w:hideMark/>
          </w:tcPr>
          <w:p w14:paraId="7D83276F" w14:textId="77777777" w:rsidR="00D50069" w:rsidRPr="00D50069" w:rsidRDefault="00D50069" w:rsidP="00D50069">
            <w:pPr>
              <w:spacing w:line="480" w:lineRule="auto"/>
              <w:rPr>
                <w:b/>
                <w:bCs/>
                <w:position w:val="0"/>
              </w:rPr>
            </w:pPr>
            <w:r w:rsidRPr="00D50069">
              <w:rPr>
                <w:b/>
                <w:bCs/>
                <w:position w:val="0"/>
              </w:rPr>
              <w:t>Neutral</w:t>
            </w:r>
          </w:p>
        </w:tc>
        <w:tc>
          <w:tcPr>
            <w:tcW w:w="1145" w:type="dxa"/>
            <w:noWrap/>
            <w:hideMark/>
          </w:tcPr>
          <w:p w14:paraId="2B8CC297" w14:textId="77777777" w:rsidR="00D50069" w:rsidRPr="00D50069" w:rsidRDefault="00D50069" w:rsidP="00D50069">
            <w:pPr>
              <w:bidi/>
              <w:spacing w:line="480" w:lineRule="auto"/>
              <w:jc w:val="center"/>
              <w:rPr>
                <w:position w:val="0"/>
              </w:rPr>
            </w:pPr>
            <w:r w:rsidRPr="00D50069">
              <w:rPr>
                <w:position w:val="0"/>
              </w:rPr>
              <w:t>6</w:t>
            </w:r>
          </w:p>
        </w:tc>
        <w:tc>
          <w:tcPr>
            <w:tcW w:w="730" w:type="dxa"/>
          </w:tcPr>
          <w:p w14:paraId="5211D8AC" w14:textId="77777777" w:rsidR="00D50069" w:rsidRPr="00D50069" w:rsidRDefault="00D50069" w:rsidP="00D50069">
            <w:pPr>
              <w:bidi/>
              <w:spacing w:line="480" w:lineRule="auto"/>
              <w:jc w:val="center"/>
              <w:rPr>
                <w:position w:val="0"/>
              </w:rPr>
            </w:pPr>
            <w:r w:rsidRPr="00D50069">
              <w:rPr>
                <w:position w:val="0"/>
              </w:rPr>
              <w:t>13 %</w:t>
            </w:r>
          </w:p>
        </w:tc>
        <w:tc>
          <w:tcPr>
            <w:tcW w:w="1145" w:type="dxa"/>
            <w:noWrap/>
            <w:hideMark/>
          </w:tcPr>
          <w:p w14:paraId="11B212B5" w14:textId="77777777" w:rsidR="00D50069" w:rsidRPr="00D50069" w:rsidRDefault="00D50069" w:rsidP="00D50069">
            <w:pPr>
              <w:bidi/>
              <w:spacing w:line="480" w:lineRule="auto"/>
              <w:jc w:val="center"/>
              <w:rPr>
                <w:position w:val="0"/>
              </w:rPr>
            </w:pPr>
            <w:r w:rsidRPr="00D50069">
              <w:rPr>
                <w:position w:val="0"/>
              </w:rPr>
              <w:t>3</w:t>
            </w:r>
          </w:p>
        </w:tc>
        <w:tc>
          <w:tcPr>
            <w:tcW w:w="730" w:type="dxa"/>
          </w:tcPr>
          <w:p w14:paraId="77846385" w14:textId="77777777" w:rsidR="00D50069" w:rsidRPr="00D50069" w:rsidRDefault="00D50069" w:rsidP="00D50069">
            <w:pPr>
              <w:bidi/>
              <w:spacing w:line="480" w:lineRule="auto"/>
              <w:jc w:val="center"/>
              <w:rPr>
                <w:position w:val="0"/>
              </w:rPr>
            </w:pPr>
            <w:r w:rsidRPr="00D50069">
              <w:rPr>
                <w:position w:val="0"/>
              </w:rPr>
              <w:t>6 %</w:t>
            </w:r>
          </w:p>
        </w:tc>
        <w:tc>
          <w:tcPr>
            <w:tcW w:w="1145" w:type="dxa"/>
            <w:noWrap/>
            <w:hideMark/>
          </w:tcPr>
          <w:p w14:paraId="2CEAE73E" w14:textId="77777777" w:rsidR="00D50069" w:rsidRPr="00D50069" w:rsidRDefault="00D50069" w:rsidP="00D50069">
            <w:pPr>
              <w:bidi/>
              <w:spacing w:line="480" w:lineRule="auto"/>
              <w:jc w:val="center"/>
              <w:rPr>
                <w:position w:val="0"/>
              </w:rPr>
            </w:pPr>
            <w:r w:rsidRPr="00D50069">
              <w:rPr>
                <w:position w:val="0"/>
              </w:rPr>
              <w:t>5</w:t>
            </w:r>
          </w:p>
        </w:tc>
        <w:tc>
          <w:tcPr>
            <w:tcW w:w="785" w:type="dxa"/>
          </w:tcPr>
          <w:p w14:paraId="4AB60E2A" w14:textId="77777777" w:rsidR="00D50069" w:rsidRPr="00D50069" w:rsidRDefault="00D50069" w:rsidP="00D50069">
            <w:pPr>
              <w:bidi/>
              <w:spacing w:line="480" w:lineRule="auto"/>
              <w:jc w:val="center"/>
              <w:rPr>
                <w:position w:val="0"/>
              </w:rPr>
            </w:pPr>
            <w:r w:rsidRPr="00D50069">
              <w:rPr>
                <w:position w:val="0"/>
              </w:rPr>
              <w:t>10 %</w:t>
            </w:r>
          </w:p>
        </w:tc>
        <w:tc>
          <w:tcPr>
            <w:tcW w:w="1145" w:type="dxa"/>
            <w:noWrap/>
            <w:hideMark/>
          </w:tcPr>
          <w:p w14:paraId="454A3687" w14:textId="77777777" w:rsidR="00D50069" w:rsidRPr="00D50069" w:rsidRDefault="00D50069" w:rsidP="00D50069">
            <w:pPr>
              <w:bidi/>
              <w:spacing w:line="480" w:lineRule="auto"/>
              <w:jc w:val="center"/>
              <w:rPr>
                <w:position w:val="0"/>
              </w:rPr>
            </w:pPr>
            <w:r w:rsidRPr="00D50069">
              <w:rPr>
                <w:position w:val="0"/>
              </w:rPr>
              <w:t>9</w:t>
            </w:r>
          </w:p>
        </w:tc>
        <w:tc>
          <w:tcPr>
            <w:tcW w:w="982" w:type="dxa"/>
          </w:tcPr>
          <w:p w14:paraId="4B1AA7A4" w14:textId="77777777" w:rsidR="00D50069" w:rsidRPr="00D50069" w:rsidRDefault="00D50069" w:rsidP="00D50069">
            <w:pPr>
              <w:bidi/>
              <w:spacing w:line="480" w:lineRule="auto"/>
              <w:jc w:val="center"/>
              <w:rPr>
                <w:position w:val="0"/>
              </w:rPr>
            </w:pPr>
            <w:r w:rsidRPr="00D50069">
              <w:rPr>
                <w:position w:val="0"/>
              </w:rPr>
              <w:t>19 %</w:t>
            </w:r>
          </w:p>
        </w:tc>
      </w:tr>
      <w:tr w:rsidR="00D50069" w:rsidRPr="00D50069" w14:paraId="2DC02E6D" w14:textId="77777777" w:rsidTr="00C141A1">
        <w:trPr>
          <w:trHeight w:val="315"/>
          <w:jc w:val="center"/>
        </w:trPr>
        <w:tc>
          <w:tcPr>
            <w:tcW w:w="2098" w:type="dxa"/>
            <w:noWrap/>
            <w:hideMark/>
          </w:tcPr>
          <w:p w14:paraId="4737CEB8" w14:textId="77777777" w:rsidR="00D50069" w:rsidRPr="00D50069" w:rsidRDefault="00D50069" w:rsidP="00D50069">
            <w:pPr>
              <w:spacing w:line="480" w:lineRule="auto"/>
              <w:rPr>
                <w:b/>
                <w:bCs/>
                <w:position w:val="0"/>
              </w:rPr>
            </w:pPr>
            <w:r w:rsidRPr="00D50069">
              <w:rPr>
                <w:b/>
                <w:bCs/>
                <w:position w:val="0"/>
              </w:rPr>
              <w:t>Total</w:t>
            </w:r>
          </w:p>
        </w:tc>
        <w:tc>
          <w:tcPr>
            <w:tcW w:w="1145" w:type="dxa"/>
            <w:noWrap/>
            <w:hideMark/>
          </w:tcPr>
          <w:p w14:paraId="43024B99" w14:textId="77777777" w:rsidR="00D50069" w:rsidRPr="00D50069" w:rsidRDefault="00D50069" w:rsidP="00D50069">
            <w:pPr>
              <w:bidi/>
              <w:spacing w:line="480" w:lineRule="auto"/>
              <w:jc w:val="center"/>
              <w:rPr>
                <w:position w:val="0"/>
              </w:rPr>
            </w:pPr>
            <w:r w:rsidRPr="00D50069">
              <w:rPr>
                <w:position w:val="0"/>
              </w:rPr>
              <w:t>47</w:t>
            </w:r>
          </w:p>
        </w:tc>
        <w:tc>
          <w:tcPr>
            <w:tcW w:w="730" w:type="dxa"/>
          </w:tcPr>
          <w:p w14:paraId="4A1B15DB" w14:textId="77777777" w:rsidR="00D50069" w:rsidRPr="00D50069" w:rsidRDefault="00D50069" w:rsidP="00D50069">
            <w:pPr>
              <w:bidi/>
              <w:spacing w:line="480" w:lineRule="auto"/>
              <w:jc w:val="center"/>
              <w:rPr>
                <w:position w:val="0"/>
              </w:rPr>
            </w:pPr>
            <w:r w:rsidRPr="00D50069">
              <w:rPr>
                <w:position w:val="0"/>
              </w:rPr>
              <w:t>100%</w:t>
            </w:r>
          </w:p>
        </w:tc>
        <w:tc>
          <w:tcPr>
            <w:tcW w:w="1145" w:type="dxa"/>
            <w:noWrap/>
            <w:hideMark/>
          </w:tcPr>
          <w:p w14:paraId="0C225445" w14:textId="77777777" w:rsidR="00D50069" w:rsidRPr="00D50069" w:rsidRDefault="00D50069" w:rsidP="00D50069">
            <w:pPr>
              <w:bidi/>
              <w:spacing w:line="480" w:lineRule="auto"/>
              <w:jc w:val="center"/>
              <w:rPr>
                <w:position w:val="0"/>
              </w:rPr>
            </w:pPr>
            <w:r w:rsidRPr="00D50069">
              <w:rPr>
                <w:position w:val="0"/>
              </w:rPr>
              <w:t>49</w:t>
            </w:r>
          </w:p>
        </w:tc>
        <w:tc>
          <w:tcPr>
            <w:tcW w:w="730" w:type="dxa"/>
          </w:tcPr>
          <w:p w14:paraId="1C078926" w14:textId="77777777" w:rsidR="00D50069" w:rsidRPr="00D50069" w:rsidRDefault="00D50069" w:rsidP="00D50069">
            <w:pPr>
              <w:bidi/>
              <w:spacing w:line="480" w:lineRule="auto"/>
              <w:jc w:val="center"/>
              <w:rPr>
                <w:position w:val="0"/>
              </w:rPr>
            </w:pPr>
            <w:r w:rsidRPr="00D50069">
              <w:rPr>
                <w:position w:val="0"/>
              </w:rPr>
              <w:t>100%</w:t>
            </w:r>
          </w:p>
        </w:tc>
        <w:tc>
          <w:tcPr>
            <w:tcW w:w="1145" w:type="dxa"/>
            <w:noWrap/>
            <w:hideMark/>
          </w:tcPr>
          <w:p w14:paraId="6825457A" w14:textId="77777777" w:rsidR="00D50069" w:rsidRPr="00D50069" w:rsidRDefault="00D50069" w:rsidP="00D50069">
            <w:pPr>
              <w:bidi/>
              <w:spacing w:line="480" w:lineRule="auto"/>
              <w:jc w:val="center"/>
              <w:rPr>
                <w:position w:val="0"/>
              </w:rPr>
            </w:pPr>
            <w:r w:rsidRPr="00D50069">
              <w:rPr>
                <w:position w:val="0"/>
              </w:rPr>
              <w:t>48</w:t>
            </w:r>
          </w:p>
        </w:tc>
        <w:tc>
          <w:tcPr>
            <w:tcW w:w="785" w:type="dxa"/>
          </w:tcPr>
          <w:p w14:paraId="78E74EE1" w14:textId="77777777" w:rsidR="00D50069" w:rsidRPr="00D50069" w:rsidRDefault="00D50069" w:rsidP="00D50069">
            <w:pPr>
              <w:bidi/>
              <w:spacing w:line="480" w:lineRule="auto"/>
              <w:jc w:val="center"/>
              <w:rPr>
                <w:position w:val="0"/>
              </w:rPr>
            </w:pPr>
            <w:r w:rsidRPr="00D50069">
              <w:rPr>
                <w:position w:val="0"/>
              </w:rPr>
              <w:t>100%</w:t>
            </w:r>
          </w:p>
        </w:tc>
        <w:tc>
          <w:tcPr>
            <w:tcW w:w="1145" w:type="dxa"/>
            <w:noWrap/>
            <w:hideMark/>
          </w:tcPr>
          <w:p w14:paraId="5CCA0DB7" w14:textId="77777777" w:rsidR="00D50069" w:rsidRPr="00D50069" w:rsidRDefault="00D50069" w:rsidP="00D50069">
            <w:pPr>
              <w:bidi/>
              <w:spacing w:line="480" w:lineRule="auto"/>
              <w:jc w:val="center"/>
              <w:rPr>
                <w:position w:val="0"/>
              </w:rPr>
            </w:pPr>
            <w:r w:rsidRPr="00D50069">
              <w:rPr>
                <w:position w:val="0"/>
              </w:rPr>
              <w:t>48</w:t>
            </w:r>
          </w:p>
        </w:tc>
        <w:tc>
          <w:tcPr>
            <w:tcW w:w="982" w:type="dxa"/>
          </w:tcPr>
          <w:p w14:paraId="4E7D089C" w14:textId="77777777" w:rsidR="00D50069" w:rsidRPr="00D50069" w:rsidRDefault="00D50069" w:rsidP="00D50069">
            <w:pPr>
              <w:bidi/>
              <w:spacing w:line="480" w:lineRule="auto"/>
              <w:jc w:val="center"/>
              <w:rPr>
                <w:position w:val="0"/>
              </w:rPr>
            </w:pPr>
            <w:r w:rsidRPr="00D50069">
              <w:rPr>
                <w:position w:val="0"/>
              </w:rPr>
              <w:t>100%</w:t>
            </w:r>
          </w:p>
        </w:tc>
      </w:tr>
    </w:tbl>
    <w:p w14:paraId="4FBB0F72" w14:textId="77777777" w:rsidR="000550CA" w:rsidRDefault="000550CA" w:rsidP="000550CA">
      <w:pPr>
        <w:spacing w:after="160" w:line="480" w:lineRule="auto"/>
        <w:ind w:firstLine="567"/>
        <w:jc w:val="both"/>
        <w:rPr>
          <w:rFonts w:eastAsia="Calibri"/>
          <w:kern w:val="2"/>
          <w:position w:val="0"/>
          <w14:ligatures w14:val="standardContextual"/>
        </w:rPr>
      </w:pPr>
    </w:p>
    <w:p w14:paraId="78431065" w14:textId="1F20FDF3" w:rsidR="00D50069" w:rsidRPr="00D50069" w:rsidRDefault="004D0EDB" w:rsidP="000550CA">
      <w:pPr>
        <w:spacing w:after="160" w:line="480" w:lineRule="auto"/>
        <w:ind w:firstLine="567"/>
        <w:jc w:val="both"/>
        <w:rPr>
          <w:rFonts w:eastAsia="Calibri"/>
          <w:kern w:val="2"/>
          <w:position w:val="0"/>
          <w14:ligatures w14:val="standardContextual"/>
        </w:rPr>
      </w:pPr>
      <w:r>
        <w:rPr>
          <w:rFonts w:eastAsia="Calibri"/>
          <w:kern w:val="2"/>
          <w:position w:val="0"/>
          <w14:ligatures w14:val="standardContextual"/>
        </w:rPr>
        <w:t xml:space="preserve"> </w:t>
      </w:r>
      <w:r w:rsidR="00D50069" w:rsidRPr="00D50069">
        <w:rPr>
          <w:rFonts w:eastAsia="Calibri"/>
          <w:kern w:val="2"/>
          <w:position w:val="0"/>
          <w14:ligatures w14:val="standardContextual"/>
        </w:rPr>
        <w:t xml:space="preserve">The statistical results in </w:t>
      </w:r>
      <w:r w:rsidR="00D50069" w:rsidRPr="00D50069">
        <w:rPr>
          <w:rFonts w:eastAsia="Calibri"/>
          <w:b/>
          <w:bCs/>
          <w:kern w:val="2"/>
          <w:position w:val="0"/>
          <w14:ligatures w14:val="standardContextual"/>
        </w:rPr>
        <w:t>Table 1</w:t>
      </w:r>
      <w:r w:rsidR="00557685">
        <w:rPr>
          <w:rFonts w:eastAsia="Calibri"/>
          <w:b/>
          <w:bCs/>
          <w:kern w:val="2"/>
          <w:position w:val="0"/>
          <w14:ligatures w14:val="standardContextual"/>
        </w:rPr>
        <w:t>5</w:t>
      </w:r>
      <w:r w:rsidR="00D50069" w:rsidRPr="00D50069">
        <w:rPr>
          <w:rFonts w:eastAsia="Calibri"/>
          <w:kern w:val="2"/>
          <w:position w:val="0"/>
          <w14:ligatures w14:val="standardContextual"/>
        </w:rPr>
        <w:t xml:space="preserve"> and </w:t>
      </w:r>
      <w:r w:rsidR="00D50069" w:rsidRPr="00D50069">
        <w:rPr>
          <w:rFonts w:eastAsia="Calibri"/>
          <w:b/>
          <w:bCs/>
          <w:kern w:val="2"/>
          <w:position w:val="0"/>
          <w14:ligatures w14:val="standardContextual"/>
        </w:rPr>
        <w:t>Graph 15</w:t>
      </w:r>
      <w:r w:rsidR="00D50069" w:rsidRPr="00D50069">
        <w:rPr>
          <w:rFonts w:eastAsia="Calibri"/>
          <w:kern w:val="2"/>
          <w:position w:val="0"/>
          <w14:ligatures w14:val="standardContextual"/>
        </w:rPr>
        <w:t xml:space="preserve"> indicate that participants generally found OTCs a valuable means for fostering collaboration and reflective practice. The mean </w:t>
      </w:r>
      <w:r w:rsidR="00D50069" w:rsidRPr="00D50069">
        <w:rPr>
          <w:rFonts w:eastAsia="Calibri"/>
          <w:kern w:val="2"/>
          <w:position w:val="0"/>
          <w14:ligatures w14:val="standardContextual"/>
        </w:rPr>
        <w:lastRenderedPageBreak/>
        <w:t xml:space="preserve">score for the four related questions ranged from 3.65 to 3.94, indicating positive perceptions regarding the significant relationship between feedback, reflective practice and summative assessment. The median and the mode for all questions were consistently </w:t>
      </w:r>
      <w:proofErr w:type="gramStart"/>
      <w:r w:rsidR="00D50069" w:rsidRPr="00D50069">
        <w:rPr>
          <w:rFonts w:eastAsia="Calibri"/>
          <w:kern w:val="2"/>
          <w:position w:val="0"/>
          <w14:ligatures w14:val="standardContextual"/>
        </w:rPr>
        <w:t>4</w:t>
      </w:r>
      <w:proofErr w:type="gramEnd"/>
      <w:r w:rsidR="00D50069" w:rsidRPr="00D50069">
        <w:rPr>
          <w:rFonts w:eastAsia="Calibri"/>
          <w:kern w:val="2"/>
          <w:position w:val="0"/>
          <w14:ligatures w14:val="standardContextual"/>
        </w:rPr>
        <w:t xml:space="preserve">, confirming internal concordance in the results.  Further, it is evident that the most common response expressed agreement. The standard deviation 0.43, 0.24, 0.41, and 0.64 reflect a low variability in the participants answers. This denotes a limited dispersion of the data set, all centered </w:t>
      </w:r>
      <w:proofErr w:type="gramStart"/>
      <w:r w:rsidR="00D50069" w:rsidRPr="00D50069">
        <w:rPr>
          <w:rFonts w:eastAsia="Calibri"/>
          <w:kern w:val="2"/>
          <w:position w:val="0"/>
          <w14:ligatures w14:val="standardContextual"/>
        </w:rPr>
        <w:t>around</w:t>
      </w:r>
      <w:proofErr w:type="gramEnd"/>
      <w:r w:rsidR="00D50069" w:rsidRPr="00D50069">
        <w:rPr>
          <w:rFonts w:eastAsia="Calibri"/>
          <w:kern w:val="2"/>
          <w:position w:val="0"/>
          <w14:ligatures w14:val="standardContextual"/>
        </w:rPr>
        <w:t xml:space="preserve"> the average. </w:t>
      </w:r>
      <w:proofErr w:type="gramStart"/>
      <w:r w:rsidR="00D50069" w:rsidRPr="00D50069">
        <w:rPr>
          <w:rFonts w:eastAsia="Calibri"/>
          <w:kern w:val="2"/>
          <w:position w:val="0"/>
          <w14:ligatures w14:val="standardContextual"/>
        </w:rPr>
        <w:t>All in all</w:t>
      </w:r>
      <w:proofErr w:type="gramEnd"/>
      <w:r w:rsidR="00D50069" w:rsidRPr="00D50069">
        <w:rPr>
          <w:rFonts w:eastAsia="Calibri"/>
          <w:kern w:val="2"/>
          <w:position w:val="0"/>
          <w14:ligatures w14:val="standardContextual"/>
        </w:rPr>
        <w:t>, the findings display a cohesive response pattern regarding online collaborative, constructive, reflective and evaluative nature.</w:t>
      </w:r>
    </w:p>
    <w:p w14:paraId="4A9052BA" w14:textId="1DCF6BEB" w:rsidR="000550CA" w:rsidRDefault="00D50069" w:rsidP="000550CA">
      <w:pPr>
        <w:keepNext/>
        <w:spacing w:after="200" w:line="276" w:lineRule="auto"/>
        <w:rPr>
          <w:rFonts w:eastAsia="Calibri"/>
          <w:i/>
          <w:iCs/>
          <w:kern w:val="2"/>
          <w:position w:val="0"/>
          <w14:ligatures w14:val="standardContextual"/>
        </w:rPr>
      </w:pPr>
      <w:bookmarkStart w:id="242" w:name="_Toc199832009"/>
      <w:bookmarkStart w:id="243" w:name="_Toc199832378"/>
      <w:bookmarkStart w:id="244" w:name="_Toc200446663"/>
      <w:r w:rsidRPr="00D50069">
        <w:rPr>
          <w:rFonts w:eastAsia="Calibri"/>
          <w:b/>
          <w:bCs/>
          <w:kern w:val="2"/>
          <w:position w:val="0"/>
          <w14:ligatures w14:val="standardContextual"/>
        </w:rPr>
        <w:t xml:space="preserve">Table </w:t>
      </w:r>
      <w:r w:rsidR="00274F6F" w:rsidRPr="00557685">
        <w:rPr>
          <w:rFonts w:eastAsia="Calibri"/>
          <w:b/>
          <w:bCs/>
          <w:kern w:val="2"/>
          <w:position w:val="0"/>
          <w14:ligatures w14:val="standardContextual"/>
        </w:rPr>
        <w:fldChar w:fldCharType="begin"/>
      </w:r>
      <w:r w:rsidR="00274F6F" w:rsidRPr="00557685">
        <w:rPr>
          <w:rFonts w:eastAsia="Calibri"/>
          <w:b/>
          <w:bCs/>
          <w:kern w:val="2"/>
          <w:position w:val="0"/>
          <w14:ligatures w14:val="standardContextual"/>
        </w:rPr>
        <w:instrText xml:space="preserve"> SEQ Table \* ARABIC </w:instrText>
      </w:r>
      <w:r w:rsidR="00274F6F" w:rsidRPr="00557685">
        <w:rPr>
          <w:rFonts w:eastAsia="Calibri"/>
          <w:b/>
          <w:bCs/>
          <w:kern w:val="2"/>
          <w:position w:val="0"/>
          <w14:ligatures w14:val="standardContextual"/>
        </w:rPr>
        <w:fldChar w:fldCharType="separate"/>
      </w:r>
      <w:r w:rsidR="00DC3231">
        <w:rPr>
          <w:rFonts w:eastAsia="Calibri"/>
          <w:b/>
          <w:bCs/>
          <w:noProof/>
          <w:kern w:val="2"/>
          <w:position w:val="0"/>
          <w14:ligatures w14:val="standardContextual"/>
        </w:rPr>
        <w:t>15</w:t>
      </w:r>
      <w:r w:rsidR="00274F6F" w:rsidRPr="00557685">
        <w:rPr>
          <w:rFonts w:eastAsia="Calibri"/>
          <w:b/>
          <w:bCs/>
          <w:kern w:val="2"/>
          <w:position w:val="0"/>
          <w14:ligatures w14:val="standardContextual"/>
        </w:rPr>
        <w:fldChar w:fldCharType="end"/>
      </w:r>
      <w:r w:rsidRPr="00D50069">
        <w:rPr>
          <w:rFonts w:eastAsia="Calibri"/>
          <w:i/>
          <w:iCs/>
          <w:kern w:val="2"/>
          <w:position w:val="0"/>
          <w14:ligatures w14:val="standardContextual"/>
        </w:rPr>
        <w:t xml:space="preserve"> </w:t>
      </w:r>
    </w:p>
    <w:p w14:paraId="3FD8F451" w14:textId="564C5CC8" w:rsidR="00D50069" w:rsidRDefault="00D50069" w:rsidP="000550CA">
      <w:pPr>
        <w:keepNext/>
        <w:spacing w:after="200" w:line="276" w:lineRule="auto"/>
        <w:rPr>
          <w:rFonts w:eastAsia="Calibri"/>
          <w:kern w:val="2"/>
          <w:position w:val="0"/>
          <w14:ligatures w14:val="standardContextual"/>
        </w:rPr>
      </w:pPr>
      <w:r w:rsidRPr="000550CA">
        <w:rPr>
          <w:rFonts w:eastAsia="Calibri"/>
          <w:kern w:val="2"/>
          <w:position w:val="0"/>
          <w14:ligatures w14:val="standardContextual"/>
        </w:rPr>
        <w:t>Likert Scale 03 Descriptive Statistics Summary</w:t>
      </w:r>
      <w:bookmarkEnd w:id="242"/>
      <w:bookmarkEnd w:id="243"/>
      <w:bookmarkEnd w:id="244"/>
    </w:p>
    <w:p w14:paraId="0F15D896" w14:textId="77777777" w:rsidR="000550CA" w:rsidRPr="000550CA" w:rsidRDefault="000550CA" w:rsidP="000550CA">
      <w:pPr>
        <w:keepNext/>
        <w:spacing w:after="200" w:line="276" w:lineRule="auto"/>
        <w:rPr>
          <w:rFonts w:eastAsia="Calibri"/>
          <w:kern w:val="2"/>
          <w:position w:val="0"/>
          <w14:ligatures w14:val="standardContextual"/>
        </w:rPr>
      </w:pPr>
    </w:p>
    <w:tbl>
      <w:tblPr>
        <w:tblW w:w="8775" w:type="dxa"/>
        <w:tblLook w:val="04A0" w:firstRow="1" w:lastRow="0" w:firstColumn="1" w:lastColumn="0" w:noHBand="0" w:noVBand="1"/>
      </w:tblPr>
      <w:tblGrid>
        <w:gridCol w:w="2586"/>
        <w:gridCol w:w="1501"/>
        <w:gridCol w:w="1604"/>
        <w:gridCol w:w="1563"/>
        <w:gridCol w:w="1521"/>
      </w:tblGrid>
      <w:tr w:rsidR="00D50069" w:rsidRPr="00D50069" w14:paraId="26002705" w14:textId="77777777" w:rsidTr="000550CA">
        <w:trPr>
          <w:trHeight w:val="362"/>
        </w:trPr>
        <w:tc>
          <w:tcPr>
            <w:tcW w:w="2586" w:type="dxa"/>
            <w:tcBorders>
              <w:top w:val="single" w:sz="8" w:space="0" w:color="auto"/>
              <w:left w:val="nil"/>
              <w:bottom w:val="single" w:sz="8" w:space="0" w:color="auto"/>
              <w:right w:val="nil"/>
            </w:tcBorders>
            <w:shd w:val="clear" w:color="auto" w:fill="auto"/>
            <w:noWrap/>
            <w:vAlign w:val="center"/>
            <w:hideMark/>
          </w:tcPr>
          <w:p w14:paraId="0121AA8F" w14:textId="77777777" w:rsidR="00D50069" w:rsidRPr="00D50069" w:rsidRDefault="00D50069" w:rsidP="000550CA">
            <w:pPr>
              <w:spacing w:line="360" w:lineRule="auto"/>
              <w:rPr>
                <w:b/>
                <w:bCs/>
                <w:color w:val="000000"/>
                <w:position w:val="0"/>
              </w:rPr>
            </w:pPr>
            <w:r w:rsidRPr="00D50069">
              <w:rPr>
                <w:b/>
                <w:bCs/>
                <w:color w:val="000000"/>
                <w:position w:val="0"/>
              </w:rPr>
              <w:t>Central Tendency Values</w:t>
            </w:r>
          </w:p>
        </w:tc>
        <w:tc>
          <w:tcPr>
            <w:tcW w:w="1501" w:type="dxa"/>
            <w:tcBorders>
              <w:top w:val="single" w:sz="8" w:space="0" w:color="auto"/>
              <w:left w:val="nil"/>
              <w:bottom w:val="single" w:sz="8" w:space="0" w:color="auto"/>
              <w:right w:val="nil"/>
            </w:tcBorders>
            <w:shd w:val="clear" w:color="auto" w:fill="auto"/>
            <w:noWrap/>
            <w:vAlign w:val="center"/>
            <w:hideMark/>
          </w:tcPr>
          <w:p w14:paraId="0398EF58" w14:textId="2B1B8CC1" w:rsidR="00D50069" w:rsidRPr="00D50069" w:rsidRDefault="00D50069" w:rsidP="00D50069">
            <w:pPr>
              <w:spacing w:line="360" w:lineRule="auto"/>
              <w:jc w:val="center"/>
              <w:rPr>
                <w:b/>
                <w:bCs/>
                <w:color w:val="000000"/>
                <w:position w:val="0"/>
              </w:rPr>
            </w:pPr>
            <w:r w:rsidRPr="00D50069">
              <w:rPr>
                <w:b/>
                <w:bCs/>
                <w:color w:val="000000"/>
                <w:position w:val="0"/>
              </w:rPr>
              <w:t>Q</w:t>
            </w:r>
            <w:r w:rsidR="000550CA">
              <w:rPr>
                <w:b/>
                <w:bCs/>
                <w:color w:val="000000"/>
                <w:position w:val="0"/>
              </w:rPr>
              <w:t xml:space="preserve"> </w:t>
            </w:r>
            <w:r w:rsidRPr="00D50069">
              <w:rPr>
                <w:b/>
                <w:bCs/>
                <w:color w:val="000000"/>
                <w:position w:val="0"/>
              </w:rPr>
              <w:t>1</w:t>
            </w:r>
          </w:p>
        </w:tc>
        <w:tc>
          <w:tcPr>
            <w:tcW w:w="1604" w:type="dxa"/>
            <w:tcBorders>
              <w:top w:val="single" w:sz="8" w:space="0" w:color="auto"/>
              <w:left w:val="nil"/>
              <w:bottom w:val="single" w:sz="8" w:space="0" w:color="auto"/>
              <w:right w:val="nil"/>
            </w:tcBorders>
            <w:shd w:val="clear" w:color="auto" w:fill="auto"/>
            <w:noWrap/>
            <w:vAlign w:val="center"/>
            <w:hideMark/>
          </w:tcPr>
          <w:p w14:paraId="1D22A9B6" w14:textId="2D97B2A1" w:rsidR="00D50069" w:rsidRPr="00D50069" w:rsidRDefault="00D50069" w:rsidP="00D50069">
            <w:pPr>
              <w:spacing w:line="360" w:lineRule="auto"/>
              <w:jc w:val="center"/>
              <w:rPr>
                <w:b/>
                <w:bCs/>
                <w:color w:val="000000"/>
                <w:position w:val="0"/>
              </w:rPr>
            </w:pPr>
            <w:r w:rsidRPr="00D50069">
              <w:rPr>
                <w:b/>
                <w:bCs/>
                <w:color w:val="000000"/>
                <w:position w:val="0"/>
              </w:rPr>
              <w:t>Q</w:t>
            </w:r>
            <w:r w:rsidR="000550CA">
              <w:rPr>
                <w:b/>
                <w:bCs/>
                <w:color w:val="000000"/>
                <w:position w:val="0"/>
              </w:rPr>
              <w:t xml:space="preserve"> </w:t>
            </w:r>
            <w:r w:rsidRPr="00D50069">
              <w:rPr>
                <w:b/>
                <w:bCs/>
                <w:color w:val="000000"/>
                <w:position w:val="0"/>
              </w:rPr>
              <w:t>2</w:t>
            </w:r>
          </w:p>
        </w:tc>
        <w:tc>
          <w:tcPr>
            <w:tcW w:w="1563" w:type="dxa"/>
            <w:tcBorders>
              <w:top w:val="single" w:sz="8" w:space="0" w:color="auto"/>
              <w:left w:val="nil"/>
              <w:bottom w:val="single" w:sz="8" w:space="0" w:color="auto"/>
              <w:right w:val="nil"/>
            </w:tcBorders>
            <w:shd w:val="clear" w:color="auto" w:fill="auto"/>
            <w:noWrap/>
            <w:vAlign w:val="center"/>
            <w:hideMark/>
          </w:tcPr>
          <w:p w14:paraId="55D56691" w14:textId="36B51945" w:rsidR="00D50069" w:rsidRPr="00D50069" w:rsidRDefault="00D50069" w:rsidP="00D50069">
            <w:pPr>
              <w:spacing w:line="360" w:lineRule="auto"/>
              <w:jc w:val="center"/>
              <w:rPr>
                <w:b/>
                <w:bCs/>
                <w:color w:val="000000"/>
                <w:position w:val="0"/>
              </w:rPr>
            </w:pPr>
            <w:r w:rsidRPr="00D50069">
              <w:rPr>
                <w:b/>
                <w:bCs/>
                <w:color w:val="000000"/>
                <w:position w:val="0"/>
              </w:rPr>
              <w:t>Q</w:t>
            </w:r>
            <w:r w:rsidR="000550CA">
              <w:rPr>
                <w:b/>
                <w:bCs/>
                <w:color w:val="000000"/>
                <w:position w:val="0"/>
              </w:rPr>
              <w:t xml:space="preserve"> </w:t>
            </w:r>
            <w:r w:rsidRPr="00D50069">
              <w:rPr>
                <w:b/>
                <w:bCs/>
                <w:color w:val="000000"/>
                <w:position w:val="0"/>
              </w:rPr>
              <w:t>3</w:t>
            </w:r>
          </w:p>
        </w:tc>
        <w:tc>
          <w:tcPr>
            <w:tcW w:w="1521" w:type="dxa"/>
            <w:tcBorders>
              <w:top w:val="single" w:sz="8" w:space="0" w:color="auto"/>
              <w:left w:val="nil"/>
              <w:bottom w:val="single" w:sz="8" w:space="0" w:color="auto"/>
              <w:right w:val="nil"/>
            </w:tcBorders>
            <w:shd w:val="clear" w:color="auto" w:fill="auto"/>
            <w:noWrap/>
            <w:vAlign w:val="center"/>
            <w:hideMark/>
          </w:tcPr>
          <w:p w14:paraId="76CCB31C" w14:textId="0F600F08" w:rsidR="00D50069" w:rsidRPr="00D50069" w:rsidRDefault="00D50069" w:rsidP="00D50069">
            <w:pPr>
              <w:spacing w:line="360" w:lineRule="auto"/>
              <w:jc w:val="center"/>
              <w:rPr>
                <w:b/>
                <w:bCs/>
                <w:color w:val="000000"/>
                <w:position w:val="0"/>
              </w:rPr>
            </w:pPr>
            <w:r w:rsidRPr="00D50069">
              <w:rPr>
                <w:b/>
                <w:bCs/>
                <w:color w:val="000000"/>
                <w:position w:val="0"/>
              </w:rPr>
              <w:t>Q 4</w:t>
            </w:r>
          </w:p>
        </w:tc>
      </w:tr>
      <w:tr w:rsidR="00D50069" w:rsidRPr="00D50069" w14:paraId="1A264CE4" w14:textId="77777777" w:rsidTr="000550CA">
        <w:trPr>
          <w:trHeight w:val="350"/>
        </w:trPr>
        <w:tc>
          <w:tcPr>
            <w:tcW w:w="2586" w:type="dxa"/>
            <w:tcBorders>
              <w:top w:val="nil"/>
              <w:left w:val="nil"/>
              <w:bottom w:val="nil"/>
              <w:right w:val="nil"/>
            </w:tcBorders>
            <w:shd w:val="clear" w:color="auto" w:fill="auto"/>
            <w:noWrap/>
            <w:vAlign w:val="center"/>
            <w:hideMark/>
          </w:tcPr>
          <w:p w14:paraId="6EE5A961" w14:textId="77777777" w:rsidR="00D50069" w:rsidRPr="00D50069" w:rsidRDefault="00D50069" w:rsidP="00D50069">
            <w:pPr>
              <w:spacing w:line="360" w:lineRule="auto"/>
              <w:rPr>
                <w:b/>
                <w:bCs/>
                <w:color w:val="000000"/>
                <w:position w:val="0"/>
              </w:rPr>
            </w:pPr>
            <w:r w:rsidRPr="00D50069">
              <w:rPr>
                <w:b/>
                <w:bCs/>
                <w:color w:val="000000"/>
                <w:position w:val="0"/>
              </w:rPr>
              <w:t>Mean</w:t>
            </w:r>
          </w:p>
        </w:tc>
        <w:tc>
          <w:tcPr>
            <w:tcW w:w="1501" w:type="dxa"/>
            <w:tcBorders>
              <w:top w:val="nil"/>
              <w:left w:val="nil"/>
              <w:bottom w:val="nil"/>
              <w:right w:val="nil"/>
            </w:tcBorders>
            <w:shd w:val="clear" w:color="auto" w:fill="auto"/>
            <w:noWrap/>
            <w:vAlign w:val="center"/>
            <w:hideMark/>
          </w:tcPr>
          <w:p w14:paraId="7B9FE1C6" w14:textId="77777777" w:rsidR="00D50069" w:rsidRPr="00D50069" w:rsidRDefault="00D50069" w:rsidP="00D50069">
            <w:pPr>
              <w:spacing w:line="360" w:lineRule="auto"/>
              <w:jc w:val="center"/>
              <w:rPr>
                <w:color w:val="000000"/>
                <w:position w:val="0"/>
              </w:rPr>
            </w:pPr>
            <w:r w:rsidRPr="00D50069">
              <w:rPr>
                <w:color w:val="000000"/>
                <w:position w:val="0"/>
              </w:rPr>
              <w:t>3,83</w:t>
            </w:r>
          </w:p>
        </w:tc>
        <w:tc>
          <w:tcPr>
            <w:tcW w:w="1604" w:type="dxa"/>
            <w:tcBorders>
              <w:top w:val="nil"/>
              <w:left w:val="nil"/>
              <w:bottom w:val="nil"/>
              <w:right w:val="nil"/>
            </w:tcBorders>
            <w:shd w:val="clear" w:color="auto" w:fill="auto"/>
            <w:noWrap/>
            <w:vAlign w:val="center"/>
            <w:hideMark/>
          </w:tcPr>
          <w:p w14:paraId="3FA56CBB" w14:textId="77777777" w:rsidR="00D50069" w:rsidRPr="00D50069" w:rsidRDefault="00D50069" w:rsidP="00D50069">
            <w:pPr>
              <w:spacing w:line="360" w:lineRule="auto"/>
              <w:jc w:val="center"/>
              <w:rPr>
                <w:color w:val="000000"/>
                <w:position w:val="0"/>
              </w:rPr>
            </w:pPr>
            <w:r w:rsidRPr="00D50069">
              <w:rPr>
                <w:color w:val="000000"/>
                <w:position w:val="0"/>
              </w:rPr>
              <w:t>3,94</w:t>
            </w:r>
          </w:p>
        </w:tc>
        <w:tc>
          <w:tcPr>
            <w:tcW w:w="1563" w:type="dxa"/>
            <w:tcBorders>
              <w:top w:val="nil"/>
              <w:left w:val="nil"/>
              <w:bottom w:val="nil"/>
              <w:right w:val="nil"/>
            </w:tcBorders>
            <w:shd w:val="clear" w:color="auto" w:fill="auto"/>
            <w:noWrap/>
            <w:vAlign w:val="center"/>
            <w:hideMark/>
          </w:tcPr>
          <w:p w14:paraId="484908E4" w14:textId="77777777" w:rsidR="00D50069" w:rsidRPr="00D50069" w:rsidRDefault="00D50069" w:rsidP="00D50069">
            <w:pPr>
              <w:spacing w:line="360" w:lineRule="auto"/>
              <w:jc w:val="center"/>
              <w:rPr>
                <w:color w:val="000000"/>
                <w:position w:val="0"/>
              </w:rPr>
            </w:pPr>
            <w:r w:rsidRPr="00D50069">
              <w:rPr>
                <w:color w:val="000000"/>
                <w:position w:val="0"/>
              </w:rPr>
              <w:t>3,85</w:t>
            </w:r>
          </w:p>
        </w:tc>
        <w:tc>
          <w:tcPr>
            <w:tcW w:w="1521" w:type="dxa"/>
            <w:tcBorders>
              <w:top w:val="nil"/>
              <w:left w:val="nil"/>
              <w:bottom w:val="nil"/>
              <w:right w:val="nil"/>
            </w:tcBorders>
            <w:shd w:val="clear" w:color="auto" w:fill="auto"/>
            <w:noWrap/>
            <w:vAlign w:val="center"/>
            <w:hideMark/>
          </w:tcPr>
          <w:p w14:paraId="34E6ED31" w14:textId="77777777" w:rsidR="00D50069" w:rsidRPr="00D50069" w:rsidRDefault="00D50069" w:rsidP="00D50069">
            <w:pPr>
              <w:spacing w:line="360" w:lineRule="auto"/>
              <w:jc w:val="center"/>
              <w:rPr>
                <w:color w:val="000000"/>
                <w:position w:val="0"/>
              </w:rPr>
            </w:pPr>
            <w:r w:rsidRPr="00D50069">
              <w:rPr>
                <w:color w:val="000000"/>
                <w:position w:val="0"/>
              </w:rPr>
              <w:t>3,65</w:t>
            </w:r>
          </w:p>
        </w:tc>
      </w:tr>
      <w:tr w:rsidR="00D50069" w:rsidRPr="00D50069" w14:paraId="1664EAAE" w14:textId="77777777" w:rsidTr="000550CA">
        <w:trPr>
          <w:trHeight w:val="350"/>
        </w:trPr>
        <w:tc>
          <w:tcPr>
            <w:tcW w:w="2586" w:type="dxa"/>
            <w:tcBorders>
              <w:top w:val="nil"/>
              <w:left w:val="nil"/>
              <w:bottom w:val="nil"/>
              <w:right w:val="nil"/>
            </w:tcBorders>
            <w:shd w:val="clear" w:color="auto" w:fill="auto"/>
            <w:noWrap/>
            <w:vAlign w:val="center"/>
            <w:hideMark/>
          </w:tcPr>
          <w:p w14:paraId="4A60835F" w14:textId="77777777" w:rsidR="00D50069" w:rsidRPr="00D50069" w:rsidRDefault="00D50069" w:rsidP="00D50069">
            <w:pPr>
              <w:spacing w:line="360" w:lineRule="auto"/>
              <w:rPr>
                <w:b/>
                <w:bCs/>
                <w:color w:val="000000"/>
                <w:position w:val="0"/>
              </w:rPr>
            </w:pPr>
            <w:r w:rsidRPr="00D50069">
              <w:rPr>
                <w:b/>
                <w:bCs/>
                <w:color w:val="000000"/>
                <w:position w:val="0"/>
              </w:rPr>
              <w:t>Standard Error</w:t>
            </w:r>
          </w:p>
        </w:tc>
        <w:tc>
          <w:tcPr>
            <w:tcW w:w="1501" w:type="dxa"/>
            <w:tcBorders>
              <w:top w:val="nil"/>
              <w:left w:val="nil"/>
              <w:bottom w:val="nil"/>
              <w:right w:val="nil"/>
            </w:tcBorders>
            <w:shd w:val="clear" w:color="auto" w:fill="auto"/>
            <w:noWrap/>
            <w:vAlign w:val="center"/>
            <w:hideMark/>
          </w:tcPr>
          <w:p w14:paraId="739CA45B" w14:textId="77777777" w:rsidR="00D50069" w:rsidRPr="00D50069" w:rsidRDefault="00D50069" w:rsidP="00D50069">
            <w:pPr>
              <w:spacing w:line="360" w:lineRule="auto"/>
              <w:jc w:val="center"/>
              <w:rPr>
                <w:color w:val="000000"/>
                <w:position w:val="0"/>
              </w:rPr>
            </w:pPr>
            <w:r w:rsidRPr="00D50069">
              <w:rPr>
                <w:color w:val="000000"/>
                <w:position w:val="0"/>
              </w:rPr>
              <w:t>0,06</w:t>
            </w:r>
          </w:p>
        </w:tc>
        <w:tc>
          <w:tcPr>
            <w:tcW w:w="1604" w:type="dxa"/>
            <w:tcBorders>
              <w:top w:val="nil"/>
              <w:left w:val="nil"/>
              <w:bottom w:val="nil"/>
              <w:right w:val="nil"/>
            </w:tcBorders>
            <w:shd w:val="clear" w:color="auto" w:fill="auto"/>
            <w:noWrap/>
            <w:vAlign w:val="center"/>
            <w:hideMark/>
          </w:tcPr>
          <w:p w14:paraId="5B5A36E3" w14:textId="77777777" w:rsidR="00D50069" w:rsidRPr="00D50069" w:rsidRDefault="00D50069" w:rsidP="00D50069">
            <w:pPr>
              <w:spacing w:line="360" w:lineRule="auto"/>
              <w:jc w:val="center"/>
              <w:rPr>
                <w:color w:val="000000"/>
                <w:position w:val="0"/>
              </w:rPr>
            </w:pPr>
            <w:r w:rsidRPr="00D50069">
              <w:rPr>
                <w:color w:val="000000"/>
                <w:position w:val="0"/>
              </w:rPr>
              <w:t>0,03</w:t>
            </w:r>
          </w:p>
        </w:tc>
        <w:tc>
          <w:tcPr>
            <w:tcW w:w="1563" w:type="dxa"/>
            <w:tcBorders>
              <w:top w:val="nil"/>
              <w:left w:val="nil"/>
              <w:bottom w:val="nil"/>
              <w:right w:val="nil"/>
            </w:tcBorders>
            <w:shd w:val="clear" w:color="auto" w:fill="auto"/>
            <w:noWrap/>
            <w:vAlign w:val="center"/>
            <w:hideMark/>
          </w:tcPr>
          <w:p w14:paraId="2EF877CF" w14:textId="77777777" w:rsidR="00D50069" w:rsidRPr="00D50069" w:rsidRDefault="00D50069" w:rsidP="00D50069">
            <w:pPr>
              <w:spacing w:line="360" w:lineRule="auto"/>
              <w:jc w:val="center"/>
              <w:rPr>
                <w:color w:val="000000"/>
                <w:position w:val="0"/>
              </w:rPr>
            </w:pPr>
            <w:r w:rsidRPr="00D50069">
              <w:rPr>
                <w:color w:val="000000"/>
                <w:position w:val="0"/>
              </w:rPr>
              <w:t>0,06</w:t>
            </w:r>
          </w:p>
        </w:tc>
        <w:tc>
          <w:tcPr>
            <w:tcW w:w="1521" w:type="dxa"/>
            <w:tcBorders>
              <w:top w:val="nil"/>
              <w:left w:val="nil"/>
              <w:bottom w:val="nil"/>
              <w:right w:val="nil"/>
            </w:tcBorders>
            <w:shd w:val="clear" w:color="auto" w:fill="auto"/>
            <w:noWrap/>
            <w:vAlign w:val="center"/>
            <w:hideMark/>
          </w:tcPr>
          <w:p w14:paraId="0D1915C5" w14:textId="77777777" w:rsidR="00D50069" w:rsidRPr="00D50069" w:rsidRDefault="00D50069" w:rsidP="00D50069">
            <w:pPr>
              <w:spacing w:line="360" w:lineRule="auto"/>
              <w:jc w:val="center"/>
              <w:rPr>
                <w:color w:val="000000"/>
                <w:position w:val="0"/>
              </w:rPr>
            </w:pPr>
            <w:r w:rsidRPr="00D50069">
              <w:rPr>
                <w:color w:val="000000"/>
                <w:position w:val="0"/>
              </w:rPr>
              <w:t>0,09</w:t>
            </w:r>
          </w:p>
        </w:tc>
      </w:tr>
      <w:tr w:rsidR="00D50069" w:rsidRPr="00D50069" w14:paraId="148AE59D" w14:textId="77777777" w:rsidTr="000550CA">
        <w:trPr>
          <w:trHeight w:val="350"/>
        </w:trPr>
        <w:tc>
          <w:tcPr>
            <w:tcW w:w="2586" w:type="dxa"/>
            <w:tcBorders>
              <w:top w:val="nil"/>
              <w:left w:val="nil"/>
              <w:bottom w:val="nil"/>
              <w:right w:val="nil"/>
            </w:tcBorders>
            <w:shd w:val="clear" w:color="auto" w:fill="auto"/>
            <w:noWrap/>
            <w:vAlign w:val="center"/>
            <w:hideMark/>
          </w:tcPr>
          <w:p w14:paraId="388BCCF5" w14:textId="77777777" w:rsidR="00D50069" w:rsidRPr="00D50069" w:rsidRDefault="00D50069" w:rsidP="00D50069">
            <w:pPr>
              <w:spacing w:line="360" w:lineRule="auto"/>
              <w:rPr>
                <w:b/>
                <w:bCs/>
                <w:color w:val="000000"/>
                <w:position w:val="0"/>
              </w:rPr>
            </w:pPr>
            <w:r w:rsidRPr="00D50069">
              <w:rPr>
                <w:b/>
                <w:bCs/>
                <w:color w:val="000000"/>
                <w:position w:val="0"/>
              </w:rPr>
              <w:t>Median</w:t>
            </w:r>
          </w:p>
        </w:tc>
        <w:tc>
          <w:tcPr>
            <w:tcW w:w="1501" w:type="dxa"/>
            <w:tcBorders>
              <w:top w:val="nil"/>
              <w:left w:val="nil"/>
              <w:bottom w:val="nil"/>
              <w:right w:val="nil"/>
            </w:tcBorders>
            <w:shd w:val="clear" w:color="auto" w:fill="auto"/>
            <w:noWrap/>
            <w:vAlign w:val="center"/>
            <w:hideMark/>
          </w:tcPr>
          <w:p w14:paraId="6642B23C" w14:textId="77777777" w:rsidR="00D50069" w:rsidRPr="00D50069" w:rsidRDefault="00D50069" w:rsidP="00D50069">
            <w:pPr>
              <w:spacing w:line="360" w:lineRule="auto"/>
              <w:jc w:val="center"/>
              <w:rPr>
                <w:color w:val="000000"/>
                <w:position w:val="0"/>
              </w:rPr>
            </w:pPr>
            <w:r w:rsidRPr="00D50069">
              <w:rPr>
                <w:color w:val="000000"/>
                <w:position w:val="0"/>
              </w:rPr>
              <w:t>4</w:t>
            </w:r>
          </w:p>
        </w:tc>
        <w:tc>
          <w:tcPr>
            <w:tcW w:w="1604" w:type="dxa"/>
            <w:tcBorders>
              <w:top w:val="nil"/>
              <w:left w:val="nil"/>
              <w:bottom w:val="nil"/>
              <w:right w:val="nil"/>
            </w:tcBorders>
            <w:shd w:val="clear" w:color="auto" w:fill="auto"/>
            <w:noWrap/>
            <w:vAlign w:val="center"/>
            <w:hideMark/>
          </w:tcPr>
          <w:p w14:paraId="27BCA2D5" w14:textId="77777777" w:rsidR="00D50069" w:rsidRPr="00D50069" w:rsidRDefault="00D50069" w:rsidP="00D50069">
            <w:pPr>
              <w:spacing w:line="360" w:lineRule="auto"/>
              <w:jc w:val="center"/>
              <w:rPr>
                <w:color w:val="000000"/>
                <w:position w:val="0"/>
              </w:rPr>
            </w:pPr>
            <w:r w:rsidRPr="00D50069">
              <w:rPr>
                <w:color w:val="000000"/>
                <w:position w:val="0"/>
              </w:rPr>
              <w:t>4</w:t>
            </w:r>
          </w:p>
        </w:tc>
        <w:tc>
          <w:tcPr>
            <w:tcW w:w="1563" w:type="dxa"/>
            <w:tcBorders>
              <w:top w:val="nil"/>
              <w:left w:val="nil"/>
              <w:bottom w:val="nil"/>
              <w:right w:val="nil"/>
            </w:tcBorders>
            <w:shd w:val="clear" w:color="auto" w:fill="auto"/>
            <w:noWrap/>
            <w:vAlign w:val="center"/>
            <w:hideMark/>
          </w:tcPr>
          <w:p w14:paraId="0ABF8299" w14:textId="77777777" w:rsidR="00D50069" w:rsidRPr="00D50069" w:rsidRDefault="00D50069" w:rsidP="00D50069">
            <w:pPr>
              <w:spacing w:line="360" w:lineRule="auto"/>
              <w:jc w:val="center"/>
              <w:rPr>
                <w:color w:val="000000"/>
                <w:position w:val="0"/>
              </w:rPr>
            </w:pPr>
            <w:r w:rsidRPr="00D50069">
              <w:rPr>
                <w:color w:val="000000"/>
                <w:position w:val="0"/>
              </w:rPr>
              <w:t>4</w:t>
            </w:r>
          </w:p>
        </w:tc>
        <w:tc>
          <w:tcPr>
            <w:tcW w:w="1521" w:type="dxa"/>
            <w:tcBorders>
              <w:top w:val="nil"/>
              <w:left w:val="nil"/>
              <w:bottom w:val="nil"/>
              <w:right w:val="nil"/>
            </w:tcBorders>
            <w:shd w:val="clear" w:color="auto" w:fill="auto"/>
            <w:noWrap/>
            <w:vAlign w:val="center"/>
            <w:hideMark/>
          </w:tcPr>
          <w:p w14:paraId="7001EA6A" w14:textId="77777777" w:rsidR="00D50069" w:rsidRPr="00D50069" w:rsidRDefault="00D50069" w:rsidP="00D50069">
            <w:pPr>
              <w:spacing w:line="360" w:lineRule="auto"/>
              <w:jc w:val="center"/>
              <w:rPr>
                <w:color w:val="000000"/>
                <w:position w:val="0"/>
              </w:rPr>
            </w:pPr>
            <w:r w:rsidRPr="00D50069">
              <w:rPr>
                <w:color w:val="000000"/>
                <w:position w:val="0"/>
              </w:rPr>
              <w:t>4</w:t>
            </w:r>
          </w:p>
        </w:tc>
      </w:tr>
      <w:tr w:rsidR="00D50069" w:rsidRPr="00D50069" w14:paraId="6F2482C7" w14:textId="77777777" w:rsidTr="000550CA">
        <w:trPr>
          <w:trHeight w:val="350"/>
        </w:trPr>
        <w:tc>
          <w:tcPr>
            <w:tcW w:w="2586" w:type="dxa"/>
            <w:tcBorders>
              <w:top w:val="nil"/>
              <w:left w:val="nil"/>
              <w:bottom w:val="nil"/>
              <w:right w:val="nil"/>
            </w:tcBorders>
            <w:shd w:val="clear" w:color="auto" w:fill="auto"/>
            <w:noWrap/>
            <w:vAlign w:val="center"/>
            <w:hideMark/>
          </w:tcPr>
          <w:p w14:paraId="2F976A50" w14:textId="77777777" w:rsidR="00D50069" w:rsidRPr="00D50069" w:rsidRDefault="00D50069" w:rsidP="00D50069">
            <w:pPr>
              <w:spacing w:line="360" w:lineRule="auto"/>
              <w:rPr>
                <w:b/>
                <w:bCs/>
                <w:color w:val="000000"/>
                <w:position w:val="0"/>
              </w:rPr>
            </w:pPr>
            <w:r w:rsidRPr="00D50069">
              <w:rPr>
                <w:b/>
                <w:bCs/>
                <w:color w:val="000000"/>
                <w:position w:val="0"/>
              </w:rPr>
              <w:t>Mode</w:t>
            </w:r>
          </w:p>
        </w:tc>
        <w:tc>
          <w:tcPr>
            <w:tcW w:w="1501" w:type="dxa"/>
            <w:tcBorders>
              <w:top w:val="nil"/>
              <w:left w:val="nil"/>
              <w:bottom w:val="nil"/>
              <w:right w:val="nil"/>
            </w:tcBorders>
            <w:shd w:val="clear" w:color="auto" w:fill="auto"/>
            <w:noWrap/>
            <w:vAlign w:val="center"/>
            <w:hideMark/>
          </w:tcPr>
          <w:p w14:paraId="5ED65454" w14:textId="77777777" w:rsidR="00D50069" w:rsidRPr="00D50069" w:rsidRDefault="00D50069" w:rsidP="00D50069">
            <w:pPr>
              <w:spacing w:line="360" w:lineRule="auto"/>
              <w:jc w:val="center"/>
              <w:rPr>
                <w:color w:val="000000"/>
                <w:position w:val="0"/>
              </w:rPr>
            </w:pPr>
            <w:r w:rsidRPr="00D50069">
              <w:rPr>
                <w:color w:val="000000"/>
                <w:position w:val="0"/>
              </w:rPr>
              <w:t>4</w:t>
            </w:r>
          </w:p>
        </w:tc>
        <w:tc>
          <w:tcPr>
            <w:tcW w:w="1604" w:type="dxa"/>
            <w:tcBorders>
              <w:top w:val="nil"/>
              <w:left w:val="nil"/>
              <w:bottom w:val="nil"/>
              <w:right w:val="nil"/>
            </w:tcBorders>
            <w:shd w:val="clear" w:color="auto" w:fill="auto"/>
            <w:noWrap/>
            <w:vAlign w:val="center"/>
            <w:hideMark/>
          </w:tcPr>
          <w:p w14:paraId="5F6E0F7A" w14:textId="77777777" w:rsidR="00D50069" w:rsidRPr="00D50069" w:rsidRDefault="00D50069" w:rsidP="00D50069">
            <w:pPr>
              <w:spacing w:line="360" w:lineRule="auto"/>
              <w:jc w:val="center"/>
              <w:rPr>
                <w:color w:val="000000"/>
                <w:position w:val="0"/>
              </w:rPr>
            </w:pPr>
            <w:r w:rsidRPr="00D50069">
              <w:rPr>
                <w:color w:val="000000"/>
                <w:position w:val="0"/>
              </w:rPr>
              <w:t>4</w:t>
            </w:r>
          </w:p>
        </w:tc>
        <w:tc>
          <w:tcPr>
            <w:tcW w:w="1563" w:type="dxa"/>
            <w:tcBorders>
              <w:top w:val="nil"/>
              <w:left w:val="nil"/>
              <w:bottom w:val="nil"/>
              <w:right w:val="nil"/>
            </w:tcBorders>
            <w:shd w:val="clear" w:color="auto" w:fill="auto"/>
            <w:noWrap/>
            <w:vAlign w:val="center"/>
            <w:hideMark/>
          </w:tcPr>
          <w:p w14:paraId="1C54A9EB" w14:textId="77777777" w:rsidR="00D50069" w:rsidRPr="00D50069" w:rsidRDefault="00D50069" w:rsidP="00D50069">
            <w:pPr>
              <w:spacing w:line="360" w:lineRule="auto"/>
              <w:jc w:val="center"/>
              <w:rPr>
                <w:color w:val="000000"/>
                <w:position w:val="0"/>
              </w:rPr>
            </w:pPr>
            <w:r w:rsidRPr="00D50069">
              <w:rPr>
                <w:color w:val="000000"/>
                <w:position w:val="0"/>
              </w:rPr>
              <w:t>4</w:t>
            </w:r>
          </w:p>
        </w:tc>
        <w:tc>
          <w:tcPr>
            <w:tcW w:w="1521" w:type="dxa"/>
            <w:tcBorders>
              <w:top w:val="nil"/>
              <w:left w:val="nil"/>
              <w:bottom w:val="nil"/>
              <w:right w:val="nil"/>
            </w:tcBorders>
            <w:shd w:val="clear" w:color="auto" w:fill="auto"/>
            <w:noWrap/>
            <w:vAlign w:val="center"/>
            <w:hideMark/>
          </w:tcPr>
          <w:p w14:paraId="770753BD" w14:textId="77777777" w:rsidR="00D50069" w:rsidRPr="00D50069" w:rsidRDefault="00D50069" w:rsidP="00D50069">
            <w:pPr>
              <w:spacing w:line="360" w:lineRule="auto"/>
              <w:jc w:val="center"/>
              <w:rPr>
                <w:color w:val="000000"/>
                <w:position w:val="0"/>
              </w:rPr>
            </w:pPr>
            <w:r w:rsidRPr="00D50069">
              <w:rPr>
                <w:color w:val="000000"/>
                <w:position w:val="0"/>
              </w:rPr>
              <w:t>4</w:t>
            </w:r>
          </w:p>
        </w:tc>
      </w:tr>
      <w:tr w:rsidR="00D50069" w:rsidRPr="00D50069" w14:paraId="634A2E63" w14:textId="77777777" w:rsidTr="000550CA">
        <w:trPr>
          <w:trHeight w:val="350"/>
        </w:trPr>
        <w:tc>
          <w:tcPr>
            <w:tcW w:w="2586" w:type="dxa"/>
            <w:tcBorders>
              <w:top w:val="nil"/>
              <w:left w:val="nil"/>
              <w:bottom w:val="nil"/>
              <w:right w:val="nil"/>
            </w:tcBorders>
            <w:shd w:val="clear" w:color="auto" w:fill="auto"/>
            <w:noWrap/>
            <w:vAlign w:val="center"/>
            <w:hideMark/>
          </w:tcPr>
          <w:p w14:paraId="66B9F5B7" w14:textId="77777777" w:rsidR="00D50069" w:rsidRPr="00D50069" w:rsidRDefault="00D50069" w:rsidP="00D50069">
            <w:pPr>
              <w:spacing w:line="360" w:lineRule="auto"/>
              <w:rPr>
                <w:b/>
                <w:bCs/>
                <w:color w:val="000000"/>
                <w:position w:val="0"/>
              </w:rPr>
            </w:pPr>
            <w:r w:rsidRPr="00D50069">
              <w:rPr>
                <w:b/>
                <w:bCs/>
                <w:color w:val="000000"/>
                <w:position w:val="0"/>
              </w:rPr>
              <w:t>Standard Deviation</w:t>
            </w:r>
          </w:p>
        </w:tc>
        <w:tc>
          <w:tcPr>
            <w:tcW w:w="1501" w:type="dxa"/>
            <w:tcBorders>
              <w:top w:val="nil"/>
              <w:left w:val="nil"/>
              <w:bottom w:val="nil"/>
              <w:right w:val="nil"/>
            </w:tcBorders>
            <w:shd w:val="clear" w:color="auto" w:fill="auto"/>
            <w:noWrap/>
            <w:vAlign w:val="center"/>
            <w:hideMark/>
          </w:tcPr>
          <w:p w14:paraId="07145D34" w14:textId="77777777" w:rsidR="00D50069" w:rsidRPr="00D50069" w:rsidRDefault="00D50069" w:rsidP="00D50069">
            <w:pPr>
              <w:spacing w:line="360" w:lineRule="auto"/>
              <w:jc w:val="center"/>
              <w:rPr>
                <w:color w:val="000000"/>
                <w:position w:val="0"/>
              </w:rPr>
            </w:pPr>
            <w:r w:rsidRPr="00D50069">
              <w:rPr>
                <w:color w:val="000000"/>
                <w:position w:val="0"/>
              </w:rPr>
              <w:t>0,43</w:t>
            </w:r>
          </w:p>
        </w:tc>
        <w:tc>
          <w:tcPr>
            <w:tcW w:w="1604" w:type="dxa"/>
            <w:tcBorders>
              <w:top w:val="nil"/>
              <w:left w:val="nil"/>
              <w:bottom w:val="nil"/>
              <w:right w:val="nil"/>
            </w:tcBorders>
            <w:shd w:val="clear" w:color="auto" w:fill="auto"/>
            <w:noWrap/>
            <w:vAlign w:val="center"/>
            <w:hideMark/>
          </w:tcPr>
          <w:p w14:paraId="334840B3" w14:textId="77777777" w:rsidR="00D50069" w:rsidRPr="00D50069" w:rsidRDefault="00D50069" w:rsidP="00D50069">
            <w:pPr>
              <w:spacing w:line="360" w:lineRule="auto"/>
              <w:jc w:val="center"/>
              <w:rPr>
                <w:color w:val="000000"/>
                <w:position w:val="0"/>
              </w:rPr>
            </w:pPr>
            <w:r w:rsidRPr="00D50069">
              <w:rPr>
                <w:color w:val="000000"/>
                <w:position w:val="0"/>
              </w:rPr>
              <w:t>0,24</w:t>
            </w:r>
          </w:p>
        </w:tc>
        <w:tc>
          <w:tcPr>
            <w:tcW w:w="1563" w:type="dxa"/>
            <w:tcBorders>
              <w:top w:val="nil"/>
              <w:left w:val="nil"/>
              <w:bottom w:val="nil"/>
              <w:right w:val="nil"/>
            </w:tcBorders>
            <w:shd w:val="clear" w:color="auto" w:fill="auto"/>
            <w:noWrap/>
            <w:vAlign w:val="center"/>
            <w:hideMark/>
          </w:tcPr>
          <w:p w14:paraId="75E6DE54" w14:textId="77777777" w:rsidR="00D50069" w:rsidRPr="00D50069" w:rsidRDefault="00D50069" w:rsidP="00D50069">
            <w:pPr>
              <w:spacing w:line="360" w:lineRule="auto"/>
              <w:jc w:val="center"/>
              <w:rPr>
                <w:color w:val="000000"/>
                <w:position w:val="0"/>
              </w:rPr>
            </w:pPr>
            <w:r w:rsidRPr="00D50069">
              <w:rPr>
                <w:color w:val="000000"/>
                <w:position w:val="0"/>
              </w:rPr>
              <w:t>0,41</w:t>
            </w:r>
          </w:p>
        </w:tc>
        <w:tc>
          <w:tcPr>
            <w:tcW w:w="1521" w:type="dxa"/>
            <w:tcBorders>
              <w:top w:val="nil"/>
              <w:left w:val="nil"/>
              <w:bottom w:val="nil"/>
              <w:right w:val="nil"/>
            </w:tcBorders>
            <w:shd w:val="clear" w:color="auto" w:fill="auto"/>
            <w:noWrap/>
            <w:vAlign w:val="center"/>
            <w:hideMark/>
          </w:tcPr>
          <w:p w14:paraId="34EC2B69" w14:textId="77777777" w:rsidR="00D50069" w:rsidRPr="00D50069" w:rsidRDefault="00D50069" w:rsidP="00D50069">
            <w:pPr>
              <w:spacing w:line="360" w:lineRule="auto"/>
              <w:jc w:val="center"/>
              <w:rPr>
                <w:color w:val="000000"/>
                <w:position w:val="0"/>
              </w:rPr>
            </w:pPr>
            <w:r w:rsidRPr="00D50069">
              <w:rPr>
                <w:color w:val="000000"/>
                <w:position w:val="0"/>
              </w:rPr>
              <w:t>0,64</w:t>
            </w:r>
          </w:p>
        </w:tc>
      </w:tr>
      <w:tr w:rsidR="00D50069" w:rsidRPr="00D50069" w14:paraId="30E8E744" w14:textId="77777777" w:rsidTr="000550CA">
        <w:trPr>
          <w:trHeight w:val="362"/>
        </w:trPr>
        <w:tc>
          <w:tcPr>
            <w:tcW w:w="2586" w:type="dxa"/>
            <w:tcBorders>
              <w:top w:val="nil"/>
              <w:left w:val="nil"/>
              <w:bottom w:val="single" w:sz="8" w:space="0" w:color="auto"/>
              <w:right w:val="nil"/>
            </w:tcBorders>
            <w:shd w:val="clear" w:color="auto" w:fill="auto"/>
            <w:noWrap/>
            <w:vAlign w:val="center"/>
            <w:hideMark/>
          </w:tcPr>
          <w:p w14:paraId="2FE2849A" w14:textId="77777777" w:rsidR="00D50069" w:rsidRPr="00D50069" w:rsidRDefault="00D50069" w:rsidP="00D50069">
            <w:pPr>
              <w:spacing w:line="360" w:lineRule="auto"/>
              <w:rPr>
                <w:b/>
                <w:bCs/>
                <w:color w:val="000000"/>
                <w:position w:val="0"/>
              </w:rPr>
            </w:pPr>
            <w:r w:rsidRPr="00D50069">
              <w:rPr>
                <w:b/>
                <w:bCs/>
                <w:color w:val="000000"/>
                <w:position w:val="0"/>
              </w:rPr>
              <w:t>Total</w:t>
            </w:r>
          </w:p>
        </w:tc>
        <w:tc>
          <w:tcPr>
            <w:tcW w:w="1501" w:type="dxa"/>
            <w:tcBorders>
              <w:top w:val="nil"/>
              <w:left w:val="nil"/>
              <w:bottom w:val="single" w:sz="8" w:space="0" w:color="auto"/>
              <w:right w:val="nil"/>
            </w:tcBorders>
            <w:shd w:val="clear" w:color="auto" w:fill="auto"/>
            <w:noWrap/>
            <w:vAlign w:val="center"/>
            <w:hideMark/>
          </w:tcPr>
          <w:p w14:paraId="2005CC5B" w14:textId="77777777" w:rsidR="00D50069" w:rsidRPr="00D50069" w:rsidRDefault="00D50069" w:rsidP="00D50069">
            <w:pPr>
              <w:spacing w:line="360" w:lineRule="auto"/>
              <w:jc w:val="center"/>
              <w:rPr>
                <w:color w:val="000000"/>
                <w:position w:val="0"/>
              </w:rPr>
            </w:pPr>
            <w:r w:rsidRPr="00D50069">
              <w:rPr>
                <w:color w:val="000000"/>
                <w:position w:val="0"/>
              </w:rPr>
              <w:t>47</w:t>
            </w:r>
          </w:p>
        </w:tc>
        <w:tc>
          <w:tcPr>
            <w:tcW w:w="1604" w:type="dxa"/>
            <w:tcBorders>
              <w:top w:val="nil"/>
              <w:left w:val="nil"/>
              <w:bottom w:val="single" w:sz="8" w:space="0" w:color="auto"/>
              <w:right w:val="nil"/>
            </w:tcBorders>
            <w:shd w:val="clear" w:color="auto" w:fill="auto"/>
            <w:noWrap/>
            <w:vAlign w:val="center"/>
            <w:hideMark/>
          </w:tcPr>
          <w:p w14:paraId="197D92AE" w14:textId="77777777" w:rsidR="00D50069" w:rsidRPr="00D50069" w:rsidRDefault="00D50069" w:rsidP="00D50069">
            <w:pPr>
              <w:spacing w:line="360" w:lineRule="auto"/>
              <w:jc w:val="center"/>
              <w:rPr>
                <w:color w:val="000000"/>
                <w:position w:val="0"/>
              </w:rPr>
            </w:pPr>
            <w:r w:rsidRPr="00D50069">
              <w:rPr>
                <w:color w:val="000000"/>
                <w:position w:val="0"/>
              </w:rPr>
              <w:t>49</w:t>
            </w:r>
          </w:p>
        </w:tc>
        <w:tc>
          <w:tcPr>
            <w:tcW w:w="1563" w:type="dxa"/>
            <w:tcBorders>
              <w:top w:val="nil"/>
              <w:left w:val="nil"/>
              <w:bottom w:val="single" w:sz="8" w:space="0" w:color="auto"/>
              <w:right w:val="nil"/>
            </w:tcBorders>
            <w:shd w:val="clear" w:color="auto" w:fill="auto"/>
            <w:noWrap/>
            <w:vAlign w:val="center"/>
            <w:hideMark/>
          </w:tcPr>
          <w:p w14:paraId="0170EBF7" w14:textId="77777777" w:rsidR="00D50069" w:rsidRPr="00D50069" w:rsidRDefault="00D50069" w:rsidP="00D50069">
            <w:pPr>
              <w:spacing w:line="360" w:lineRule="auto"/>
              <w:jc w:val="center"/>
              <w:rPr>
                <w:color w:val="000000"/>
                <w:position w:val="0"/>
              </w:rPr>
            </w:pPr>
            <w:r w:rsidRPr="00D50069">
              <w:rPr>
                <w:color w:val="000000"/>
                <w:position w:val="0"/>
              </w:rPr>
              <w:t>48</w:t>
            </w:r>
          </w:p>
        </w:tc>
        <w:tc>
          <w:tcPr>
            <w:tcW w:w="1521" w:type="dxa"/>
            <w:tcBorders>
              <w:top w:val="nil"/>
              <w:left w:val="nil"/>
              <w:bottom w:val="single" w:sz="8" w:space="0" w:color="auto"/>
              <w:right w:val="nil"/>
            </w:tcBorders>
            <w:shd w:val="clear" w:color="auto" w:fill="auto"/>
            <w:noWrap/>
            <w:vAlign w:val="center"/>
            <w:hideMark/>
          </w:tcPr>
          <w:p w14:paraId="64191288" w14:textId="77777777" w:rsidR="00D50069" w:rsidRPr="00D50069" w:rsidRDefault="00D50069" w:rsidP="00D50069">
            <w:pPr>
              <w:spacing w:line="360" w:lineRule="auto"/>
              <w:jc w:val="center"/>
              <w:rPr>
                <w:color w:val="000000"/>
                <w:position w:val="0"/>
              </w:rPr>
            </w:pPr>
            <w:r w:rsidRPr="00D50069">
              <w:rPr>
                <w:color w:val="000000"/>
                <w:position w:val="0"/>
              </w:rPr>
              <w:t>48</w:t>
            </w:r>
          </w:p>
        </w:tc>
      </w:tr>
    </w:tbl>
    <w:p w14:paraId="71FCE44E" w14:textId="77777777" w:rsidR="00D50069" w:rsidRPr="00D50069" w:rsidRDefault="00D50069" w:rsidP="00D50069">
      <w:pPr>
        <w:spacing w:after="160" w:line="480" w:lineRule="auto"/>
        <w:jc w:val="both"/>
        <w:rPr>
          <w:rFonts w:eastAsia="Calibri"/>
          <w:kern w:val="2"/>
          <w:position w:val="0"/>
          <w14:ligatures w14:val="standardContextual"/>
        </w:rPr>
      </w:pPr>
    </w:p>
    <w:p w14:paraId="0DCF84EB" w14:textId="77777777" w:rsidR="00D50069" w:rsidRPr="00D50069" w:rsidRDefault="00D50069" w:rsidP="00D50069">
      <w:pPr>
        <w:keepNext/>
        <w:spacing w:after="160" w:line="480" w:lineRule="auto"/>
        <w:jc w:val="both"/>
        <w:rPr>
          <w:rFonts w:ascii="Calibri" w:eastAsia="Calibri" w:hAnsi="Calibri" w:cs="Arial"/>
          <w:kern w:val="2"/>
          <w:position w:val="0"/>
          <w:sz w:val="22"/>
          <w:szCs w:val="22"/>
          <w14:ligatures w14:val="standardContextual"/>
        </w:rPr>
      </w:pPr>
      <w:r w:rsidRPr="00D50069">
        <w:rPr>
          <w:rFonts w:ascii="Calibri" w:eastAsia="Calibri" w:hAnsi="Calibri" w:cs="Arial"/>
          <w:noProof/>
          <w:kern w:val="2"/>
          <w:position w:val="0"/>
          <w:sz w:val="22"/>
          <w:szCs w:val="22"/>
          <w:lang w:val="fr-FR" w:eastAsia="fr-FR"/>
          <w14:ligatures w14:val="standardContextual"/>
        </w:rPr>
        <w:lastRenderedPageBreak/>
        <w:drawing>
          <wp:inline distT="0" distB="0" distL="0" distR="0" wp14:anchorId="72CC9DD6" wp14:editId="1BADAF47">
            <wp:extent cx="4572000" cy="2743200"/>
            <wp:effectExtent l="0" t="0" r="0" b="0"/>
            <wp:docPr id="828510043" name="Chart 1">
              <a:extLst xmlns:a="http://schemas.openxmlformats.org/drawingml/2006/main">
                <a:ext uri="{FF2B5EF4-FFF2-40B4-BE49-F238E27FC236}">
                  <a16:creationId xmlns:a16="http://schemas.microsoft.com/office/drawing/2014/main"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70F1C13C-9EED-6E5F-EB6D-0B70B6C7407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p>
    <w:p w14:paraId="5624AE65" w14:textId="21EA315C" w:rsidR="002539E8" w:rsidRDefault="00D50069" w:rsidP="002539E8">
      <w:pPr>
        <w:spacing w:after="200" w:line="480" w:lineRule="auto"/>
        <w:jc w:val="both"/>
        <w:rPr>
          <w:rFonts w:eastAsia="Calibri"/>
          <w:kern w:val="2"/>
          <w:position w:val="0"/>
          <w:sz w:val="36"/>
          <w:szCs w:val="36"/>
          <w14:ligatures w14:val="standardContextual"/>
        </w:rPr>
      </w:pPr>
      <w:bookmarkStart w:id="245" w:name="_Toc199695830"/>
      <w:r w:rsidRPr="00D50069">
        <w:rPr>
          <w:rFonts w:eastAsia="Calibri"/>
          <w:b/>
          <w:bCs/>
          <w:kern w:val="2"/>
          <w:position w:val="0"/>
          <w14:ligatures w14:val="standardContextual"/>
        </w:rPr>
        <w:t xml:space="preserve">Graph </w:t>
      </w:r>
      <w:r w:rsidRPr="00D50069">
        <w:rPr>
          <w:rFonts w:eastAsia="Calibri"/>
          <w:b/>
          <w:bCs/>
          <w:kern w:val="2"/>
          <w:position w:val="0"/>
          <w14:ligatures w14:val="standardContextual"/>
        </w:rPr>
        <w:fldChar w:fldCharType="begin"/>
      </w:r>
      <w:r w:rsidRPr="00D50069">
        <w:rPr>
          <w:rFonts w:eastAsia="Calibri"/>
          <w:b/>
          <w:bCs/>
          <w:kern w:val="2"/>
          <w:position w:val="0"/>
          <w14:ligatures w14:val="standardContextual"/>
        </w:rPr>
        <w:instrText xml:space="preserve"> SEQ Graph \* ARABIC </w:instrText>
      </w:r>
      <w:r w:rsidRPr="00D50069">
        <w:rPr>
          <w:rFonts w:eastAsia="Calibri"/>
          <w:b/>
          <w:bCs/>
          <w:kern w:val="2"/>
          <w:position w:val="0"/>
          <w14:ligatures w14:val="standardContextual"/>
        </w:rPr>
        <w:fldChar w:fldCharType="separate"/>
      </w:r>
      <w:r w:rsidR="00DC3231">
        <w:rPr>
          <w:rFonts w:eastAsia="Calibri"/>
          <w:b/>
          <w:bCs/>
          <w:noProof/>
          <w:kern w:val="2"/>
          <w:position w:val="0"/>
          <w14:ligatures w14:val="standardContextual"/>
        </w:rPr>
        <w:t>15</w:t>
      </w:r>
      <w:r w:rsidRPr="00D50069">
        <w:rPr>
          <w:rFonts w:eastAsia="Calibri"/>
          <w:b/>
          <w:bCs/>
          <w:kern w:val="2"/>
          <w:position w:val="0"/>
          <w14:ligatures w14:val="standardContextual"/>
        </w:rPr>
        <w:fldChar w:fldCharType="end"/>
      </w:r>
      <w:r w:rsidRPr="00D50069">
        <w:rPr>
          <w:rFonts w:eastAsia="Calibri"/>
          <w:i/>
          <w:iCs/>
          <w:kern w:val="2"/>
          <w:position w:val="0"/>
          <w14:ligatures w14:val="standardContextual"/>
        </w:rPr>
        <w:t xml:space="preserve"> </w:t>
      </w:r>
      <w:r w:rsidRPr="000550CA">
        <w:rPr>
          <w:rFonts w:eastAsia="Calibri"/>
          <w:kern w:val="2"/>
          <w:position w:val="0"/>
          <w14:ligatures w14:val="standardContextual"/>
        </w:rPr>
        <w:t>Statistical Summary: Mean and Standard Deviation of Reflective Practices within OTCs</w:t>
      </w:r>
      <w:bookmarkEnd w:id="245"/>
    </w:p>
    <w:p w14:paraId="64F4DC88" w14:textId="77777777" w:rsidR="002539E8" w:rsidRDefault="00D50069" w:rsidP="002539E8">
      <w:pPr>
        <w:spacing w:after="200" w:line="480" w:lineRule="auto"/>
        <w:ind w:firstLine="567"/>
        <w:jc w:val="both"/>
        <w:rPr>
          <w:rFonts w:eastAsia="Calibri"/>
          <w:kern w:val="2"/>
          <w:position w:val="0"/>
          <w:sz w:val="36"/>
          <w:szCs w:val="36"/>
          <w14:ligatures w14:val="standardContextual"/>
        </w:rPr>
      </w:pPr>
      <w:r w:rsidRPr="00D50069">
        <w:rPr>
          <w:rFonts w:eastAsia="Calibri"/>
          <w:kern w:val="2"/>
          <w:position w:val="0"/>
          <w14:ligatures w14:val="standardContextual"/>
        </w:rPr>
        <w:t>The pie chart (</w:t>
      </w:r>
      <w:r w:rsidRPr="00D50069">
        <w:rPr>
          <w:rFonts w:eastAsia="Calibri"/>
          <w:b/>
          <w:bCs/>
          <w:kern w:val="2"/>
          <w:position w:val="0"/>
          <w14:ligatures w14:val="standardContextual"/>
        </w:rPr>
        <w:t xml:space="preserve">Graph 16) </w:t>
      </w:r>
      <w:r w:rsidRPr="00D50069">
        <w:rPr>
          <w:rFonts w:eastAsia="Calibri"/>
          <w:kern w:val="2"/>
          <w:position w:val="0"/>
          <w14:ligatures w14:val="standardContextual"/>
        </w:rPr>
        <w:t xml:space="preserve">confirms respondents’ perception of virtually practiced peer feedback. Findings demonstrate that a significant majority (78 %) of District 4 members acknowledged the pedagogical significance of their community. The identical proportion of those who rated OTCs as moderately valuable and very valuable </w:t>
      </w:r>
      <w:bookmarkStart w:id="246" w:name="_Hlk198713955"/>
      <w:r w:rsidRPr="00D50069">
        <w:rPr>
          <w:rFonts w:eastAsia="Calibri"/>
          <w:kern w:val="2"/>
          <w:position w:val="0"/>
          <w14:ligatures w14:val="standardContextual"/>
        </w:rPr>
        <w:t xml:space="preserve">(39 %) </w:t>
      </w:r>
      <w:bookmarkEnd w:id="246"/>
      <w:r w:rsidRPr="00D50069">
        <w:rPr>
          <w:rFonts w:eastAsia="Calibri"/>
          <w:kern w:val="2"/>
          <w:position w:val="0"/>
          <w14:ligatures w14:val="standardContextual"/>
        </w:rPr>
        <w:t xml:space="preserve">highlights the balanced distribution of perceived importance. An additional 9 % of respondents regarded them as extremely valuable, emphasizing their supportive role in promoting peer feedback. In contrast, only 11 % recognized OTCs as slightly valuable, and a minimal 2 % considered them not valuable. </w:t>
      </w:r>
    </w:p>
    <w:p w14:paraId="0CBBCAD6" w14:textId="77777777" w:rsidR="002539E8" w:rsidRDefault="00D50069" w:rsidP="002539E8">
      <w:pPr>
        <w:spacing w:after="200" w:line="480" w:lineRule="auto"/>
        <w:ind w:firstLine="567"/>
        <w:jc w:val="both"/>
        <w:rPr>
          <w:rFonts w:eastAsia="Calibri"/>
          <w:kern w:val="2"/>
          <w:position w:val="0"/>
          <w:sz w:val="36"/>
          <w:szCs w:val="36"/>
          <w14:ligatures w14:val="standardContextual"/>
        </w:rPr>
      </w:pPr>
      <w:r w:rsidRPr="00D50069">
        <w:rPr>
          <w:rFonts w:eastAsia="Calibri"/>
          <w:kern w:val="2"/>
          <w:position w:val="0"/>
          <w14:ligatures w14:val="standardContextual"/>
        </w:rPr>
        <w:t xml:space="preserve"> Hence, most of the participants (66 %) feel supported and confident in developing reflective assessment practices through online networks, as it </w:t>
      </w:r>
      <w:proofErr w:type="gramStart"/>
      <w:r w:rsidRPr="00D50069">
        <w:rPr>
          <w:rFonts w:eastAsia="Calibri"/>
          <w:kern w:val="2"/>
          <w:position w:val="0"/>
          <w14:ligatures w14:val="standardContextual"/>
        </w:rPr>
        <w:t>is illustrated</w:t>
      </w:r>
      <w:proofErr w:type="gramEnd"/>
      <w:r w:rsidRPr="00D50069">
        <w:rPr>
          <w:rFonts w:eastAsia="Calibri"/>
          <w:kern w:val="2"/>
          <w:position w:val="0"/>
          <w14:ligatures w14:val="standardContextual"/>
        </w:rPr>
        <w:t xml:space="preserve"> in </w:t>
      </w:r>
      <w:r w:rsidRPr="00D50069">
        <w:rPr>
          <w:rFonts w:eastAsia="Calibri"/>
          <w:b/>
          <w:bCs/>
          <w:kern w:val="2"/>
          <w:position w:val="0"/>
          <w14:ligatures w14:val="standardContextual"/>
        </w:rPr>
        <w:t>Graph 17</w:t>
      </w:r>
      <w:r w:rsidRPr="00D50069">
        <w:rPr>
          <w:rFonts w:eastAsia="Calibri"/>
          <w:kern w:val="2"/>
          <w:position w:val="0"/>
          <w14:ligatures w14:val="standardContextual"/>
        </w:rPr>
        <w:t xml:space="preserve"> below.  The fact that 23 % of teachers adopted a neutral attitude toward the supportive use of online teacher communities reveals a degree of uncertainty or limited engagement with such platforms. This neutrality reflects unfamiliarity of how OTCs function in educational contexts and lack of direct experience with professional guidance these platforms can provide.   </w:t>
      </w:r>
    </w:p>
    <w:p w14:paraId="4C7CFDF3" w14:textId="60969AC1" w:rsidR="00D50069" w:rsidRPr="002539E8" w:rsidRDefault="00D50069" w:rsidP="002539E8">
      <w:pPr>
        <w:spacing w:after="200" w:line="480" w:lineRule="auto"/>
        <w:ind w:firstLine="567"/>
        <w:jc w:val="both"/>
        <w:rPr>
          <w:rFonts w:eastAsia="Calibri"/>
          <w:kern w:val="2"/>
          <w:position w:val="0"/>
          <w:sz w:val="36"/>
          <w:szCs w:val="36"/>
          <w14:ligatures w14:val="standardContextual"/>
        </w:rPr>
      </w:pPr>
      <w:r w:rsidRPr="00D50069">
        <w:rPr>
          <w:rFonts w:eastAsia="Calibri"/>
          <w:kern w:val="2"/>
          <w:position w:val="0"/>
          <w14:ligatures w14:val="standardContextual"/>
        </w:rPr>
        <w:lastRenderedPageBreak/>
        <w:t xml:space="preserve"> According to the cumulated data, most EFL teachers view online communities as valuable continuous learning environments where a holistic approach considers educators’ diverse perspectives. This promotes knowledge co-construction employing analogical reasoning alongside situational thinking to meet the evolving educational needs.</w:t>
      </w:r>
    </w:p>
    <w:p w14:paraId="72272313" w14:textId="77777777" w:rsidR="00D50069" w:rsidRPr="00D50069" w:rsidRDefault="00D50069" w:rsidP="00D50069">
      <w:pPr>
        <w:keepNext/>
        <w:spacing w:after="160" w:line="480" w:lineRule="auto"/>
        <w:jc w:val="both"/>
        <w:rPr>
          <w:rFonts w:ascii="Calibri" w:eastAsia="Calibri" w:hAnsi="Calibri" w:cs="Arial"/>
          <w:kern w:val="2"/>
          <w:position w:val="0"/>
          <w:sz w:val="22"/>
          <w:szCs w:val="22"/>
          <w14:ligatures w14:val="standardContextual"/>
        </w:rPr>
      </w:pPr>
      <w:r w:rsidRPr="00D50069">
        <w:rPr>
          <w:rFonts w:ascii="Calibri" w:eastAsia="Calibri" w:hAnsi="Calibri" w:cs="Arial"/>
          <w:noProof/>
          <w:kern w:val="2"/>
          <w:position w:val="0"/>
          <w:sz w:val="22"/>
          <w:szCs w:val="22"/>
          <w:lang w:val="fr-FR" w:eastAsia="fr-FR"/>
          <w14:ligatures w14:val="standardContextual"/>
        </w:rPr>
        <w:drawing>
          <wp:inline distT="0" distB="0" distL="0" distR="0" wp14:anchorId="7DC98890" wp14:editId="674A5151">
            <wp:extent cx="4572000" cy="2940050"/>
            <wp:effectExtent l="0" t="0" r="0" b="12700"/>
            <wp:docPr id="331795042" name="Chart 1">
              <a:extLst xmlns:a="http://schemas.openxmlformats.org/drawingml/2006/main">
                <a:ext uri="{FF2B5EF4-FFF2-40B4-BE49-F238E27FC236}">
                  <a16:creationId xmlns:a16="http://schemas.microsoft.com/office/drawing/2014/main"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20313012-478A-A695-ABAF-EF0BA4BA0D7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inline>
        </w:drawing>
      </w:r>
    </w:p>
    <w:p w14:paraId="6279865D" w14:textId="71E7FCF0" w:rsidR="00D50069" w:rsidRPr="00D50069" w:rsidRDefault="00D50069" w:rsidP="00D50069">
      <w:pPr>
        <w:spacing w:after="200" w:line="480" w:lineRule="auto"/>
        <w:jc w:val="both"/>
        <w:rPr>
          <w:rFonts w:eastAsia="Calibri"/>
          <w:i/>
          <w:iCs/>
          <w:kern w:val="2"/>
          <w:position w:val="0"/>
          <w:sz w:val="36"/>
          <w:szCs w:val="36"/>
          <w14:ligatures w14:val="standardContextual"/>
        </w:rPr>
      </w:pPr>
      <w:bookmarkStart w:id="247" w:name="_Toc199695831"/>
      <w:r w:rsidRPr="00D50069">
        <w:rPr>
          <w:rFonts w:eastAsia="Calibri"/>
          <w:b/>
          <w:bCs/>
          <w:kern w:val="2"/>
          <w:position w:val="0"/>
          <w14:ligatures w14:val="standardContextual"/>
        </w:rPr>
        <w:t xml:space="preserve">Graph </w:t>
      </w:r>
      <w:r w:rsidRPr="00D50069">
        <w:rPr>
          <w:rFonts w:eastAsia="Calibri"/>
          <w:b/>
          <w:bCs/>
          <w:kern w:val="2"/>
          <w:position w:val="0"/>
          <w14:ligatures w14:val="standardContextual"/>
        </w:rPr>
        <w:fldChar w:fldCharType="begin"/>
      </w:r>
      <w:r w:rsidRPr="00D50069">
        <w:rPr>
          <w:rFonts w:eastAsia="Calibri"/>
          <w:b/>
          <w:bCs/>
          <w:kern w:val="2"/>
          <w:position w:val="0"/>
          <w14:ligatures w14:val="standardContextual"/>
        </w:rPr>
        <w:instrText xml:space="preserve"> SEQ Graph \* ARABIC </w:instrText>
      </w:r>
      <w:r w:rsidRPr="00D50069">
        <w:rPr>
          <w:rFonts w:eastAsia="Calibri"/>
          <w:b/>
          <w:bCs/>
          <w:kern w:val="2"/>
          <w:position w:val="0"/>
          <w14:ligatures w14:val="standardContextual"/>
        </w:rPr>
        <w:fldChar w:fldCharType="separate"/>
      </w:r>
      <w:r w:rsidR="00DC3231">
        <w:rPr>
          <w:rFonts w:eastAsia="Calibri"/>
          <w:b/>
          <w:bCs/>
          <w:noProof/>
          <w:kern w:val="2"/>
          <w:position w:val="0"/>
          <w14:ligatures w14:val="standardContextual"/>
        </w:rPr>
        <w:t>16</w:t>
      </w:r>
      <w:r w:rsidRPr="00D50069">
        <w:rPr>
          <w:rFonts w:eastAsia="Calibri"/>
          <w:b/>
          <w:bCs/>
          <w:kern w:val="2"/>
          <w:position w:val="0"/>
          <w14:ligatures w14:val="standardContextual"/>
        </w:rPr>
        <w:fldChar w:fldCharType="end"/>
      </w:r>
      <w:r w:rsidRPr="00D50069">
        <w:rPr>
          <w:rFonts w:eastAsia="Calibri"/>
          <w:i/>
          <w:iCs/>
          <w:kern w:val="2"/>
          <w:position w:val="0"/>
          <w14:ligatures w14:val="standardContextual"/>
        </w:rPr>
        <w:t xml:space="preserve"> </w:t>
      </w:r>
      <w:r w:rsidRPr="006D6BE0">
        <w:rPr>
          <w:rFonts w:eastAsia="Calibri"/>
          <w:kern w:val="2"/>
          <w:position w:val="0"/>
          <w14:ligatures w14:val="standardContextual"/>
        </w:rPr>
        <w:t>Perceived Value of Peer Feedback in OTCs</w:t>
      </w:r>
      <w:bookmarkEnd w:id="247"/>
    </w:p>
    <w:p w14:paraId="6B247E5E" w14:textId="77777777" w:rsidR="00D50069" w:rsidRPr="00D50069" w:rsidRDefault="00D50069" w:rsidP="00D50069">
      <w:pPr>
        <w:keepNext/>
        <w:spacing w:after="160" w:line="480" w:lineRule="auto"/>
        <w:jc w:val="both"/>
        <w:rPr>
          <w:rFonts w:ascii="Calibri" w:eastAsia="Calibri" w:hAnsi="Calibri" w:cs="Arial"/>
          <w:kern w:val="2"/>
          <w:position w:val="0"/>
          <w:sz w:val="22"/>
          <w:szCs w:val="22"/>
          <w14:ligatures w14:val="standardContextual"/>
        </w:rPr>
      </w:pPr>
      <w:r w:rsidRPr="00D50069">
        <w:rPr>
          <w:rFonts w:ascii="Calibri" w:eastAsia="Calibri" w:hAnsi="Calibri" w:cs="Arial"/>
          <w:noProof/>
          <w:kern w:val="2"/>
          <w:position w:val="0"/>
          <w:sz w:val="22"/>
          <w:szCs w:val="22"/>
          <w:lang w:val="fr-FR" w:eastAsia="fr-FR"/>
          <w14:ligatures w14:val="standardContextual"/>
        </w:rPr>
        <w:lastRenderedPageBreak/>
        <w:drawing>
          <wp:inline distT="0" distB="0" distL="0" distR="0" wp14:anchorId="19BCEEC6" wp14:editId="76D8E0CC">
            <wp:extent cx="5232399" cy="2936875"/>
            <wp:effectExtent l="0" t="0" r="6985" b="15875"/>
            <wp:docPr id="2135195217" name="Chart 1">
              <a:extLst xmlns:a="http://schemas.openxmlformats.org/drawingml/2006/main">
                <a:ext uri="{FF2B5EF4-FFF2-40B4-BE49-F238E27FC236}">
                  <a16:creationId xmlns:a16="http://schemas.microsoft.com/office/drawing/2014/main"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9CAB28FE-944F-5579-D921-0AFE7BA13AC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inline>
        </w:drawing>
      </w:r>
    </w:p>
    <w:p w14:paraId="7210BB28" w14:textId="28D5E29B" w:rsidR="00D50069" w:rsidRPr="006D6BE0" w:rsidRDefault="00D50069" w:rsidP="00D50069">
      <w:pPr>
        <w:spacing w:after="200" w:line="480" w:lineRule="auto"/>
        <w:jc w:val="both"/>
        <w:rPr>
          <w:rFonts w:eastAsia="Calibri"/>
          <w:kern w:val="2"/>
          <w:position w:val="0"/>
          <w14:ligatures w14:val="standardContextual"/>
        </w:rPr>
      </w:pPr>
      <w:bookmarkStart w:id="248" w:name="_Toc199695832"/>
      <w:r w:rsidRPr="00D50069">
        <w:rPr>
          <w:rFonts w:eastAsia="Calibri"/>
          <w:b/>
          <w:bCs/>
          <w:kern w:val="2"/>
          <w:position w:val="0"/>
          <w14:ligatures w14:val="standardContextual"/>
        </w:rPr>
        <w:t xml:space="preserve">Graph </w:t>
      </w:r>
      <w:r w:rsidRPr="00D50069">
        <w:rPr>
          <w:rFonts w:eastAsia="Calibri"/>
          <w:b/>
          <w:bCs/>
          <w:kern w:val="2"/>
          <w:position w:val="0"/>
          <w14:ligatures w14:val="standardContextual"/>
        </w:rPr>
        <w:fldChar w:fldCharType="begin"/>
      </w:r>
      <w:r w:rsidRPr="00D50069">
        <w:rPr>
          <w:rFonts w:eastAsia="Calibri"/>
          <w:b/>
          <w:bCs/>
          <w:kern w:val="2"/>
          <w:position w:val="0"/>
          <w14:ligatures w14:val="standardContextual"/>
        </w:rPr>
        <w:instrText xml:space="preserve"> SEQ Graph \* ARABIC </w:instrText>
      </w:r>
      <w:r w:rsidRPr="00D50069">
        <w:rPr>
          <w:rFonts w:eastAsia="Calibri"/>
          <w:b/>
          <w:bCs/>
          <w:kern w:val="2"/>
          <w:position w:val="0"/>
          <w14:ligatures w14:val="standardContextual"/>
        </w:rPr>
        <w:fldChar w:fldCharType="separate"/>
      </w:r>
      <w:r w:rsidR="00DC3231">
        <w:rPr>
          <w:rFonts w:eastAsia="Calibri"/>
          <w:b/>
          <w:bCs/>
          <w:noProof/>
          <w:kern w:val="2"/>
          <w:position w:val="0"/>
          <w14:ligatures w14:val="standardContextual"/>
        </w:rPr>
        <w:t>17</w:t>
      </w:r>
      <w:r w:rsidRPr="00D50069">
        <w:rPr>
          <w:rFonts w:eastAsia="Calibri"/>
          <w:b/>
          <w:bCs/>
          <w:kern w:val="2"/>
          <w:position w:val="0"/>
          <w14:ligatures w14:val="standardContextual"/>
        </w:rPr>
        <w:fldChar w:fldCharType="end"/>
      </w:r>
      <w:r w:rsidRPr="00D50069">
        <w:rPr>
          <w:rFonts w:eastAsia="Calibri"/>
          <w:i/>
          <w:iCs/>
          <w:kern w:val="2"/>
          <w:position w:val="0"/>
          <w14:ligatures w14:val="standardContextual"/>
        </w:rPr>
        <w:t xml:space="preserve"> </w:t>
      </w:r>
      <w:r w:rsidRPr="006D6BE0">
        <w:rPr>
          <w:rFonts w:eastAsia="Calibri"/>
          <w:kern w:val="2"/>
          <w:position w:val="0"/>
          <w14:ligatures w14:val="standardContextual"/>
        </w:rPr>
        <w:t>Perceived Level of Support for Developing Reflective Practice-Oriented Assessment Design</w:t>
      </w:r>
      <w:bookmarkEnd w:id="248"/>
    </w:p>
    <w:p w14:paraId="06E8D3AA" w14:textId="04C537D4" w:rsidR="00D50069" w:rsidRPr="00D50069" w:rsidRDefault="00D50069" w:rsidP="00D50069">
      <w:pPr>
        <w:spacing w:after="160" w:line="480" w:lineRule="auto"/>
        <w:jc w:val="both"/>
        <w:rPr>
          <w:rFonts w:eastAsia="Calibri"/>
          <w:kern w:val="2"/>
          <w:position w:val="0"/>
          <w14:ligatures w14:val="standardContextual"/>
        </w:rPr>
      </w:pPr>
      <w:r w:rsidRPr="00D50069">
        <w:rPr>
          <w:rFonts w:eastAsia="Calibri"/>
          <w:kern w:val="2"/>
          <w:position w:val="0"/>
          <w14:ligatures w14:val="standardContextual"/>
        </w:rPr>
        <w:t xml:space="preserve">       Actively applied knowledge is a powerful tool for problem-solving and informed decision-making. </w:t>
      </w:r>
      <w:r w:rsidRPr="00D50069">
        <w:rPr>
          <w:rFonts w:eastAsia="Calibri"/>
          <w:b/>
          <w:bCs/>
          <w:kern w:val="2"/>
          <w:position w:val="0"/>
          <w14:ligatures w14:val="standardContextual"/>
        </w:rPr>
        <w:t>Table 1</w:t>
      </w:r>
      <w:r w:rsidR="006737BE">
        <w:rPr>
          <w:rFonts w:eastAsia="Calibri"/>
          <w:b/>
          <w:bCs/>
          <w:kern w:val="2"/>
          <w:position w:val="0"/>
          <w14:ligatures w14:val="standardContextual"/>
        </w:rPr>
        <w:t>6</w:t>
      </w:r>
      <w:r w:rsidRPr="00D50069">
        <w:rPr>
          <w:rFonts w:eastAsia="Calibri"/>
          <w:kern w:val="2"/>
          <w:position w:val="0"/>
          <w14:ligatures w14:val="standardContextual"/>
        </w:rPr>
        <w:t xml:space="preserve"> and the bar chart (</w:t>
      </w:r>
      <w:r w:rsidRPr="00D50069">
        <w:rPr>
          <w:rFonts w:eastAsia="Calibri"/>
          <w:b/>
          <w:bCs/>
          <w:kern w:val="2"/>
          <w:position w:val="0"/>
          <w14:ligatures w14:val="standardContextual"/>
        </w:rPr>
        <w:t>Graph 18)</w:t>
      </w:r>
      <w:r w:rsidRPr="00D50069">
        <w:rPr>
          <w:rFonts w:eastAsia="Calibri"/>
          <w:kern w:val="2"/>
          <w:position w:val="0"/>
          <w14:ligatures w14:val="standardContextual"/>
        </w:rPr>
        <w:t xml:space="preserve"> illustrates the distribution of teachers’ engagement in reflection on assessment, incorporating self-assessment and peer-assessment strategies and applying specific reflective frameworks. All three categories received the highest rate of responses under “Sometimes” (33 %, 36 % and 32 %) and “Often” (29 %, 38 % and 43 %) options. This indicates an inclination towards moderate to frequent engagement. However, very few respondents reported performing the activity </w:t>
      </w:r>
      <w:bookmarkStart w:id="249" w:name="_Hlk198719723"/>
      <w:r w:rsidRPr="00D50069">
        <w:rPr>
          <w:rFonts w:eastAsia="Calibri"/>
          <w:kern w:val="2"/>
          <w:position w:val="0"/>
          <w14:ligatures w14:val="standardContextual"/>
        </w:rPr>
        <w:t>“Consistently”</w:t>
      </w:r>
      <w:bookmarkEnd w:id="249"/>
      <w:r w:rsidRPr="00D50069">
        <w:rPr>
          <w:rFonts w:eastAsia="Calibri"/>
          <w:kern w:val="2"/>
          <w:position w:val="0"/>
          <w14:ligatures w14:val="standardContextual"/>
        </w:rPr>
        <w:t>, with only 4 % to 6 % across the three categories. “Never” and “</w:t>
      </w:r>
      <w:proofErr w:type="gramStart"/>
      <w:r w:rsidRPr="00D50069">
        <w:rPr>
          <w:rFonts w:eastAsia="Calibri"/>
          <w:kern w:val="2"/>
          <w:position w:val="0"/>
          <w14:ligatures w14:val="standardContextual"/>
        </w:rPr>
        <w:t>Occasionally”</w:t>
      </w:r>
      <w:proofErr w:type="gramEnd"/>
      <w:r w:rsidRPr="00D50069">
        <w:rPr>
          <w:rFonts w:eastAsia="Calibri"/>
          <w:kern w:val="2"/>
          <w:position w:val="0"/>
          <w14:ligatures w14:val="standardContextual"/>
        </w:rPr>
        <w:t xml:space="preserve"> frequency ranges show the lowest percentages, especially in relation to self and peer assessment as well as reflective frameworks adoption. Therefore, data suggests that although </w:t>
      </w:r>
      <w:proofErr w:type="gramStart"/>
      <w:r w:rsidRPr="00D50069">
        <w:rPr>
          <w:rFonts w:eastAsia="Calibri"/>
          <w:kern w:val="2"/>
          <w:position w:val="0"/>
          <w14:ligatures w14:val="standardContextual"/>
        </w:rPr>
        <w:t>reflection and assessment as learning are regularly practiced by the majority</w:t>
      </w:r>
      <w:proofErr w:type="gramEnd"/>
      <w:r w:rsidRPr="00D50069">
        <w:rPr>
          <w:rFonts w:eastAsia="Calibri"/>
          <w:kern w:val="2"/>
          <w:position w:val="0"/>
          <w14:ligatures w14:val="standardContextual"/>
        </w:rPr>
        <w:t>, few do it consistently.</w:t>
      </w:r>
    </w:p>
    <w:p w14:paraId="2D0CC40D" w14:textId="73D86DF8" w:rsidR="00D50069" w:rsidRPr="00D50069" w:rsidRDefault="00D50069" w:rsidP="00D50069">
      <w:pPr>
        <w:spacing w:after="160" w:line="480" w:lineRule="auto"/>
        <w:jc w:val="both"/>
        <w:rPr>
          <w:rFonts w:eastAsia="Calibri"/>
          <w:kern w:val="2"/>
          <w:position w:val="0"/>
          <w14:ligatures w14:val="standardContextual"/>
        </w:rPr>
      </w:pPr>
      <w:r w:rsidRPr="00D50069">
        <w:rPr>
          <w:rFonts w:eastAsia="Calibri"/>
          <w:kern w:val="2"/>
          <w:position w:val="0"/>
          <w14:ligatures w14:val="standardContextual"/>
        </w:rPr>
        <w:t xml:space="preserve">        Furthermore, as it is confirmed in </w:t>
      </w:r>
      <w:r w:rsidRPr="00D50069">
        <w:rPr>
          <w:rFonts w:eastAsia="Calibri"/>
          <w:b/>
          <w:bCs/>
          <w:kern w:val="2"/>
          <w:position w:val="0"/>
          <w14:ligatures w14:val="standardContextual"/>
        </w:rPr>
        <w:t>Table 1</w:t>
      </w:r>
      <w:r w:rsidR="006737BE">
        <w:rPr>
          <w:rFonts w:eastAsia="Calibri"/>
          <w:b/>
          <w:bCs/>
          <w:kern w:val="2"/>
          <w:position w:val="0"/>
          <w14:ligatures w14:val="standardContextual"/>
        </w:rPr>
        <w:t>7</w:t>
      </w:r>
      <w:r w:rsidRPr="00D50069">
        <w:rPr>
          <w:rFonts w:eastAsia="Calibri"/>
          <w:kern w:val="2"/>
          <w:position w:val="0"/>
          <w14:ligatures w14:val="standardContextual"/>
        </w:rPr>
        <w:t xml:space="preserve"> and </w:t>
      </w:r>
      <w:r w:rsidRPr="00D50069">
        <w:rPr>
          <w:rFonts w:eastAsia="Calibri"/>
          <w:b/>
          <w:bCs/>
          <w:kern w:val="2"/>
          <w:position w:val="0"/>
          <w14:ligatures w14:val="standardContextual"/>
        </w:rPr>
        <w:t>Graph 19</w:t>
      </w:r>
      <w:r w:rsidRPr="00D50069">
        <w:rPr>
          <w:rFonts w:eastAsia="Calibri"/>
          <w:kern w:val="2"/>
          <w:position w:val="0"/>
          <w14:ligatures w14:val="standardContextual"/>
        </w:rPr>
        <w:t xml:space="preserve"> below, frequency responses to the three statements are moderately spread around the mean (around 3 score), with some </w:t>
      </w:r>
      <w:r w:rsidRPr="00D50069">
        <w:rPr>
          <w:rFonts w:eastAsia="Calibri"/>
          <w:kern w:val="2"/>
          <w:position w:val="0"/>
          <w14:ligatures w14:val="standardContextual"/>
        </w:rPr>
        <w:lastRenderedPageBreak/>
        <w:t xml:space="preserve">variation across participant involvement in reflective practice strategies. The consistent median of </w:t>
      </w:r>
      <w:proofErr w:type="gramStart"/>
      <w:r w:rsidRPr="00D50069">
        <w:rPr>
          <w:rFonts w:eastAsia="Calibri"/>
          <w:kern w:val="2"/>
          <w:position w:val="0"/>
          <w14:ligatures w14:val="standardContextual"/>
        </w:rPr>
        <w:t>3</w:t>
      </w:r>
      <w:proofErr w:type="gramEnd"/>
      <w:r w:rsidRPr="00D50069">
        <w:rPr>
          <w:rFonts w:eastAsia="Calibri"/>
          <w:kern w:val="2"/>
          <w:position w:val="0"/>
          <w14:ligatures w14:val="standardContextual"/>
        </w:rPr>
        <w:t xml:space="preserve"> implies that educators sometimes engage in reflective analytical practices. Respective standard deviations for the </w:t>
      </w:r>
      <w:proofErr w:type="gramStart"/>
      <w:r w:rsidRPr="00D50069">
        <w:rPr>
          <w:rFonts w:eastAsia="Calibri"/>
          <w:kern w:val="2"/>
          <w:position w:val="0"/>
          <w14:ligatures w14:val="standardContextual"/>
        </w:rPr>
        <w:t>three</w:t>
      </w:r>
      <w:proofErr w:type="gramEnd"/>
      <w:r w:rsidRPr="00D50069">
        <w:rPr>
          <w:rFonts w:eastAsia="Calibri"/>
          <w:kern w:val="2"/>
          <w:position w:val="0"/>
          <w14:ligatures w14:val="standardContextual"/>
        </w:rPr>
        <w:t xml:space="preserve"> items, 1.12, 1.01 and 1.03 imply that though data is not tightly clustered, it is not highly dispersed. Slight high variability in the first item makes it evident that OTCs members differed more in how frequently and regularly they reflect on assessments. In contrast, the second and the third items show slight less variation, indicating </w:t>
      </w:r>
      <w:proofErr w:type="gramStart"/>
      <w:r w:rsidRPr="00D50069">
        <w:rPr>
          <w:rFonts w:eastAsia="Calibri"/>
          <w:kern w:val="2"/>
          <w:position w:val="0"/>
          <w14:ligatures w14:val="standardContextual"/>
        </w:rPr>
        <w:t>more consistent responses</w:t>
      </w:r>
      <w:proofErr w:type="gramEnd"/>
      <w:r w:rsidRPr="00D50069">
        <w:rPr>
          <w:rFonts w:eastAsia="Calibri"/>
          <w:kern w:val="2"/>
          <w:position w:val="0"/>
          <w14:ligatures w14:val="standardContextual"/>
        </w:rPr>
        <w:t xml:space="preserve">. Overall, these statistical values reflect a moderate pattern of frequency, aligning with the findings presented in the clustered bar chart, </w:t>
      </w:r>
      <w:r w:rsidRPr="00D50069">
        <w:rPr>
          <w:rFonts w:eastAsia="Calibri"/>
          <w:b/>
          <w:bCs/>
          <w:kern w:val="2"/>
          <w:position w:val="0"/>
          <w14:ligatures w14:val="standardContextual"/>
        </w:rPr>
        <w:t>Graph 18</w:t>
      </w:r>
      <w:r w:rsidRPr="00D50069">
        <w:rPr>
          <w:rFonts w:eastAsia="Calibri"/>
          <w:kern w:val="2"/>
          <w:position w:val="0"/>
          <w14:ligatures w14:val="standardContextual"/>
        </w:rPr>
        <w:t xml:space="preserve">. </w:t>
      </w:r>
    </w:p>
    <w:p w14:paraId="5DC9EF67" w14:textId="77777777" w:rsidR="00D50069" w:rsidRPr="00D50069" w:rsidRDefault="00D50069" w:rsidP="00D50069">
      <w:pPr>
        <w:keepNext/>
        <w:spacing w:after="160" w:line="480" w:lineRule="auto"/>
        <w:rPr>
          <w:rFonts w:ascii="Calibri" w:eastAsia="Calibri" w:hAnsi="Calibri" w:cs="Arial"/>
          <w:kern w:val="2"/>
          <w:position w:val="0"/>
          <w:sz w:val="22"/>
          <w:szCs w:val="22"/>
          <w14:ligatures w14:val="standardContextual"/>
        </w:rPr>
      </w:pPr>
      <w:r w:rsidRPr="00D50069">
        <w:rPr>
          <w:rFonts w:ascii="Calibri" w:eastAsia="Calibri" w:hAnsi="Calibri" w:cs="Arial"/>
          <w:noProof/>
          <w:kern w:val="2"/>
          <w:position w:val="0"/>
          <w:sz w:val="22"/>
          <w:szCs w:val="22"/>
          <w:lang w:val="fr-FR" w:eastAsia="fr-FR"/>
          <w14:ligatures w14:val="standardContextual"/>
        </w:rPr>
        <w:drawing>
          <wp:inline distT="0" distB="0" distL="0" distR="0" wp14:anchorId="08FACDB0" wp14:editId="6F82F01B">
            <wp:extent cx="5699125" cy="2949575"/>
            <wp:effectExtent l="0" t="0" r="15875" b="3175"/>
            <wp:docPr id="1959289673" name="Chart 1">
              <a:extLst xmlns:a="http://schemas.openxmlformats.org/drawingml/2006/main">
                <a:ext uri="{FF2B5EF4-FFF2-40B4-BE49-F238E27FC236}">
                  <a16:creationId xmlns:a16="http://schemas.microsoft.com/office/drawing/2014/main"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429C2E45-FA87-9038-FFFB-1FA06B3A049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inline>
        </w:drawing>
      </w:r>
    </w:p>
    <w:p w14:paraId="382E60BE" w14:textId="1B57061D" w:rsidR="00D50069" w:rsidRDefault="00D50069" w:rsidP="006737BE">
      <w:pPr>
        <w:spacing w:after="200" w:line="480" w:lineRule="auto"/>
        <w:rPr>
          <w:rFonts w:eastAsia="Calibri"/>
          <w:i/>
          <w:iCs/>
          <w:kern w:val="2"/>
          <w:position w:val="0"/>
          <w14:ligatures w14:val="standardContextual"/>
        </w:rPr>
      </w:pPr>
      <w:bookmarkStart w:id="250" w:name="_Toc199695833"/>
      <w:r w:rsidRPr="00D50069">
        <w:rPr>
          <w:rFonts w:eastAsia="Calibri"/>
          <w:b/>
          <w:bCs/>
          <w:kern w:val="2"/>
          <w:position w:val="0"/>
          <w14:ligatures w14:val="standardContextual"/>
        </w:rPr>
        <w:t xml:space="preserve">Graph </w:t>
      </w:r>
      <w:r w:rsidRPr="00D50069">
        <w:rPr>
          <w:rFonts w:eastAsia="Calibri"/>
          <w:b/>
          <w:bCs/>
          <w:kern w:val="2"/>
          <w:position w:val="0"/>
          <w14:ligatures w14:val="standardContextual"/>
        </w:rPr>
        <w:fldChar w:fldCharType="begin"/>
      </w:r>
      <w:r w:rsidRPr="00D50069">
        <w:rPr>
          <w:rFonts w:eastAsia="Calibri"/>
          <w:b/>
          <w:bCs/>
          <w:kern w:val="2"/>
          <w:position w:val="0"/>
          <w14:ligatures w14:val="standardContextual"/>
        </w:rPr>
        <w:instrText xml:space="preserve"> SEQ Graph \* ARABIC </w:instrText>
      </w:r>
      <w:r w:rsidRPr="00D50069">
        <w:rPr>
          <w:rFonts w:eastAsia="Calibri"/>
          <w:b/>
          <w:bCs/>
          <w:kern w:val="2"/>
          <w:position w:val="0"/>
          <w14:ligatures w14:val="standardContextual"/>
        </w:rPr>
        <w:fldChar w:fldCharType="separate"/>
      </w:r>
      <w:r w:rsidR="00DC3231">
        <w:rPr>
          <w:rFonts w:eastAsia="Calibri"/>
          <w:b/>
          <w:bCs/>
          <w:noProof/>
          <w:kern w:val="2"/>
          <w:position w:val="0"/>
          <w14:ligatures w14:val="standardContextual"/>
        </w:rPr>
        <w:t>18</w:t>
      </w:r>
      <w:r w:rsidRPr="00D50069">
        <w:rPr>
          <w:rFonts w:eastAsia="Calibri"/>
          <w:b/>
          <w:bCs/>
          <w:kern w:val="2"/>
          <w:position w:val="0"/>
          <w14:ligatures w14:val="standardContextual"/>
        </w:rPr>
        <w:fldChar w:fldCharType="end"/>
      </w:r>
      <w:r w:rsidRPr="00D50069">
        <w:rPr>
          <w:rFonts w:eastAsia="Calibri"/>
          <w:i/>
          <w:iCs/>
          <w:kern w:val="2"/>
          <w:position w:val="0"/>
          <w14:ligatures w14:val="standardContextual"/>
        </w:rPr>
        <w:t xml:space="preserve"> Frequency of Implementing Reflective Assessment Strategies by OTCs Teacher Practitioners.</w:t>
      </w:r>
      <w:bookmarkEnd w:id="250"/>
    </w:p>
    <w:p w14:paraId="7DFED62E" w14:textId="0BC6DCC1" w:rsidR="00E10507" w:rsidRDefault="00E10507">
      <w:pPr>
        <w:rPr>
          <w:rFonts w:eastAsia="Calibri"/>
          <w:i/>
          <w:iCs/>
          <w:kern w:val="2"/>
          <w:position w:val="0"/>
          <w14:ligatures w14:val="standardContextual"/>
        </w:rPr>
      </w:pPr>
      <w:r>
        <w:rPr>
          <w:rFonts w:eastAsia="Calibri"/>
          <w:i/>
          <w:iCs/>
          <w:kern w:val="2"/>
          <w:position w:val="0"/>
          <w14:ligatures w14:val="standardContextual"/>
        </w:rPr>
        <w:br w:type="page"/>
      </w:r>
    </w:p>
    <w:p w14:paraId="7A7CC3CF" w14:textId="02DD61B8" w:rsidR="00887C45" w:rsidRDefault="00D50069" w:rsidP="00D50069">
      <w:pPr>
        <w:keepNext/>
        <w:spacing w:after="200" w:line="480" w:lineRule="auto"/>
        <w:rPr>
          <w:rFonts w:eastAsia="Calibri"/>
          <w:i/>
          <w:iCs/>
          <w:kern w:val="2"/>
          <w:position w:val="0"/>
          <w14:ligatures w14:val="standardContextual"/>
        </w:rPr>
      </w:pPr>
      <w:bookmarkStart w:id="251" w:name="_Toc199832010"/>
      <w:bookmarkStart w:id="252" w:name="_Toc199832379"/>
      <w:bookmarkStart w:id="253" w:name="_Toc200446664"/>
      <w:bookmarkStart w:id="254" w:name="_GoBack"/>
      <w:bookmarkEnd w:id="254"/>
      <w:r w:rsidRPr="00D50069">
        <w:rPr>
          <w:rFonts w:eastAsia="Calibri"/>
          <w:b/>
          <w:bCs/>
          <w:kern w:val="2"/>
          <w:position w:val="0"/>
          <w14:ligatures w14:val="standardContextual"/>
        </w:rPr>
        <w:lastRenderedPageBreak/>
        <w:t xml:space="preserve">Table </w:t>
      </w:r>
      <w:r w:rsidR="00274F6F" w:rsidRPr="006737BE">
        <w:rPr>
          <w:rFonts w:eastAsia="Calibri"/>
          <w:b/>
          <w:bCs/>
          <w:kern w:val="2"/>
          <w:position w:val="0"/>
          <w14:ligatures w14:val="standardContextual"/>
        </w:rPr>
        <w:fldChar w:fldCharType="begin"/>
      </w:r>
      <w:r w:rsidR="00274F6F" w:rsidRPr="006737BE">
        <w:rPr>
          <w:rFonts w:eastAsia="Calibri"/>
          <w:b/>
          <w:bCs/>
          <w:kern w:val="2"/>
          <w:position w:val="0"/>
          <w14:ligatures w14:val="standardContextual"/>
        </w:rPr>
        <w:instrText xml:space="preserve"> SEQ Table \* ARABIC </w:instrText>
      </w:r>
      <w:r w:rsidR="00274F6F" w:rsidRPr="006737BE">
        <w:rPr>
          <w:rFonts w:eastAsia="Calibri"/>
          <w:b/>
          <w:bCs/>
          <w:kern w:val="2"/>
          <w:position w:val="0"/>
          <w14:ligatures w14:val="standardContextual"/>
        </w:rPr>
        <w:fldChar w:fldCharType="separate"/>
      </w:r>
      <w:r w:rsidR="00DC3231">
        <w:rPr>
          <w:rFonts w:eastAsia="Calibri"/>
          <w:b/>
          <w:bCs/>
          <w:noProof/>
          <w:kern w:val="2"/>
          <w:position w:val="0"/>
          <w14:ligatures w14:val="standardContextual"/>
        </w:rPr>
        <w:t>16</w:t>
      </w:r>
      <w:r w:rsidR="00274F6F" w:rsidRPr="006737BE">
        <w:rPr>
          <w:rFonts w:eastAsia="Calibri"/>
          <w:b/>
          <w:bCs/>
          <w:kern w:val="2"/>
          <w:position w:val="0"/>
          <w14:ligatures w14:val="standardContextual"/>
        </w:rPr>
        <w:fldChar w:fldCharType="end"/>
      </w:r>
      <w:r w:rsidRPr="00D50069">
        <w:rPr>
          <w:rFonts w:eastAsia="Calibri"/>
          <w:i/>
          <w:iCs/>
          <w:kern w:val="2"/>
          <w:position w:val="0"/>
          <w14:ligatures w14:val="standardContextual"/>
        </w:rPr>
        <w:t xml:space="preserve"> </w:t>
      </w:r>
    </w:p>
    <w:p w14:paraId="664232EF" w14:textId="51D88540" w:rsidR="00D50069" w:rsidRPr="00887C45" w:rsidRDefault="00D50069" w:rsidP="00D50069">
      <w:pPr>
        <w:keepNext/>
        <w:spacing w:after="200" w:line="480" w:lineRule="auto"/>
        <w:rPr>
          <w:rFonts w:eastAsia="Calibri"/>
          <w:kern w:val="2"/>
          <w:position w:val="0"/>
          <w14:ligatures w14:val="standardContextual"/>
        </w:rPr>
      </w:pPr>
      <w:r w:rsidRPr="00887C45">
        <w:rPr>
          <w:rFonts w:eastAsia="Calibri"/>
          <w:kern w:val="2"/>
          <w:position w:val="0"/>
          <w14:ligatures w14:val="standardContextual"/>
        </w:rPr>
        <w:t>Frequency of Implementing Reflective Assessment Strategies by OTCs Members</w:t>
      </w:r>
      <w:bookmarkEnd w:id="251"/>
      <w:bookmarkEnd w:id="252"/>
      <w:bookmarkEnd w:id="253"/>
    </w:p>
    <w:tbl>
      <w:tblPr>
        <w:tblStyle w:val="Tableausimple2"/>
        <w:tblW w:w="9351" w:type="dxa"/>
        <w:tblLook w:val="04A0" w:firstRow="1" w:lastRow="0" w:firstColumn="1" w:lastColumn="0" w:noHBand="0" w:noVBand="1"/>
      </w:tblPr>
      <w:tblGrid>
        <w:gridCol w:w="2427"/>
        <w:gridCol w:w="910"/>
        <w:gridCol w:w="1523"/>
        <w:gridCol w:w="1323"/>
        <w:gridCol w:w="836"/>
        <w:gridCol w:w="1483"/>
        <w:gridCol w:w="849"/>
      </w:tblGrid>
      <w:tr w:rsidR="00D50069" w:rsidRPr="00D50069" w14:paraId="22C91F4A" w14:textId="77777777" w:rsidTr="00C141A1">
        <w:trPr>
          <w:cnfStyle w:val="100000000000" w:firstRow="1" w:lastRow="0" w:firstColumn="0" w:lastColumn="0" w:oddVBand="0" w:evenVBand="0" w:oddHBand="0" w:evenHBand="0" w:firstRowFirstColumn="0" w:firstRowLastColumn="0" w:lastRowFirstColumn="0" w:lastRowLastColumn="0"/>
          <w:trHeight w:val="275"/>
        </w:trPr>
        <w:tc>
          <w:tcPr>
            <w:cnfStyle w:val="001000000000" w:firstRow="0" w:lastRow="0" w:firstColumn="1" w:lastColumn="0" w:oddVBand="0" w:evenVBand="0" w:oddHBand="0" w:evenHBand="0" w:firstRowFirstColumn="0" w:firstRowLastColumn="0" w:lastRowFirstColumn="0" w:lastRowLastColumn="0"/>
            <w:tcW w:w="3550" w:type="dxa"/>
            <w:vMerge w:val="restart"/>
          </w:tcPr>
          <w:p w14:paraId="14A8F9D5" w14:textId="77777777" w:rsidR="00D50069" w:rsidRPr="00D50069" w:rsidRDefault="00D50069" w:rsidP="00A532D5">
            <w:pPr>
              <w:spacing w:line="480" w:lineRule="auto"/>
              <w:rPr>
                <w:rFonts w:ascii="Times New Roman" w:eastAsia="Calibri" w:hAnsi="Times New Roman" w:cs="Times New Roman"/>
                <w:position w:val="0"/>
              </w:rPr>
            </w:pPr>
            <w:r w:rsidRPr="00D50069">
              <w:rPr>
                <w:rFonts w:ascii="Times New Roman" w:eastAsia="Calibri" w:hAnsi="Times New Roman" w:cs="Times New Roman"/>
                <w:position w:val="0"/>
              </w:rPr>
              <w:t>Statements</w:t>
            </w:r>
          </w:p>
        </w:tc>
        <w:tc>
          <w:tcPr>
            <w:tcW w:w="998" w:type="dxa"/>
          </w:tcPr>
          <w:p w14:paraId="31850F49" w14:textId="77777777" w:rsidR="00D50069" w:rsidRPr="00D50069" w:rsidRDefault="00D50069" w:rsidP="00A532D5">
            <w:pPr>
              <w:spacing w:line="480" w:lineRule="auto"/>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Never</w:t>
            </w:r>
          </w:p>
        </w:tc>
        <w:tc>
          <w:tcPr>
            <w:tcW w:w="1054" w:type="dxa"/>
          </w:tcPr>
          <w:p w14:paraId="58A8321E" w14:textId="77777777" w:rsidR="00D50069" w:rsidRPr="00D50069" w:rsidRDefault="00D50069" w:rsidP="00A532D5">
            <w:pPr>
              <w:spacing w:line="480" w:lineRule="auto"/>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 xml:space="preserve">Occasionally </w:t>
            </w:r>
          </w:p>
        </w:tc>
        <w:tc>
          <w:tcPr>
            <w:tcW w:w="923" w:type="dxa"/>
          </w:tcPr>
          <w:p w14:paraId="4797977E" w14:textId="77777777" w:rsidR="00D50069" w:rsidRPr="00D50069" w:rsidRDefault="00D50069" w:rsidP="00A532D5">
            <w:pPr>
              <w:spacing w:line="480" w:lineRule="auto"/>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 xml:space="preserve">Sometimes </w:t>
            </w:r>
          </w:p>
        </w:tc>
        <w:tc>
          <w:tcPr>
            <w:tcW w:w="871" w:type="dxa"/>
          </w:tcPr>
          <w:p w14:paraId="1D9B9A83" w14:textId="77777777" w:rsidR="00D50069" w:rsidRPr="00D50069" w:rsidRDefault="00D50069" w:rsidP="00A532D5">
            <w:pPr>
              <w:spacing w:line="480" w:lineRule="auto"/>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 xml:space="preserve">Often </w:t>
            </w:r>
          </w:p>
        </w:tc>
        <w:tc>
          <w:tcPr>
            <w:tcW w:w="1028" w:type="dxa"/>
          </w:tcPr>
          <w:p w14:paraId="75834FFB" w14:textId="77777777" w:rsidR="00D50069" w:rsidRPr="00D50069" w:rsidRDefault="00D50069" w:rsidP="00A532D5">
            <w:pPr>
              <w:spacing w:line="480" w:lineRule="auto"/>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 xml:space="preserve">Consistently </w:t>
            </w:r>
          </w:p>
        </w:tc>
        <w:tc>
          <w:tcPr>
            <w:tcW w:w="927" w:type="dxa"/>
          </w:tcPr>
          <w:p w14:paraId="49A03975" w14:textId="77777777" w:rsidR="00D50069" w:rsidRPr="00D50069" w:rsidRDefault="00D50069" w:rsidP="00A532D5">
            <w:pPr>
              <w:spacing w:line="480" w:lineRule="auto"/>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Total</w:t>
            </w:r>
          </w:p>
        </w:tc>
      </w:tr>
      <w:tr w:rsidR="00D50069" w:rsidRPr="00D50069" w14:paraId="5978A5D0" w14:textId="77777777" w:rsidTr="00C141A1">
        <w:trPr>
          <w:cnfStyle w:val="000000100000" w:firstRow="0" w:lastRow="0" w:firstColumn="0" w:lastColumn="0" w:oddVBand="0" w:evenVBand="0" w:oddHBand="1" w:evenHBand="0" w:firstRowFirstColumn="0" w:firstRowLastColumn="0" w:lastRowFirstColumn="0" w:lastRowLastColumn="0"/>
          <w:trHeight w:val="275"/>
        </w:trPr>
        <w:tc>
          <w:tcPr>
            <w:cnfStyle w:val="001000000000" w:firstRow="0" w:lastRow="0" w:firstColumn="1" w:lastColumn="0" w:oddVBand="0" w:evenVBand="0" w:oddHBand="0" w:evenHBand="0" w:firstRowFirstColumn="0" w:firstRowLastColumn="0" w:lastRowFirstColumn="0" w:lastRowLastColumn="0"/>
            <w:tcW w:w="3550" w:type="dxa"/>
            <w:vMerge/>
          </w:tcPr>
          <w:p w14:paraId="18C20EEF" w14:textId="77777777" w:rsidR="00D50069" w:rsidRPr="00D50069" w:rsidRDefault="00D50069" w:rsidP="00A532D5">
            <w:pPr>
              <w:spacing w:line="480" w:lineRule="auto"/>
              <w:rPr>
                <w:rFonts w:ascii="Times New Roman" w:eastAsia="Calibri" w:hAnsi="Times New Roman" w:cs="Times New Roman"/>
                <w:position w:val="0"/>
              </w:rPr>
            </w:pPr>
          </w:p>
        </w:tc>
        <w:tc>
          <w:tcPr>
            <w:tcW w:w="5801" w:type="dxa"/>
            <w:gridSpan w:val="6"/>
          </w:tcPr>
          <w:p w14:paraId="67C3B160" w14:textId="77777777" w:rsidR="00D50069" w:rsidRPr="00D50069" w:rsidRDefault="00D50069" w:rsidP="00A532D5">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 xml:space="preserve">Frequency and Percentage </w:t>
            </w:r>
          </w:p>
        </w:tc>
      </w:tr>
      <w:tr w:rsidR="00D50069" w:rsidRPr="00D50069" w14:paraId="3C868645" w14:textId="77777777" w:rsidTr="00C141A1">
        <w:tc>
          <w:tcPr>
            <w:cnfStyle w:val="001000000000" w:firstRow="0" w:lastRow="0" w:firstColumn="1" w:lastColumn="0" w:oddVBand="0" w:evenVBand="0" w:oddHBand="0" w:evenHBand="0" w:firstRowFirstColumn="0" w:firstRowLastColumn="0" w:lastRowFirstColumn="0" w:lastRowLastColumn="0"/>
            <w:tcW w:w="3550" w:type="dxa"/>
          </w:tcPr>
          <w:p w14:paraId="047DF2A9" w14:textId="77777777" w:rsidR="00D50069" w:rsidRPr="00D50069" w:rsidRDefault="00D50069" w:rsidP="00A532D5">
            <w:pPr>
              <w:spacing w:line="480" w:lineRule="auto"/>
              <w:rPr>
                <w:rFonts w:ascii="Times New Roman" w:eastAsia="Calibri" w:hAnsi="Times New Roman" w:cs="Times New Roman"/>
                <w:position w:val="0"/>
              </w:rPr>
            </w:pPr>
            <w:r w:rsidRPr="00D50069">
              <w:rPr>
                <w:rFonts w:ascii="Times New Roman" w:eastAsia="Calibri" w:hAnsi="Times New Roman" w:cs="Times New Roman"/>
                <w:position w:val="0"/>
              </w:rPr>
              <w:t>Regular Reflection</w:t>
            </w:r>
          </w:p>
          <w:p w14:paraId="6ED2E58E" w14:textId="77777777" w:rsidR="00D50069" w:rsidRPr="00D50069" w:rsidRDefault="00D50069" w:rsidP="00A532D5">
            <w:pPr>
              <w:spacing w:line="480" w:lineRule="auto"/>
              <w:rPr>
                <w:rFonts w:ascii="Times New Roman" w:eastAsia="Calibri" w:hAnsi="Times New Roman" w:cs="Times New Roman"/>
                <w:position w:val="0"/>
              </w:rPr>
            </w:pPr>
          </w:p>
        </w:tc>
        <w:tc>
          <w:tcPr>
            <w:tcW w:w="998" w:type="dxa"/>
          </w:tcPr>
          <w:p w14:paraId="2BBD6037" w14:textId="77777777" w:rsidR="00D50069" w:rsidRPr="00D50069" w:rsidRDefault="00D50069" w:rsidP="00A532D5">
            <w:pPr>
              <w:spacing w:line="48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07</w:t>
            </w:r>
          </w:p>
          <w:p w14:paraId="1B20D98D" w14:textId="77777777" w:rsidR="00D50069" w:rsidRPr="00D50069" w:rsidRDefault="00D50069" w:rsidP="00A532D5">
            <w:pPr>
              <w:spacing w:line="48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15 %</w:t>
            </w:r>
          </w:p>
        </w:tc>
        <w:tc>
          <w:tcPr>
            <w:tcW w:w="1054" w:type="dxa"/>
          </w:tcPr>
          <w:p w14:paraId="5646B935" w14:textId="77777777" w:rsidR="00D50069" w:rsidRPr="00D50069" w:rsidRDefault="00D50069" w:rsidP="00A532D5">
            <w:pPr>
              <w:spacing w:line="48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09</w:t>
            </w:r>
          </w:p>
          <w:p w14:paraId="723C0EED" w14:textId="77777777" w:rsidR="00D50069" w:rsidRPr="00D50069" w:rsidRDefault="00D50069" w:rsidP="00A532D5">
            <w:pPr>
              <w:spacing w:line="48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19 %</w:t>
            </w:r>
          </w:p>
        </w:tc>
        <w:tc>
          <w:tcPr>
            <w:tcW w:w="923" w:type="dxa"/>
          </w:tcPr>
          <w:p w14:paraId="051590CA" w14:textId="77777777" w:rsidR="00D50069" w:rsidRPr="00D50069" w:rsidRDefault="00D50069" w:rsidP="00A532D5">
            <w:pPr>
              <w:spacing w:line="48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16</w:t>
            </w:r>
          </w:p>
          <w:p w14:paraId="27603E12" w14:textId="77777777" w:rsidR="00D50069" w:rsidRPr="00D50069" w:rsidRDefault="00D50069" w:rsidP="00A532D5">
            <w:pPr>
              <w:spacing w:line="48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33 %</w:t>
            </w:r>
          </w:p>
        </w:tc>
        <w:tc>
          <w:tcPr>
            <w:tcW w:w="871" w:type="dxa"/>
          </w:tcPr>
          <w:p w14:paraId="323A0438" w14:textId="77777777" w:rsidR="00D50069" w:rsidRPr="00D50069" w:rsidRDefault="00D50069" w:rsidP="00A532D5">
            <w:pPr>
              <w:spacing w:line="48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14</w:t>
            </w:r>
          </w:p>
          <w:p w14:paraId="76C09D5A" w14:textId="77777777" w:rsidR="00D50069" w:rsidRPr="00D50069" w:rsidRDefault="00D50069" w:rsidP="00A532D5">
            <w:pPr>
              <w:spacing w:line="48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29 %</w:t>
            </w:r>
          </w:p>
        </w:tc>
        <w:tc>
          <w:tcPr>
            <w:tcW w:w="1028" w:type="dxa"/>
          </w:tcPr>
          <w:p w14:paraId="56616AB3" w14:textId="77777777" w:rsidR="00D50069" w:rsidRPr="00D50069" w:rsidRDefault="00D50069" w:rsidP="00A532D5">
            <w:pPr>
              <w:spacing w:line="48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02</w:t>
            </w:r>
          </w:p>
          <w:p w14:paraId="7247292B" w14:textId="77777777" w:rsidR="00D50069" w:rsidRPr="00D50069" w:rsidRDefault="00D50069" w:rsidP="00A532D5">
            <w:pPr>
              <w:spacing w:line="48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04%</w:t>
            </w:r>
          </w:p>
        </w:tc>
        <w:tc>
          <w:tcPr>
            <w:tcW w:w="927" w:type="dxa"/>
          </w:tcPr>
          <w:p w14:paraId="2F035627" w14:textId="77777777" w:rsidR="00D50069" w:rsidRPr="00D50069" w:rsidRDefault="00D50069" w:rsidP="00A532D5">
            <w:pPr>
              <w:spacing w:line="48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48</w:t>
            </w:r>
          </w:p>
          <w:p w14:paraId="2E0CCFA4" w14:textId="77777777" w:rsidR="00D50069" w:rsidRPr="00D50069" w:rsidRDefault="00D50069" w:rsidP="00A532D5">
            <w:pPr>
              <w:spacing w:line="48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100 %</w:t>
            </w:r>
          </w:p>
        </w:tc>
      </w:tr>
      <w:tr w:rsidR="00D50069" w:rsidRPr="00D50069" w14:paraId="44EA84E8" w14:textId="77777777" w:rsidTr="00C141A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50" w:type="dxa"/>
          </w:tcPr>
          <w:p w14:paraId="30CE240C" w14:textId="060AEE25" w:rsidR="00D50069" w:rsidRPr="00D50069" w:rsidRDefault="00D50069" w:rsidP="00A532D5">
            <w:pPr>
              <w:spacing w:line="480" w:lineRule="auto"/>
              <w:rPr>
                <w:rFonts w:ascii="Times New Roman" w:eastAsia="Calibri" w:hAnsi="Times New Roman" w:cs="Times New Roman"/>
                <w:position w:val="0"/>
              </w:rPr>
            </w:pPr>
            <w:r w:rsidRPr="00D50069">
              <w:rPr>
                <w:rFonts w:ascii="Times New Roman" w:eastAsia="Calibri" w:hAnsi="Times New Roman" w:cs="Times New Roman"/>
                <w:position w:val="0"/>
              </w:rPr>
              <w:t>Self and Peer Assessment</w:t>
            </w:r>
          </w:p>
        </w:tc>
        <w:tc>
          <w:tcPr>
            <w:tcW w:w="998" w:type="dxa"/>
          </w:tcPr>
          <w:p w14:paraId="6F499EEC" w14:textId="77777777" w:rsidR="00D50069" w:rsidRPr="00D50069" w:rsidRDefault="00D50069" w:rsidP="00A532D5">
            <w:pPr>
              <w:spacing w:line="480"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04</w:t>
            </w:r>
          </w:p>
          <w:p w14:paraId="7662B745" w14:textId="77777777" w:rsidR="00D50069" w:rsidRPr="00D50069" w:rsidRDefault="00D50069" w:rsidP="00A532D5">
            <w:pPr>
              <w:spacing w:line="480"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09 %</w:t>
            </w:r>
          </w:p>
        </w:tc>
        <w:tc>
          <w:tcPr>
            <w:tcW w:w="1054" w:type="dxa"/>
          </w:tcPr>
          <w:p w14:paraId="441DD5DE" w14:textId="77777777" w:rsidR="00D50069" w:rsidRPr="00D50069" w:rsidRDefault="00D50069" w:rsidP="00A532D5">
            <w:pPr>
              <w:spacing w:line="480"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06</w:t>
            </w:r>
          </w:p>
          <w:p w14:paraId="47A26C9B" w14:textId="77777777" w:rsidR="00D50069" w:rsidRPr="00D50069" w:rsidRDefault="00D50069" w:rsidP="00A532D5">
            <w:pPr>
              <w:spacing w:line="480"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13 %</w:t>
            </w:r>
          </w:p>
        </w:tc>
        <w:tc>
          <w:tcPr>
            <w:tcW w:w="923" w:type="dxa"/>
          </w:tcPr>
          <w:p w14:paraId="3D2D50AC" w14:textId="77777777" w:rsidR="00D50069" w:rsidRPr="00D50069" w:rsidRDefault="00D50069" w:rsidP="00A532D5">
            <w:pPr>
              <w:spacing w:line="480"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17</w:t>
            </w:r>
          </w:p>
          <w:p w14:paraId="0E7CB293" w14:textId="77777777" w:rsidR="00D50069" w:rsidRPr="00D50069" w:rsidRDefault="00D50069" w:rsidP="00A532D5">
            <w:pPr>
              <w:spacing w:line="480"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36 %</w:t>
            </w:r>
          </w:p>
        </w:tc>
        <w:tc>
          <w:tcPr>
            <w:tcW w:w="871" w:type="dxa"/>
          </w:tcPr>
          <w:p w14:paraId="60DB6DF1" w14:textId="77777777" w:rsidR="00D50069" w:rsidRPr="00D50069" w:rsidRDefault="00D50069" w:rsidP="00A532D5">
            <w:pPr>
              <w:spacing w:line="480"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18</w:t>
            </w:r>
          </w:p>
          <w:p w14:paraId="5D15ADC3" w14:textId="77777777" w:rsidR="00D50069" w:rsidRPr="00D50069" w:rsidRDefault="00D50069" w:rsidP="00A532D5">
            <w:pPr>
              <w:spacing w:line="480"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38 %</w:t>
            </w:r>
          </w:p>
        </w:tc>
        <w:tc>
          <w:tcPr>
            <w:tcW w:w="1028" w:type="dxa"/>
          </w:tcPr>
          <w:p w14:paraId="23B7EB4E" w14:textId="77777777" w:rsidR="00D50069" w:rsidRPr="00D50069" w:rsidRDefault="00D50069" w:rsidP="00A532D5">
            <w:pPr>
              <w:spacing w:line="480"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02</w:t>
            </w:r>
          </w:p>
          <w:p w14:paraId="61CAE487" w14:textId="77777777" w:rsidR="00D50069" w:rsidRPr="00D50069" w:rsidRDefault="00D50069" w:rsidP="00A532D5">
            <w:pPr>
              <w:spacing w:line="480"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04 %</w:t>
            </w:r>
          </w:p>
        </w:tc>
        <w:tc>
          <w:tcPr>
            <w:tcW w:w="927" w:type="dxa"/>
          </w:tcPr>
          <w:p w14:paraId="3FADFD0A" w14:textId="77777777" w:rsidR="00D50069" w:rsidRPr="00D50069" w:rsidRDefault="00D50069" w:rsidP="00A532D5">
            <w:pPr>
              <w:spacing w:line="480"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 xml:space="preserve">47 </w:t>
            </w:r>
          </w:p>
          <w:p w14:paraId="10D134FD" w14:textId="77777777" w:rsidR="00D50069" w:rsidRPr="00D50069" w:rsidRDefault="00D50069" w:rsidP="00A532D5">
            <w:pPr>
              <w:spacing w:line="480"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100 %</w:t>
            </w:r>
          </w:p>
        </w:tc>
      </w:tr>
      <w:tr w:rsidR="00D50069" w:rsidRPr="00D50069" w14:paraId="5F771633" w14:textId="77777777" w:rsidTr="00C141A1">
        <w:tc>
          <w:tcPr>
            <w:cnfStyle w:val="001000000000" w:firstRow="0" w:lastRow="0" w:firstColumn="1" w:lastColumn="0" w:oddVBand="0" w:evenVBand="0" w:oddHBand="0" w:evenHBand="0" w:firstRowFirstColumn="0" w:firstRowLastColumn="0" w:lastRowFirstColumn="0" w:lastRowLastColumn="0"/>
            <w:tcW w:w="3550" w:type="dxa"/>
          </w:tcPr>
          <w:p w14:paraId="73F99E8E" w14:textId="77777777" w:rsidR="00D50069" w:rsidRPr="00D50069" w:rsidRDefault="00D50069" w:rsidP="00A532D5">
            <w:pPr>
              <w:spacing w:line="480" w:lineRule="auto"/>
              <w:rPr>
                <w:rFonts w:ascii="Times New Roman" w:eastAsia="Calibri" w:hAnsi="Times New Roman" w:cs="Times New Roman"/>
                <w:position w:val="0"/>
              </w:rPr>
            </w:pPr>
            <w:r w:rsidRPr="00D50069">
              <w:rPr>
                <w:rFonts w:ascii="Times New Roman" w:eastAsia="Calibri" w:hAnsi="Times New Roman" w:cs="Times New Roman"/>
                <w:position w:val="0"/>
              </w:rPr>
              <w:t>Reflective Models</w:t>
            </w:r>
          </w:p>
          <w:p w14:paraId="4A44AB77" w14:textId="77777777" w:rsidR="00D50069" w:rsidRPr="00D50069" w:rsidRDefault="00D50069" w:rsidP="00A532D5">
            <w:pPr>
              <w:spacing w:line="480" w:lineRule="auto"/>
              <w:rPr>
                <w:rFonts w:ascii="Times New Roman" w:eastAsia="Calibri" w:hAnsi="Times New Roman" w:cs="Times New Roman"/>
                <w:position w:val="0"/>
              </w:rPr>
            </w:pPr>
          </w:p>
        </w:tc>
        <w:tc>
          <w:tcPr>
            <w:tcW w:w="998" w:type="dxa"/>
          </w:tcPr>
          <w:p w14:paraId="4772D410" w14:textId="77777777" w:rsidR="00D50069" w:rsidRPr="00D50069" w:rsidRDefault="00D50069" w:rsidP="00A532D5">
            <w:pPr>
              <w:spacing w:line="48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05</w:t>
            </w:r>
          </w:p>
          <w:p w14:paraId="1B3E4FDE" w14:textId="77777777" w:rsidR="00D50069" w:rsidRPr="00D50069" w:rsidRDefault="00D50069" w:rsidP="00A532D5">
            <w:pPr>
              <w:spacing w:line="48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11 %</w:t>
            </w:r>
          </w:p>
        </w:tc>
        <w:tc>
          <w:tcPr>
            <w:tcW w:w="1054" w:type="dxa"/>
          </w:tcPr>
          <w:p w14:paraId="408ABA43" w14:textId="77777777" w:rsidR="00D50069" w:rsidRPr="00D50069" w:rsidRDefault="00D50069" w:rsidP="00A532D5">
            <w:pPr>
              <w:spacing w:line="48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04</w:t>
            </w:r>
          </w:p>
          <w:p w14:paraId="2518622D" w14:textId="77777777" w:rsidR="00D50069" w:rsidRPr="00D50069" w:rsidRDefault="00D50069" w:rsidP="00A532D5">
            <w:pPr>
              <w:spacing w:line="48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09 %</w:t>
            </w:r>
          </w:p>
        </w:tc>
        <w:tc>
          <w:tcPr>
            <w:tcW w:w="923" w:type="dxa"/>
          </w:tcPr>
          <w:p w14:paraId="337B16EA" w14:textId="77777777" w:rsidR="00D50069" w:rsidRPr="00D50069" w:rsidRDefault="00D50069" w:rsidP="00A532D5">
            <w:pPr>
              <w:spacing w:line="48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15</w:t>
            </w:r>
          </w:p>
          <w:p w14:paraId="142ADC30" w14:textId="77777777" w:rsidR="00D50069" w:rsidRPr="00D50069" w:rsidRDefault="00D50069" w:rsidP="00A532D5">
            <w:pPr>
              <w:spacing w:line="48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32 %</w:t>
            </w:r>
          </w:p>
        </w:tc>
        <w:tc>
          <w:tcPr>
            <w:tcW w:w="871" w:type="dxa"/>
          </w:tcPr>
          <w:p w14:paraId="4B4DD45C" w14:textId="77777777" w:rsidR="00D50069" w:rsidRPr="00D50069" w:rsidRDefault="00D50069" w:rsidP="00A532D5">
            <w:pPr>
              <w:spacing w:line="48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20</w:t>
            </w:r>
          </w:p>
          <w:p w14:paraId="03D8ACBC" w14:textId="77777777" w:rsidR="00D50069" w:rsidRPr="00D50069" w:rsidRDefault="00D50069" w:rsidP="00A532D5">
            <w:pPr>
              <w:spacing w:line="48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43 %</w:t>
            </w:r>
          </w:p>
        </w:tc>
        <w:tc>
          <w:tcPr>
            <w:tcW w:w="1028" w:type="dxa"/>
          </w:tcPr>
          <w:p w14:paraId="2A675D93" w14:textId="77777777" w:rsidR="00D50069" w:rsidRPr="00D50069" w:rsidRDefault="00D50069" w:rsidP="00A532D5">
            <w:pPr>
              <w:spacing w:line="48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03</w:t>
            </w:r>
          </w:p>
          <w:p w14:paraId="5A7D897F" w14:textId="77777777" w:rsidR="00D50069" w:rsidRPr="00D50069" w:rsidRDefault="00D50069" w:rsidP="00A532D5">
            <w:pPr>
              <w:spacing w:line="48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06 %</w:t>
            </w:r>
          </w:p>
        </w:tc>
        <w:tc>
          <w:tcPr>
            <w:tcW w:w="927" w:type="dxa"/>
          </w:tcPr>
          <w:p w14:paraId="1D10B6B7" w14:textId="77777777" w:rsidR="00D50069" w:rsidRPr="00D50069" w:rsidRDefault="00D50069" w:rsidP="00A532D5">
            <w:pPr>
              <w:spacing w:line="48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 xml:space="preserve">47 </w:t>
            </w:r>
          </w:p>
          <w:p w14:paraId="253E3B56" w14:textId="77777777" w:rsidR="00D50069" w:rsidRPr="00D50069" w:rsidRDefault="00D50069" w:rsidP="00A532D5">
            <w:pPr>
              <w:spacing w:line="48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position w:val="0"/>
              </w:rPr>
            </w:pPr>
            <w:r w:rsidRPr="00D50069">
              <w:rPr>
                <w:rFonts w:ascii="Times New Roman" w:eastAsia="Calibri" w:hAnsi="Times New Roman" w:cs="Times New Roman"/>
                <w:position w:val="0"/>
              </w:rPr>
              <w:t>100%</w:t>
            </w:r>
          </w:p>
        </w:tc>
      </w:tr>
    </w:tbl>
    <w:p w14:paraId="26E19500" w14:textId="77777777" w:rsidR="00303305" w:rsidRDefault="00303305" w:rsidP="00D50069">
      <w:pPr>
        <w:spacing w:after="160" w:line="480" w:lineRule="auto"/>
        <w:rPr>
          <w:rFonts w:ascii="Calibri" w:eastAsia="Calibri" w:hAnsi="Calibri" w:cs="Arial"/>
          <w:kern w:val="2"/>
          <w:position w:val="0"/>
          <w:sz w:val="22"/>
          <w:szCs w:val="22"/>
          <w14:ligatures w14:val="standardContextual"/>
        </w:rPr>
      </w:pPr>
    </w:p>
    <w:p w14:paraId="6453476E" w14:textId="473559DD" w:rsidR="006D6BE0" w:rsidRDefault="00D50069" w:rsidP="00D50069">
      <w:pPr>
        <w:keepNext/>
        <w:spacing w:after="200" w:line="480" w:lineRule="auto"/>
        <w:rPr>
          <w:rFonts w:eastAsia="Calibri"/>
          <w:b/>
          <w:bCs/>
          <w:kern w:val="2"/>
          <w:position w:val="0"/>
          <w14:ligatures w14:val="standardContextual"/>
        </w:rPr>
      </w:pPr>
      <w:bookmarkStart w:id="255" w:name="_Toc199832011"/>
      <w:bookmarkStart w:id="256" w:name="_Toc199832380"/>
      <w:bookmarkStart w:id="257" w:name="_Toc200446665"/>
      <w:r w:rsidRPr="00D50069">
        <w:rPr>
          <w:rFonts w:eastAsia="Calibri"/>
          <w:b/>
          <w:bCs/>
          <w:kern w:val="2"/>
          <w:position w:val="0"/>
          <w14:ligatures w14:val="standardContextual"/>
        </w:rPr>
        <w:t xml:space="preserve">Table </w:t>
      </w:r>
      <w:r w:rsidR="00274F6F" w:rsidRPr="006D6BE0">
        <w:rPr>
          <w:rFonts w:eastAsia="Calibri"/>
          <w:b/>
          <w:bCs/>
          <w:kern w:val="2"/>
          <w:position w:val="0"/>
          <w14:ligatures w14:val="standardContextual"/>
        </w:rPr>
        <w:fldChar w:fldCharType="begin"/>
      </w:r>
      <w:r w:rsidR="00274F6F" w:rsidRPr="006D6BE0">
        <w:rPr>
          <w:rFonts w:eastAsia="Calibri"/>
          <w:b/>
          <w:bCs/>
          <w:kern w:val="2"/>
          <w:position w:val="0"/>
          <w14:ligatures w14:val="standardContextual"/>
        </w:rPr>
        <w:instrText xml:space="preserve"> SEQ Table \* ARABIC </w:instrText>
      </w:r>
      <w:r w:rsidR="00274F6F" w:rsidRPr="006D6BE0">
        <w:rPr>
          <w:rFonts w:eastAsia="Calibri"/>
          <w:b/>
          <w:bCs/>
          <w:kern w:val="2"/>
          <w:position w:val="0"/>
          <w14:ligatures w14:val="standardContextual"/>
        </w:rPr>
        <w:fldChar w:fldCharType="separate"/>
      </w:r>
      <w:r w:rsidR="00DC3231">
        <w:rPr>
          <w:rFonts w:eastAsia="Calibri"/>
          <w:b/>
          <w:bCs/>
          <w:noProof/>
          <w:kern w:val="2"/>
          <w:position w:val="0"/>
          <w14:ligatures w14:val="standardContextual"/>
        </w:rPr>
        <w:t>17</w:t>
      </w:r>
      <w:r w:rsidR="00274F6F" w:rsidRPr="006D6BE0">
        <w:rPr>
          <w:rFonts w:eastAsia="Calibri"/>
          <w:b/>
          <w:bCs/>
          <w:kern w:val="2"/>
          <w:position w:val="0"/>
          <w14:ligatures w14:val="standardContextual"/>
        </w:rPr>
        <w:fldChar w:fldCharType="end"/>
      </w:r>
    </w:p>
    <w:p w14:paraId="4A4BE24A" w14:textId="30BD2C25" w:rsidR="00D50069" w:rsidRPr="006D6BE0" w:rsidRDefault="00D50069" w:rsidP="00D50069">
      <w:pPr>
        <w:keepNext/>
        <w:spacing w:after="200" w:line="480" w:lineRule="auto"/>
        <w:rPr>
          <w:rFonts w:eastAsia="Calibri"/>
          <w:kern w:val="2"/>
          <w:position w:val="0"/>
          <w14:ligatures w14:val="standardContextual"/>
        </w:rPr>
      </w:pPr>
      <w:r w:rsidRPr="006D6BE0">
        <w:rPr>
          <w:rFonts w:eastAsia="Calibri"/>
          <w:kern w:val="2"/>
          <w:position w:val="0"/>
          <w14:ligatures w14:val="standardContextual"/>
        </w:rPr>
        <w:t xml:space="preserve"> Likert Scale 04 Descriptive Statistics Summary</w:t>
      </w:r>
      <w:bookmarkEnd w:id="255"/>
      <w:bookmarkEnd w:id="256"/>
      <w:bookmarkEnd w:id="257"/>
    </w:p>
    <w:tbl>
      <w:tblPr>
        <w:tblW w:w="9815" w:type="dxa"/>
        <w:tblLook w:val="04A0" w:firstRow="1" w:lastRow="0" w:firstColumn="1" w:lastColumn="0" w:noHBand="0" w:noVBand="1"/>
      </w:tblPr>
      <w:tblGrid>
        <w:gridCol w:w="2657"/>
        <w:gridCol w:w="1671"/>
        <w:gridCol w:w="2379"/>
        <w:gridCol w:w="2079"/>
        <w:gridCol w:w="1029"/>
      </w:tblGrid>
      <w:tr w:rsidR="00D50069" w:rsidRPr="00D50069" w14:paraId="5032C576" w14:textId="77777777" w:rsidTr="00C141A1">
        <w:trPr>
          <w:trHeight w:val="442"/>
        </w:trPr>
        <w:tc>
          <w:tcPr>
            <w:tcW w:w="2657" w:type="dxa"/>
            <w:tcBorders>
              <w:top w:val="single" w:sz="8" w:space="0" w:color="auto"/>
              <w:left w:val="nil"/>
              <w:bottom w:val="single" w:sz="8" w:space="0" w:color="auto"/>
              <w:right w:val="nil"/>
            </w:tcBorders>
            <w:shd w:val="clear" w:color="auto" w:fill="auto"/>
            <w:noWrap/>
            <w:vAlign w:val="center"/>
            <w:hideMark/>
          </w:tcPr>
          <w:p w14:paraId="5C3504E0" w14:textId="77777777" w:rsidR="00D50069" w:rsidRPr="00D50069" w:rsidRDefault="00D50069" w:rsidP="00D50069">
            <w:pPr>
              <w:spacing w:line="360" w:lineRule="auto"/>
              <w:jc w:val="center"/>
              <w:rPr>
                <w:i/>
                <w:iCs/>
                <w:color w:val="000000"/>
                <w:position w:val="0"/>
              </w:rPr>
            </w:pPr>
            <w:r w:rsidRPr="00D50069">
              <w:rPr>
                <w:i/>
                <w:iCs/>
                <w:color w:val="000000"/>
                <w:position w:val="0"/>
              </w:rPr>
              <w:t>Central Tendency Values</w:t>
            </w:r>
          </w:p>
        </w:tc>
        <w:tc>
          <w:tcPr>
            <w:tcW w:w="1671" w:type="dxa"/>
            <w:tcBorders>
              <w:top w:val="single" w:sz="8" w:space="0" w:color="auto"/>
              <w:left w:val="nil"/>
              <w:bottom w:val="single" w:sz="8" w:space="0" w:color="auto"/>
              <w:right w:val="nil"/>
            </w:tcBorders>
            <w:shd w:val="clear" w:color="auto" w:fill="auto"/>
            <w:noWrap/>
            <w:vAlign w:val="center"/>
            <w:hideMark/>
          </w:tcPr>
          <w:p w14:paraId="7908F6F7" w14:textId="77777777" w:rsidR="00D50069" w:rsidRPr="00D50069" w:rsidRDefault="00D50069" w:rsidP="00D50069">
            <w:pPr>
              <w:spacing w:line="360" w:lineRule="auto"/>
              <w:jc w:val="center"/>
              <w:rPr>
                <w:i/>
                <w:iCs/>
                <w:color w:val="000000"/>
                <w:position w:val="0"/>
              </w:rPr>
            </w:pPr>
            <w:r w:rsidRPr="00D50069">
              <w:rPr>
                <w:i/>
                <w:iCs/>
                <w:color w:val="000000"/>
                <w:position w:val="0"/>
              </w:rPr>
              <w:t>Question 07</w:t>
            </w:r>
          </w:p>
        </w:tc>
        <w:tc>
          <w:tcPr>
            <w:tcW w:w="2379" w:type="dxa"/>
            <w:tcBorders>
              <w:top w:val="single" w:sz="8" w:space="0" w:color="auto"/>
              <w:left w:val="nil"/>
              <w:bottom w:val="single" w:sz="8" w:space="0" w:color="auto"/>
              <w:right w:val="nil"/>
            </w:tcBorders>
            <w:shd w:val="clear" w:color="auto" w:fill="auto"/>
            <w:noWrap/>
            <w:vAlign w:val="center"/>
            <w:hideMark/>
          </w:tcPr>
          <w:p w14:paraId="67F749A7" w14:textId="77777777" w:rsidR="00D50069" w:rsidRPr="00D50069" w:rsidRDefault="00D50069" w:rsidP="00D50069">
            <w:pPr>
              <w:spacing w:line="360" w:lineRule="auto"/>
              <w:jc w:val="center"/>
              <w:rPr>
                <w:i/>
                <w:iCs/>
                <w:color w:val="000000"/>
                <w:position w:val="0"/>
              </w:rPr>
            </w:pPr>
            <w:r w:rsidRPr="00D50069">
              <w:rPr>
                <w:i/>
                <w:iCs/>
                <w:color w:val="000000"/>
                <w:position w:val="0"/>
              </w:rPr>
              <w:t>Question 08</w:t>
            </w:r>
          </w:p>
        </w:tc>
        <w:tc>
          <w:tcPr>
            <w:tcW w:w="2079" w:type="dxa"/>
            <w:tcBorders>
              <w:top w:val="single" w:sz="8" w:space="0" w:color="auto"/>
              <w:left w:val="nil"/>
              <w:bottom w:val="single" w:sz="8" w:space="0" w:color="auto"/>
              <w:right w:val="nil"/>
            </w:tcBorders>
            <w:shd w:val="clear" w:color="auto" w:fill="auto"/>
            <w:noWrap/>
            <w:vAlign w:val="center"/>
            <w:hideMark/>
          </w:tcPr>
          <w:p w14:paraId="14D1897A" w14:textId="77777777" w:rsidR="00D50069" w:rsidRPr="00D50069" w:rsidRDefault="00D50069" w:rsidP="00D50069">
            <w:pPr>
              <w:spacing w:line="360" w:lineRule="auto"/>
              <w:jc w:val="center"/>
              <w:rPr>
                <w:i/>
                <w:iCs/>
                <w:color w:val="000000"/>
                <w:position w:val="0"/>
              </w:rPr>
            </w:pPr>
            <w:r w:rsidRPr="00D50069">
              <w:rPr>
                <w:i/>
                <w:iCs/>
                <w:color w:val="000000"/>
                <w:position w:val="0"/>
              </w:rPr>
              <w:t>Question 08</w:t>
            </w:r>
          </w:p>
        </w:tc>
        <w:tc>
          <w:tcPr>
            <w:tcW w:w="1029" w:type="dxa"/>
            <w:tcBorders>
              <w:top w:val="nil"/>
              <w:left w:val="nil"/>
              <w:bottom w:val="nil"/>
              <w:right w:val="nil"/>
            </w:tcBorders>
            <w:shd w:val="clear" w:color="auto" w:fill="auto"/>
            <w:noWrap/>
            <w:vAlign w:val="bottom"/>
            <w:hideMark/>
          </w:tcPr>
          <w:p w14:paraId="4593BFD2" w14:textId="77777777" w:rsidR="00D50069" w:rsidRPr="00D50069" w:rsidRDefault="00D50069" w:rsidP="00D50069">
            <w:pPr>
              <w:spacing w:line="360" w:lineRule="auto"/>
              <w:jc w:val="center"/>
              <w:rPr>
                <w:i/>
                <w:iCs/>
                <w:color w:val="000000"/>
                <w:position w:val="0"/>
              </w:rPr>
            </w:pPr>
          </w:p>
        </w:tc>
      </w:tr>
      <w:tr w:rsidR="00D50069" w:rsidRPr="00D50069" w14:paraId="464EFE12" w14:textId="77777777" w:rsidTr="00C141A1">
        <w:trPr>
          <w:trHeight w:val="427"/>
        </w:trPr>
        <w:tc>
          <w:tcPr>
            <w:tcW w:w="2657" w:type="dxa"/>
            <w:tcBorders>
              <w:top w:val="nil"/>
              <w:left w:val="nil"/>
              <w:bottom w:val="nil"/>
              <w:right w:val="nil"/>
            </w:tcBorders>
            <w:shd w:val="clear" w:color="auto" w:fill="auto"/>
            <w:noWrap/>
            <w:vAlign w:val="center"/>
            <w:hideMark/>
          </w:tcPr>
          <w:p w14:paraId="46CE2878" w14:textId="77777777" w:rsidR="00D50069" w:rsidRPr="00D50069" w:rsidRDefault="00D50069" w:rsidP="00D50069">
            <w:pPr>
              <w:spacing w:line="360" w:lineRule="auto"/>
              <w:rPr>
                <w:color w:val="000000"/>
                <w:position w:val="0"/>
              </w:rPr>
            </w:pPr>
            <w:r w:rsidRPr="00D50069">
              <w:rPr>
                <w:color w:val="000000"/>
                <w:position w:val="0"/>
              </w:rPr>
              <w:t>Mean</w:t>
            </w:r>
          </w:p>
        </w:tc>
        <w:tc>
          <w:tcPr>
            <w:tcW w:w="1671" w:type="dxa"/>
            <w:tcBorders>
              <w:top w:val="nil"/>
              <w:left w:val="nil"/>
              <w:bottom w:val="nil"/>
              <w:right w:val="nil"/>
            </w:tcBorders>
            <w:shd w:val="clear" w:color="auto" w:fill="auto"/>
            <w:noWrap/>
            <w:vAlign w:val="center"/>
            <w:hideMark/>
          </w:tcPr>
          <w:p w14:paraId="6DF34CF2" w14:textId="77777777" w:rsidR="00D50069" w:rsidRPr="00D50069" w:rsidRDefault="00D50069" w:rsidP="00D50069">
            <w:pPr>
              <w:spacing w:line="360" w:lineRule="auto"/>
              <w:jc w:val="right"/>
              <w:rPr>
                <w:color w:val="000000"/>
                <w:position w:val="0"/>
              </w:rPr>
            </w:pPr>
            <w:r w:rsidRPr="00D50069">
              <w:rPr>
                <w:color w:val="000000"/>
                <w:position w:val="0"/>
              </w:rPr>
              <w:t>2,90</w:t>
            </w:r>
          </w:p>
        </w:tc>
        <w:tc>
          <w:tcPr>
            <w:tcW w:w="2379" w:type="dxa"/>
            <w:tcBorders>
              <w:top w:val="nil"/>
              <w:left w:val="nil"/>
              <w:bottom w:val="nil"/>
              <w:right w:val="nil"/>
            </w:tcBorders>
            <w:shd w:val="clear" w:color="auto" w:fill="auto"/>
            <w:noWrap/>
            <w:vAlign w:val="center"/>
            <w:hideMark/>
          </w:tcPr>
          <w:p w14:paraId="29DBD973" w14:textId="77777777" w:rsidR="00D50069" w:rsidRPr="00D50069" w:rsidRDefault="00D50069" w:rsidP="00D50069">
            <w:pPr>
              <w:spacing w:line="360" w:lineRule="auto"/>
              <w:jc w:val="right"/>
              <w:rPr>
                <w:color w:val="000000"/>
                <w:position w:val="0"/>
              </w:rPr>
            </w:pPr>
            <w:r w:rsidRPr="00D50069">
              <w:rPr>
                <w:color w:val="000000"/>
                <w:position w:val="0"/>
              </w:rPr>
              <w:t>3,17</w:t>
            </w:r>
          </w:p>
        </w:tc>
        <w:tc>
          <w:tcPr>
            <w:tcW w:w="2079" w:type="dxa"/>
            <w:tcBorders>
              <w:top w:val="nil"/>
              <w:left w:val="nil"/>
              <w:bottom w:val="nil"/>
              <w:right w:val="nil"/>
            </w:tcBorders>
            <w:shd w:val="clear" w:color="auto" w:fill="auto"/>
            <w:noWrap/>
            <w:vAlign w:val="center"/>
            <w:hideMark/>
          </w:tcPr>
          <w:p w14:paraId="7231DC3A" w14:textId="77777777" w:rsidR="00D50069" w:rsidRPr="00D50069" w:rsidRDefault="00D50069" w:rsidP="00D50069">
            <w:pPr>
              <w:spacing w:line="360" w:lineRule="auto"/>
              <w:jc w:val="right"/>
              <w:rPr>
                <w:color w:val="000000"/>
                <w:position w:val="0"/>
              </w:rPr>
            </w:pPr>
            <w:r w:rsidRPr="00D50069">
              <w:rPr>
                <w:color w:val="000000"/>
                <w:position w:val="0"/>
              </w:rPr>
              <w:t>3,26</w:t>
            </w:r>
          </w:p>
        </w:tc>
        <w:tc>
          <w:tcPr>
            <w:tcW w:w="1029" w:type="dxa"/>
            <w:tcBorders>
              <w:top w:val="nil"/>
              <w:left w:val="nil"/>
              <w:bottom w:val="nil"/>
              <w:right w:val="nil"/>
            </w:tcBorders>
            <w:shd w:val="clear" w:color="auto" w:fill="auto"/>
            <w:noWrap/>
            <w:vAlign w:val="bottom"/>
            <w:hideMark/>
          </w:tcPr>
          <w:p w14:paraId="7DDA99E6" w14:textId="77777777" w:rsidR="00D50069" w:rsidRPr="00D50069" w:rsidRDefault="00D50069" w:rsidP="00D50069">
            <w:pPr>
              <w:spacing w:line="360" w:lineRule="auto"/>
              <w:jc w:val="right"/>
              <w:rPr>
                <w:color w:val="000000"/>
                <w:position w:val="0"/>
              </w:rPr>
            </w:pPr>
          </w:p>
        </w:tc>
      </w:tr>
      <w:tr w:rsidR="00D50069" w:rsidRPr="00D50069" w14:paraId="09360BE7" w14:textId="77777777" w:rsidTr="00C141A1">
        <w:trPr>
          <w:trHeight w:val="427"/>
        </w:trPr>
        <w:tc>
          <w:tcPr>
            <w:tcW w:w="2657" w:type="dxa"/>
            <w:tcBorders>
              <w:top w:val="nil"/>
              <w:left w:val="nil"/>
              <w:bottom w:val="nil"/>
              <w:right w:val="nil"/>
            </w:tcBorders>
            <w:shd w:val="clear" w:color="auto" w:fill="auto"/>
            <w:noWrap/>
            <w:vAlign w:val="center"/>
            <w:hideMark/>
          </w:tcPr>
          <w:p w14:paraId="5F75D992" w14:textId="77777777" w:rsidR="00D50069" w:rsidRPr="00D50069" w:rsidRDefault="00D50069" w:rsidP="00D50069">
            <w:pPr>
              <w:spacing w:line="360" w:lineRule="auto"/>
              <w:rPr>
                <w:color w:val="000000"/>
                <w:position w:val="0"/>
              </w:rPr>
            </w:pPr>
            <w:r w:rsidRPr="00D50069">
              <w:rPr>
                <w:color w:val="000000"/>
                <w:position w:val="0"/>
              </w:rPr>
              <w:t>Standard Error</w:t>
            </w:r>
          </w:p>
        </w:tc>
        <w:tc>
          <w:tcPr>
            <w:tcW w:w="1671" w:type="dxa"/>
            <w:tcBorders>
              <w:top w:val="nil"/>
              <w:left w:val="nil"/>
              <w:bottom w:val="nil"/>
              <w:right w:val="nil"/>
            </w:tcBorders>
            <w:shd w:val="clear" w:color="auto" w:fill="auto"/>
            <w:noWrap/>
            <w:vAlign w:val="center"/>
            <w:hideMark/>
          </w:tcPr>
          <w:p w14:paraId="4728987F" w14:textId="77777777" w:rsidR="00D50069" w:rsidRPr="00D50069" w:rsidRDefault="00D50069" w:rsidP="00D50069">
            <w:pPr>
              <w:spacing w:line="360" w:lineRule="auto"/>
              <w:jc w:val="right"/>
              <w:rPr>
                <w:color w:val="000000"/>
                <w:position w:val="0"/>
              </w:rPr>
            </w:pPr>
            <w:r w:rsidRPr="00D50069">
              <w:rPr>
                <w:color w:val="000000"/>
                <w:position w:val="0"/>
              </w:rPr>
              <w:t>0,16</w:t>
            </w:r>
          </w:p>
        </w:tc>
        <w:tc>
          <w:tcPr>
            <w:tcW w:w="2379" w:type="dxa"/>
            <w:tcBorders>
              <w:top w:val="nil"/>
              <w:left w:val="nil"/>
              <w:bottom w:val="nil"/>
              <w:right w:val="nil"/>
            </w:tcBorders>
            <w:shd w:val="clear" w:color="auto" w:fill="auto"/>
            <w:noWrap/>
            <w:vAlign w:val="center"/>
            <w:hideMark/>
          </w:tcPr>
          <w:p w14:paraId="7B6F0D89" w14:textId="77777777" w:rsidR="00D50069" w:rsidRPr="00D50069" w:rsidRDefault="00D50069" w:rsidP="00D50069">
            <w:pPr>
              <w:spacing w:line="360" w:lineRule="auto"/>
              <w:jc w:val="right"/>
              <w:rPr>
                <w:color w:val="000000"/>
                <w:position w:val="0"/>
              </w:rPr>
            </w:pPr>
            <w:r w:rsidRPr="00D50069">
              <w:rPr>
                <w:color w:val="000000"/>
                <w:position w:val="0"/>
              </w:rPr>
              <w:t>0,15</w:t>
            </w:r>
          </w:p>
        </w:tc>
        <w:tc>
          <w:tcPr>
            <w:tcW w:w="2079" w:type="dxa"/>
            <w:tcBorders>
              <w:top w:val="nil"/>
              <w:left w:val="nil"/>
              <w:bottom w:val="nil"/>
              <w:right w:val="nil"/>
            </w:tcBorders>
            <w:shd w:val="clear" w:color="auto" w:fill="auto"/>
            <w:noWrap/>
            <w:vAlign w:val="center"/>
            <w:hideMark/>
          </w:tcPr>
          <w:p w14:paraId="6E6732F5" w14:textId="77777777" w:rsidR="00D50069" w:rsidRPr="00D50069" w:rsidRDefault="00D50069" w:rsidP="00D50069">
            <w:pPr>
              <w:spacing w:line="360" w:lineRule="auto"/>
              <w:jc w:val="right"/>
              <w:rPr>
                <w:color w:val="000000"/>
                <w:position w:val="0"/>
              </w:rPr>
            </w:pPr>
            <w:r w:rsidRPr="00D50069">
              <w:rPr>
                <w:color w:val="000000"/>
                <w:position w:val="0"/>
              </w:rPr>
              <w:t>0,16</w:t>
            </w:r>
          </w:p>
        </w:tc>
        <w:tc>
          <w:tcPr>
            <w:tcW w:w="1029" w:type="dxa"/>
            <w:tcBorders>
              <w:top w:val="nil"/>
              <w:left w:val="nil"/>
              <w:bottom w:val="nil"/>
              <w:right w:val="nil"/>
            </w:tcBorders>
            <w:shd w:val="clear" w:color="auto" w:fill="auto"/>
            <w:noWrap/>
            <w:vAlign w:val="bottom"/>
            <w:hideMark/>
          </w:tcPr>
          <w:p w14:paraId="081ADA51" w14:textId="77777777" w:rsidR="00D50069" w:rsidRPr="00D50069" w:rsidRDefault="00D50069" w:rsidP="00D50069">
            <w:pPr>
              <w:spacing w:line="360" w:lineRule="auto"/>
              <w:jc w:val="right"/>
              <w:rPr>
                <w:color w:val="000000"/>
                <w:position w:val="0"/>
              </w:rPr>
            </w:pPr>
          </w:p>
        </w:tc>
      </w:tr>
      <w:tr w:rsidR="00D50069" w:rsidRPr="00D50069" w14:paraId="6BE2ED2F" w14:textId="77777777" w:rsidTr="00C141A1">
        <w:trPr>
          <w:trHeight w:val="427"/>
        </w:trPr>
        <w:tc>
          <w:tcPr>
            <w:tcW w:w="2657" w:type="dxa"/>
            <w:tcBorders>
              <w:top w:val="nil"/>
              <w:left w:val="nil"/>
              <w:bottom w:val="nil"/>
              <w:right w:val="nil"/>
            </w:tcBorders>
            <w:shd w:val="clear" w:color="auto" w:fill="auto"/>
            <w:noWrap/>
            <w:vAlign w:val="center"/>
            <w:hideMark/>
          </w:tcPr>
          <w:p w14:paraId="7973526A" w14:textId="77777777" w:rsidR="00D50069" w:rsidRPr="00D50069" w:rsidRDefault="00D50069" w:rsidP="00D50069">
            <w:pPr>
              <w:spacing w:line="360" w:lineRule="auto"/>
              <w:rPr>
                <w:color w:val="000000"/>
                <w:position w:val="0"/>
              </w:rPr>
            </w:pPr>
            <w:r w:rsidRPr="00D50069">
              <w:rPr>
                <w:color w:val="000000"/>
                <w:position w:val="0"/>
              </w:rPr>
              <w:t>Median</w:t>
            </w:r>
          </w:p>
        </w:tc>
        <w:tc>
          <w:tcPr>
            <w:tcW w:w="1671" w:type="dxa"/>
            <w:tcBorders>
              <w:top w:val="nil"/>
              <w:left w:val="nil"/>
              <w:bottom w:val="nil"/>
              <w:right w:val="nil"/>
            </w:tcBorders>
            <w:shd w:val="clear" w:color="auto" w:fill="auto"/>
            <w:noWrap/>
            <w:vAlign w:val="center"/>
            <w:hideMark/>
          </w:tcPr>
          <w:p w14:paraId="582DA0DF" w14:textId="77777777" w:rsidR="00D50069" w:rsidRPr="00D50069" w:rsidRDefault="00D50069" w:rsidP="00D50069">
            <w:pPr>
              <w:spacing w:line="360" w:lineRule="auto"/>
              <w:jc w:val="right"/>
              <w:rPr>
                <w:color w:val="000000"/>
                <w:position w:val="0"/>
              </w:rPr>
            </w:pPr>
            <w:r w:rsidRPr="00D50069">
              <w:rPr>
                <w:color w:val="000000"/>
                <w:position w:val="0"/>
              </w:rPr>
              <w:t>3</w:t>
            </w:r>
          </w:p>
        </w:tc>
        <w:tc>
          <w:tcPr>
            <w:tcW w:w="2379" w:type="dxa"/>
            <w:tcBorders>
              <w:top w:val="nil"/>
              <w:left w:val="nil"/>
              <w:bottom w:val="nil"/>
              <w:right w:val="nil"/>
            </w:tcBorders>
            <w:shd w:val="clear" w:color="auto" w:fill="auto"/>
            <w:noWrap/>
            <w:vAlign w:val="center"/>
            <w:hideMark/>
          </w:tcPr>
          <w:p w14:paraId="6981684C" w14:textId="77777777" w:rsidR="00D50069" w:rsidRPr="00D50069" w:rsidRDefault="00D50069" w:rsidP="00D50069">
            <w:pPr>
              <w:spacing w:line="360" w:lineRule="auto"/>
              <w:jc w:val="right"/>
              <w:rPr>
                <w:color w:val="000000"/>
                <w:position w:val="0"/>
              </w:rPr>
            </w:pPr>
            <w:r w:rsidRPr="00D50069">
              <w:rPr>
                <w:color w:val="000000"/>
                <w:position w:val="0"/>
              </w:rPr>
              <w:t>3</w:t>
            </w:r>
          </w:p>
        </w:tc>
        <w:tc>
          <w:tcPr>
            <w:tcW w:w="2079" w:type="dxa"/>
            <w:tcBorders>
              <w:top w:val="nil"/>
              <w:left w:val="nil"/>
              <w:bottom w:val="nil"/>
              <w:right w:val="nil"/>
            </w:tcBorders>
            <w:shd w:val="clear" w:color="auto" w:fill="auto"/>
            <w:noWrap/>
            <w:vAlign w:val="center"/>
            <w:hideMark/>
          </w:tcPr>
          <w:p w14:paraId="248B0AEC" w14:textId="77777777" w:rsidR="00D50069" w:rsidRPr="00D50069" w:rsidRDefault="00D50069" w:rsidP="00D50069">
            <w:pPr>
              <w:spacing w:line="360" w:lineRule="auto"/>
              <w:jc w:val="right"/>
              <w:rPr>
                <w:color w:val="000000"/>
                <w:position w:val="0"/>
              </w:rPr>
            </w:pPr>
            <w:r w:rsidRPr="00D50069">
              <w:rPr>
                <w:color w:val="000000"/>
                <w:position w:val="0"/>
              </w:rPr>
              <w:t>3</w:t>
            </w:r>
          </w:p>
        </w:tc>
        <w:tc>
          <w:tcPr>
            <w:tcW w:w="1029" w:type="dxa"/>
            <w:tcBorders>
              <w:top w:val="nil"/>
              <w:left w:val="nil"/>
              <w:bottom w:val="nil"/>
              <w:right w:val="nil"/>
            </w:tcBorders>
            <w:shd w:val="clear" w:color="auto" w:fill="auto"/>
            <w:noWrap/>
            <w:vAlign w:val="bottom"/>
            <w:hideMark/>
          </w:tcPr>
          <w:p w14:paraId="052EB503" w14:textId="77777777" w:rsidR="00D50069" w:rsidRPr="00D50069" w:rsidRDefault="00D50069" w:rsidP="00D50069">
            <w:pPr>
              <w:spacing w:line="360" w:lineRule="auto"/>
              <w:jc w:val="right"/>
              <w:rPr>
                <w:color w:val="000000"/>
                <w:position w:val="0"/>
              </w:rPr>
            </w:pPr>
          </w:p>
        </w:tc>
      </w:tr>
      <w:tr w:rsidR="00D50069" w:rsidRPr="00D50069" w14:paraId="72BE5273" w14:textId="77777777" w:rsidTr="00C141A1">
        <w:trPr>
          <w:trHeight w:val="427"/>
        </w:trPr>
        <w:tc>
          <w:tcPr>
            <w:tcW w:w="2657" w:type="dxa"/>
            <w:tcBorders>
              <w:top w:val="nil"/>
              <w:left w:val="nil"/>
              <w:bottom w:val="nil"/>
              <w:right w:val="nil"/>
            </w:tcBorders>
            <w:shd w:val="clear" w:color="auto" w:fill="auto"/>
            <w:noWrap/>
            <w:vAlign w:val="center"/>
            <w:hideMark/>
          </w:tcPr>
          <w:p w14:paraId="7BB20DA5" w14:textId="77777777" w:rsidR="00D50069" w:rsidRPr="00D50069" w:rsidRDefault="00D50069" w:rsidP="00D50069">
            <w:pPr>
              <w:spacing w:line="360" w:lineRule="auto"/>
              <w:rPr>
                <w:color w:val="000000"/>
                <w:position w:val="0"/>
              </w:rPr>
            </w:pPr>
            <w:r w:rsidRPr="00D50069">
              <w:rPr>
                <w:color w:val="000000"/>
                <w:position w:val="0"/>
              </w:rPr>
              <w:t>Mode</w:t>
            </w:r>
          </w:p>
        </w:tc>
        <w:tc>
          <w:tcPr>
            <w:tcW w:w="1671" w:type="dxa"/>
            <w:tcBorders>
              <w:top w:val="nil"/>
              <w:left w:val="nil"/>
              <w:bottom w:val="nil"/>
              <w:right w:val="nil"/>
            </w:tcBorders>
            <w:shd w:val="clear" w:color="auto" w:fill="auto"/>
            <w:noWrap/>
            <w:vAlign w:val="center"/>
            <w:hideMark/>
          </w:tcPr>
          <w:p w14:paraId="78C27098" w14:textId="77777777" w:rsidR="00D50069" w:rsidRPr="00D50069" w:rsidRDefault="00D50069" w:rsidP="00D50069">
            <w:pPr>
              <w:spacing w:line="360" w:lineRule="auto"/>
              <w:jc w:val="right"/>
              <w:rPr>
                <w:color w:val="000000"/>
                <w:position w:val="0"/>
              </w:rPr>
            </w:pPr>
            <w:r w:rsidRPr="00D50069">
              <w:rPr>
                <w:color w:val="000000"/>
                <w:position w:val="0"/>
              </w:rPr>
              <w:t>3</w:t>
            </w:r>
          </w:p>
        </w:tc>
        <w:tc>
          <w:tcPr>
            <w:tcW w:w="2379" w:type="dxa"/>
            <w:tcBorders>
              <w:top w:val="nil"/>
              <w:left w:val="nil"/>
              <w:bottom w:val="nil"/>
              <w:right w:val="nil"/>
            </w:tcBorders>
            <w:shd w:val="clear" w:color="auto" w:fill="auto"/>
            <w:noWrap/>
            <w:vAlign w:val="center"/>
            <w:hideMark/>
          </w:tcPr>
          <w:p w14:paraId="56666896" w14:textId="77777777" w:rsidR="00D50069" w:rsidRPr="00D50069" w:rsidRDefault="00D50069" w:rsidP="00D50069">
            <w:pPr>
              <w:spacing w:line="360" w:lineRule="auto"/>
              <w:jc w:val="right"/>
              <w:rPr>
                <w:color w:val="000000"/>
                <w:position w:val="0"/>
              </w:rPr>
            </w:pPr>
            <w:r w:rsidRPr="00D50069">
              <w:rPr>
                <w:color w:val="000000"/>
                <w:position w:val="0"/>
              </w:rPr>
              <w:t>4</w:t>
            </w:r>
          </w:p>
        </w:tc>
        <w:tc>
          <w:tcPr>
            <w:tcW w:w="2079" w:type="dxa"/>
            <w:tcBorders>
              <w:top w:val="nil"/>
              <w:left w:val="nil"/>
              <w:bottom w:val="nil"/>
              <w:right w:val="nil"/>
            </w:tcBorders>
            <w:shd w:val="clear" w:color="auto" w:fill="auto"/>
            <w:noWrap/>
            <w:vAlign w:val="center"/>
            <w:hideMark/>
          </w:tcPr>
          <w:p w14:paraId="31C71597" w14:textId="77777777" w:rsidR="00D50069" w:rsidRPr="00D50069" w:rsidRDefault="00D50069" w:rsidP="00D50069">
            <w:pPr>
              <w:spacing w:line="360" w:lineRule="auto"/>
              <w:jc w:val="right"/>
              <w:rPr>
                <w:color w:val="000000"/>
                <w:position w:val="0"/>
              </w:rPr>
            </w:pPr>
            <w:r w:rsidRPr="00D50069">
              <w:rPr>
                <w:color w:val="000000"/>
                <w:position w:val="0"/>
              </w:rPr>
              <w:t>4</w:t>
            </w:r>
          </w:p>
        </w:tc>
        <w:tc>
          <w:tcPr>
            <w:tcW w:w="1029" w:type="dxa"/>
            <w:tcBorders>
              <w:top w:val="nil"/>
              <w:left w:val="nil"/>
              <w:bottom w:val="nil"/>
              <w:right w:val="nil"/>
            </w:tcBorders>
            <w:shd w:val="clear" w:color="auto" w:fill="auto"/>
            <w:noWrap/>
            <w:vAlign w:val="bottom"/>
            <w:hideMark/>
          </w:tcPr>
          <w:p w14:paraId="3D940631" w14:textId="77777777" w:rsidR="00D50069" w:rsidRPr="00D50069" w:rsidRDefault="00D50069" w:rsidP="00D50069">
            <w:pPr>
              <w:spacing w:line="360" w:lineRule="auto"/>
              <w:jc w:val="right"/>
              <w:rPr>
                <w:color w:val="000000"/>
                <w:position w:val="0"/>
              </w:rPr>
            </w:pPr>
          </w:p>
        </w:tc>
      </w:tr>
      <w:tr w:rsidR="00D50069" w:rsidRPr="00D50069" w14:paraId="5D5132D0" w14:textId="77777777" w:rsidTr="00C141A1">
        <w:trPr>
          <w:trHeight w:val="427"/>
        </w:trPr>
        <w:tc>
          <w:tcPr>
            <w:tcW w:w="2657" w:type="dxa"/>
            <w:tcBorders>
              <w:top w:val="nil"/>
              <w:left w:val="nil"/>
              <w:bottom w:val="nil"/>
              <w:right w:val="nil"/>
            </w:tcBorders>
            <w:shd w:val="clear" w:color="auto" w:fill="auto"/>
            <w:noWrap/>
            <w:vAlign w:val="center"/>
            <w:hideMark/>
          </w:tcPr>
          <w:p w14:paraId="0A6DFF04" w14:textId="77777777" w:rsidR="00D50069" w:rsidRPr="00D50069" w:rsidRDefault="00D50069" w:rsidP="00D50069">
            <w:pPr>
              <w:spacing w:line="360" w:lineRule="auto"/>
              <w:rPr>
                <w:color w:val="000000"/>
                <w:position w:val="0"/>
              </w:rPr>
            </w:pPr>
            <w:r w:rsidRPr="00D50069">
              <w:rPr>
                <w:color w:val="000000"/>
                <w:position w:val="0"/>
              </w:rPr>
              <w:t>Standard Deviation</w:t>
            </w:r>
          </w:p>
        </w:tc>
        <w:tc>
          <w:tcPr>
            <w:tcW w:w="1671" w:type="dxa"/>
            <w:tcBorders>
              <w:top w:val="nil"/>
              <w:left w:val="nil"/>
              <w:bottom w:val="nil"/>
              <w:right w:val="nil"/>
            </w:tcBorders>
            <w:shd w:val="clear" w:color="auto" w:fill="auto"/>
            <w:noWrap/>
            <w:vAlign w:val="center"/>
            <w:hideMark/>
          </w:tcPr>
          <w:p w14:paraId="38DCEC09" w14:textId="77777777" w:rsidR="00D50069" w:rsidRPr="00D50069" w:rsidRDefault="00D50069" w:rsidP="00D50069">
            <w:pPr>
              <w:spacing w:line="360" w:lineRule="auto"/>
              <w:jc w:val="right"/>
              <w:rPr>
                <w:color w:val="000000"/>
                <w:position w:val="0"/>
              </w:rPr>
            </w:pPr>
            <w:r w:rsidRPr="00D50069">
              <w:rPr>
                <w:color w:val="000000"/>
                <w:position w:val="0"/>
              </w:rPr>
              <w:t>1,12</w:t>
            </w:r>
          </w:p>
        </w:tc>
        <w:tc>
          <w:tcPr>
            <w:tcW w:w="2379" w:type="dxa"/>
            <w:tcBorders>
              <w:top w:val="nil"/>
              <w:left w:val="nil"/>
              <w:bottom w:val="nil"/>
              <w:right w:val="nil"/>
            </w:tcBorders>
            <w:shd w:val="clear" w:color="auto" w:fill="auto"/>
            <w:noWrap/>
            <w:vAlign w:val="center"/>
            <w:hideMark/>
          </w:tcPr>
          <w:p w14:paraId="0E57D5DC" w14:textId="77777777" w:rsidR="00D50069" w:rsidRPr="00D50069" w:rsidRDefault="00D50069" w:rsidP="00D50069">
            <w:pPr>
              <w:spacing w:line="360" w:lineRule="auto"/>
              <w:jc w:val="right"/>
              <w:rPr>
                <w:color w:val="000000"/>
                <w:position w:val="0"/>
              </w:rPr>
            </w:pPr>
            <w:r w:rsidRPr="00D50069">
              <w:rPr>
                <w:color w:val="000000"/>
                <w:position w:val="0"/>
              </w:rPr>
              <w:t>1,01</w:t>
            </w:r>
          </w:p>
        </w:tc>
        <w:tc>
          <w:tcPr>
            <w:tcW w:w="2079" w:type="dxa"/>
            <w:tcBorders>
              <w:top w:val="nil"/>
              <w:left w:val="nil"/>
              <w:bottom w:val="nil"/>
              <w:right w:val="nil"/>
            </w:tcBorders>
            <w:shd w:val="clear" w:color="auto" w:fill="auto"/>
            <w:noWrap/>
            <w:vAlign w:val="center"/>
            <w:hideMark/>
          </w:tcPr>
          <w:p w14:paraId="5AB4226D" w14:textId="77777777" w:rsidR="00D50069" w:rsidRPr="00D50069" w:rsidRDefault="00D50069" w:rsidP="00D50069">
            <w:pPr>
              <w:spacing w:line="360" w:lineRule="auto"/>
              <w:jc w:val="right"/>
              <w:rPr>
                <w:color w:val="000000"/>
                <w:position w:val="0"/>
              </w:rPr>
            </w:pPr>
            <w:r w:rsidRPr="00D50069">
              <w:rPr>
                <w:color w:val="000000"/>
                <w:position w:val="0"/>
              </w:rPr>
              <w:t>1,07</w:t>
            </w:r>
          </w:p>
        </w:tc>
        <w:tc>
          <w:tcPr>
            <w:tcW w:w="1029" w:type="dxa"/>
            <w:tcBorders>
              <w:top w:val="nil"/>
              <w:left w:val="nil"/>
              <w:bottom w:val="nil"/>
              <w:right w:val="nil"/>
            </w:tcBorders>
            <w:shd w:val="clear" w:color="auto" w:fill="auto"/>
            <w:noWrap/>
            <w:vAlign w:val="bottom"/>
            <w:hideMark/>
          </w:tcPr>
          <w:p w14:paraId="4B9990B4" w14:textId="77777777" w:rsidR="00D50069" w:rsidRPr="00D50069" w:rsidRDefault="00D50069" w:rsidP="00D50069">
            <w:pPr>
              <w:spacing w:line="360" w:lineRule="auto"/>
              <w:jc w:val="right"/>
              <w:rPr>
                <w:color w:val="000000"/>
                <w:position w:val="0"/>
              </w:rPr>
            </w:pPr>
          </w:p>
        </w:tc>
      </w:tr>
      <w:tr w:rsidR="00D50069" w:rsidRPr="00D50069" w14:paraId="07E28923" w14:textId="77777777" w:rsidTr="00C141A1">
        <w:trPr>
          <w:trHeight w:val="442"/>
        </w:trPr>
        <w:tc>
          <w:tcPr>
            <w:tcW w:w="2657" w:type="dxa"/>
            <w:tcBorders>
              <w:top w:val="nil"/>
              <w:left w:val="nil"/>
              <w:bottom w:val="single" w:sz="8" w:space="0" w:color="auto"/>
              <w:right w:val="nil"/>
            </w:tcBorders>
            <w:shd w:val="clear" w:color="auto" w:fill="auto"/>
            <w:noWrap/>
            <w:vAlign w:val="center"/>
            <w:hideMark/>
          </w:tcPr>
          <w:p w14:paraId="0F174535" w14:textId="77777777" w:rsidR="00D50069" w:rsidRPr="00D50069" w:rsidRDefault="00D50069" w:rsidP="00D50069">
            <w:pPr>
              <w:spacing w:line="360" w:lineRule="auto"/>
              <w:rPr>
                <w:color w:val="000000"/>
                <w:position w:val="0"/>
              </w:rPr>
            </w:pPr>
            <w:r w:rsidRPr="00D50069">
              <w:rPr>
                <w:color w:val="000000"/>
                <w:position w:val="0"/>
              </w:rPr>
              <w:t>Total</w:t>
            </w:r>
          </w:p>
        </w:tc>
        <w:tc>
          <w:tcPr>
            <w:tcW w:w="1671" w:type="dxa"/>
            <w:tcBorders>
              <w:top w:val="nil"/>
              <w:left w:val="nil"/>
              <w:bottom w:val="single" w:sz="8" w:space="0" w:color="auto"/>
              <w:right w:val="nil"/>
            </w:tcBorders>
            <w:shd w:val="clear" w:color="auto" w:fill="auto"/>
            <w:noWrap/>
            <w:vAlign w:val="center"/>
            <w:hideMark/>
          </w:tcPr>
          <w:p w14:paraId="0AC6CE76" w14:textId="77777777" w:rsidR="00D50069" w:rsidRPr="00D50069" w:rsidRDefault="00D50069" w:rsidP="00D50069">
            <w:pPr>
              <w:spacing w:line="360" w:lineRule="auto"/>
              <w:jc w:val="right"/>
              <w:rPr>
                <w:color w:val="000000"/>
                <w:position w:val="0"/>
              </w:rPr>
            </w:pPr>
            <w:r w:rsidRPr="00D50069">
              <w:rPr>
                <w:color w:val="000000"/>
                <w:position w:val="0"/>
              </w:rPr>
              <w:t>48</w:t>
            </w:r>
          </w:p>
        </w:tc>
        <w:tc>
          <w:tcPr>
            <w:tcW w:w="2379" w:type="dxa"/>
            <w:tcBorders>
              <w:top w:val="nil"/>
              <w:left w:val="nil"/>
              <w:bottom w:val="single" w:sz="8" w:space="0" w:color="auto"/>
              <w:right w:val="nil"/>
            </w:tcBorders>
            <w:shd w:val="clear" w:color="auto" w:fill="auto"/>
            <w:noWrap/>
            <w:vAlign w:val="center"/>
            <w:hideMark/>
          </w:tcPr>
          <w:p w14:paraId="07EB2DEF" w14:textId="77777777" w:rsidR="00D50069" w:rsidRPr="00D50069" w:rsidRDefault="00D50069" w:rsidP="00D50069">
            <w:pPr>
              <w:spacing w:line="360" w:lineRule="auto"/>
              <w:jc w:val="right"/>
              <w:rPr>
                <w:color w:val="000000"/>
                <w:position w:val="0"/>
              </w:rPr>
            </w:pPr>
            <w:r w:rsidRPr="00D50069">
              <w:rPr>
                <w:color w:val="000000"/>
                <w:position w:val="0"/>
              </w:rPr>
              <w:t>47</w:t>
            </w:r>
          </w:p>
        </w:tc>
        <w:tc>
          <w:tcPr>
            <w:tcW w:w="2079" w:type="dxa"/>
            <w:tcBorders>
              <w:top w:val="nil"/>
              <w:left w:val="nil"/>
              <w:bottom w:val="single" w:sz="8" w:space="0" w:color="auto"/>
              <w:right w:val="nil"/>
            </w:tcBorders>
            <w:shd w:val="clear" w:color="auto" w:fill="auto"/>
            <w:noWrap/>
            <w:vAlign w:val="center"/>
            <w:hideMark/>
          </w:tcPr>
          <w:p w14:paraId="644DCB9D" w14:textId="77777777" w:rsidR="00D50069" w:rsidRPr="00D50069" w:rsidRDefault="00D50069" w:rsidP="00D50069">
            <w:pPr>
              <w:spacing w:line="360" w:lineRule="auto"/>
              <w:jc w:val="right"/>
              <w:rPr>
                <w:color w:val="000000"/>
                <w:position w:val="0"/>
              </w:rPr>
            </w:pPr>
            <w:r w:rsidRPr="00D50069">
              <w:rPr>
                <w:color w:val="000000"/>
                <w:position w:val="0"/>
              </w:rPr>
              <w:t>47</w:t>
            </w:r>
          </w:p>
        </w:tc>
        <w:tc>
          <w:tcPr>
            <w:tcW w:w="1029" w:type="dxa"/>
            <w:tcBorders>
              <w:top w:val="nil"/>
              <w:left w:val="nil"/>
              <w:bottom w:val="nil"/>
              <w:right w:val="nil"/>
            </w:tcBorders>
            <w:shd w:val="clear" w:color="auto" w:fill="auto"/>
            <w:noWrap/>
            <w:vAlign w:val="bottom"/>
            <w:hideMark/>
          </w:tcPr>
          <w:p w14:paraId="1789432B" w14:textId="77777777" w:rsidR="00D50069" w:rsidRPr="00D50069" w:rsidRDefault="00D50069" w:rsidP="00D50069">
            <w:pPr>
              <w:spacing w:line="360" w:lineRule="auto"/>
              <w:jc w:val="right"/>
              <w:rPr>
                <w:color w:val="000000"/>
                <w:position w:val="0"/>
              </w:rPr>
            </w:pPr>
          </w:p>
        </w:tc>
      </w:tr>
    </w:tbl>
    <w:p w14:paraId="3A71B19D" w14:textId="77777777" w:rsidR="007A6363" w:rsidRDefault="007A6363" w:rsidP="00D50069">
      <w:pPr>
        <w:keepNext/>
        <w:spacing w:after="160" w:line="480" w:lineRule="auto"/>
        <w:rPr>
          <w:rFonts w:ascii="Calibri" w:eastAsia="Calibri" w:hAnsi="Calibri" w:cs="Arial"/>
          <w:kern w:val="2"/>
          <w:position w:val="0"/>
          <w:sz w:val="22"/>
          <w:szCs w:val="22"/>
          <w14:ligatures w14:val="standardContextual"/>
        </w:rPr>
      </w:pPr>
    </w:p>
    <w:p w14:paraId="18B3C641" w14:textId="13C9A954" w:rsidR="00D50069" w:rsidRPr="00D50069" w:rsidRDefault="00D50069" w:rsidP="00D50069">
      <w:pPr>
        <w:keepNext/>
        <w:spacing w:after="160" w:line="480" w:lineRule="auto"/>
        <w:rPr>
          <w:rFonts w:ascii="Calibri" w:eastAsia="Calibri" w:hAnsi="Calibri" w:cs="Arial"/>
          <w:kern w:val="2"/>
          <w:position w:val="0"/>
          <w:sz w:val="22"/>
          <w:szCs w:val="22"/>
          <w14:ligatures w14:val="standardContextual"/>
        </w:rPr>
      </w:pPr>
      <w:r w:rsidRPr="00D50069">
        <w:rPr>
          <w:rFonts w:ascii="Calibri" w:eastAsia="Calibri" w:hAnsi="Calibri" w:cs="Arial"/>
          <w:noProof/>
          <w:kern w:val="2"/>
          <w:position w:val="0"/>
          <w:sz w:val="22"/>
          <w:szCs w:val="22"/>
          <w:lang w:val="fr-FR" w:eastAsia="fr-FR"/>
          <w14:ligatures w14:val="standardContextual"/>
        </w:rPr>
        <w:drawing>
          <wp:inline distT="0" distB="0" distL="0" distR="0" wp14:anchorId="6CF78EFA" wp14:editId="47242977">
            <wp:extent cx="4572000" cy="2743200"/>
            <wp:effectExtent l="0" t="0" r="0" b="0"/>
            <wp:docPr id="910861796" name="Chart 1">
              <a:extLst xmlns:a="http://schemas.openxmlformats.org/drawingml/2006/main">
                <a:ext uri="{FF2B5EF4-FFF2-40B4-BE49-F238E27FC236}">
                  <a16:creationId xmlns:a16="http://schemas.microsoft.com/office/drawing/2014/main"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03EDD166-AE15-066B-B87C-39F18ADD810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1"/>
              </a:graphicData>
            </a:graphic>
          </wp:inline>
        </w:drawing>
      </w:r>
    </w:p>
    <w:p w14:paraId="43C96A7A" w14:textId="3A145597" w:rsidR="00D50069" w:rsidRPr="00D50069" w:rsidRDefault="00D50069" w:rsidP="00D50069">
      <w:pPr>
        <w:spacing w:after="200" w:line="480" w:lineRule="auto"/>
        <w:rPr>
          <w:rFonts w:eastAsia="Calibri"/>
          <w:b/>
          <w:bCs/>
          <w:i/>
          <w:iCs/>
          <w:kern w:val="2"/>
          <w:position w:val="0"/>
          <w:sz w:val="36"/>
          <w:szCs w:val="36"/>
          <w14:ligatures w14:val="standardContextual"/>
        </w:rPr>
      </w:pPr>
      <w:bookmarkStart w:id="258" w:name="_Toc199695834"/>
      <w:r w:rsidRPr="00D50069">
        <w:rPr>
          <w:rFonts w:eastAsia="Calibri"/>
          <w:b/>
          <w:bCs/>
          <w:kern w:val="2"/>
          <w:position w:val="0"/>
          <w14:ligatures w14:val="standardContextual"/>
        </w:rPr>
        <w:t xml:space="preserve">Graph </w:t>
      </w:r>
      <w:r w:rsidRPr="00D50069">
        <w:rPr>
          <w:rFonts w:eastAsia="Calibri"/>
          <w:b/>
          <w:bCs/>
          <w:kern w:val="2"/>
          <w:position w:val="0"/>
          <w14:ligatures w14:val="standardContextual"/>
        </w:rPr>
        <w:fldChar w:fldCharType="begin"/>
      </w:r>
      <w:r w:rsidRPr="00D50069">
        <w:rPr>
          <w:rFonts w:eastAsia="Calibri"/>
          <w:b/>
          <w:bCs/>
          <w:kern w:val="2"/>
          <w:position w:val="0"/>
          <w14:ligatures w14:val="standardContextual"/>
        </w:rPr>
        <w:instrText xml:space="preserve"> SEQ Graph \* ARABIC </w:instrText>
      </w:r>
      <w:r w:rsidRPr="00D50069">
        <w:rPr>
          <w:rFonts w:eastAsia="Calibri"/>
          <w:b/>
          <w:bCs/>
          <w:kern w:val="2"/>
          <w:position w:val="0"/>
          <w14:ligatures w14:val="standardContextual"/>
        </w:rPr>
        <w:fldChar w:fldCharType="separate"/>
      </w:r>
      <w:r w:rsidR="00DC3231">
        <w:rPr>
          <w:rFonts w:eastAsia="Calibri"/>
          <w:b/>
          <w:bCs/>
          <w:noProof/>
          <w:kern w:val="2"/>
          <w:position w:val="0"/>
          <w14:ligatures w14:val="standardContextual"/>
        </w:rPr>
        <w:t>19</w:t>
      </w:r>
      <w:r w:rsidRPr="00D50069">
        <w:rPr>
          <w:rFonts w:eastAsia="Calibri"/>
          <w:b/>
          <w:bCs/>
          <w:kern w:val="2"/>
          <w:position w:val="0"/>
          <w14:ligatures w14:val="standardContextual"/>
        </w:rPr>
        <w:fldChar w:fldCharType="end"/>
      </w:r>
      <w:r w:rsidRPr="00D50069">
        <w:rPr>
          <w:rFonts w:eastAsia="Calibri"/>
          <w:i/>
          <w:iCs/>
          <w:kern w:val="2"/>
          <w:position w:val="0"/>
          <w14:ligatures w14:val="standardContextual"/>
        </w:rPr>
        <w:t xml:space="preserve"> Mean and Standard Deviation of Frequency of Engaging in Reflective Practices within OTCs.</w:t>
      </w:r>
      <w:bookmarkEnd w:id="258"/>
    </w:p>
    <w:p w14:paraId="2106B35F" w14:textId="328C6E16" w:rsidR="00D50069" w:rsidRPr="00D50069" w:rsidRDefault="007E6EAE" w:rsidP="00AA5DBF">
      <w:pPr>
        <w:pStyle w:val="Titre1"/>
        <w:rPr>
          <w:rFonts w:eastAsia="Calibri"/>
        </w:rPr>
      </w:pPr>
      <w:bookmarkStart w:id="259" w:name="_Toc200486087"/>
      <w:r>
        <w:rPr>
          <w:rFonts w:eastAsia="Calibri"/>
        </w:rPr>
        <w:t xml:space="preserve">2.2.3.4 </w:t>
      </w:r>
      <w:r w:rsidR="00D50069" w:rsidRPr="00D50069">
        <w:rPr>
          <w:rFonts w:eastAsia="Calibri"/>
        </w:rPr>
        <w:t>Analysis of the Fourth Questionnaire Section</w:t>
      </w:r>
      <w:bookmarkEnd w:id="259"/>
    </w:p>
    <w:p w14:paraId="5467C3B0" w14:textId="77777777" w:rsidR="007E6EAE" w:rsidRDefault="00D50069" w:rsidP="007E6EAE">
      <w:pPr>
        <w:spacing w:after="160" w:line="480" w:lineRule="auto"/>
        <w:ind w:firstLine="567"/>
        <w:jc w:val="both"/>
        <w:rPr>
          <w:rFonts w:eastAsia="Calibri"/>
          <w:kern w:val="2"/>
          <w:position w:val="0"/>
          <w14:ligatures w14:val="standardContextual"/>
        </w:rPr>
      </w:pPr>
      <w:proofErr w:type="gramStart"/>
      <w:r w:rsidRPr="00D50069">
        <w:rPr>
          <w:rFonts w:eastAsia="Calibri"/>
          <w:kern w:val="2"/>
          <w:position w:val="0"/>
          <w14:ligatures w14:val="standardContextual"/>
        </w:rPr>
        <w:t>Several challenges were reported by participants regarding the engagement in online teacher communities</w:t>
      </w:r>
      <w:proofErr w:type="gramEnd"/>
      <w:r w:rsidRPr="00D50069">
        <w:rPr>
          <w:rFonts w:eastAsia="Calibri"/>
          <w:kern w:val="2"/>
          <w:position w:val="0"/>
          <w14:ligatures w14:val="standardContextual"/>
        </w:rPr>
        <w:t xml:space="preserve">. The majority of respondents agreed with the three obstacles that may negatively </w:t>
      </w:r>
      <w:proofErr w:type="gramStart"/>
      <w:r w:rsidRPr="00D50069">
        <w:rPr>
          <w:rFonts w:eastAsia="Calibri"/>
          <w:kern w:val="2"/>
          <w:position w:val="0"/>
          <w14:ligatures w14:val="standardContextual"/>
        </w:rPr>
        <w:t>impact</w:t>
      </w:r>
      <w:proofErr w:type="gramEnd"/>
      <w:r w:rsidRPr="00D50069">
        <w:rPr>
          <w:rFonts w:eastAsia="Calibri"/>
          <w:kern w:val="2"/>
          <w:position w:val="0"/>
          <w14:ligatures w14:val="standardContextual"/>
        </w:rPr>
        <w:t xml:space="preserve"> the efficiency and continuity of this virtual collaborative network. As </w:t>
      </w:r>
      <w:r w:rsidRPr="00D50069">
        <w:rPr>
          <w:rFonts w:eastAsia="Calibri"/>
          <w:b/>
          <w:bCs/>
          <w:kern w:val="2"/>
          <w:position w:val="0"/>
          <w14:ligatures w14:val="standardContextual"/>
        </w:rPr>
        <w:t>Graph 20</w:t>
      </w:r>
      <w:r w:rsidRPr="00D50069">
        <w:rPr>
          <w:rFonts w:eastAsia="Calibri"/>
          <w:kern w:val="2"/>
          <w:position w:val="0"/>
          <w14:ligatures w14:val="standardContextual"/>
        </w:rPr>
        <w:t xml:space="preserve"> presents, </w:t>
      </w:r>
      <w:bookmarkStart w:id="260" w:name="_Hlk198787529"/>
      <w:r w:rsidRPr="00D50069">
        <w:rPr>
          <w:rFonts w:eastAsia="Calibri"/>
          <w:kern w:val="2"/>
          <w:position w:val="0"/>
          <w14:ligatures w14:val="standardContextual"/>
        </w:rPr>
        <w:t>52 %</w:t>
      </w:r>
      <w:bookmarkEnd w:id="260"/>
      <w:r w:rsidRPr="00D50069">
        <w:rPr>
          <w:rFonts w:eastAsia="Calibri"/>
          <w:kern w:val="2"/>
          <w:position w:val="0"/>
          <w14:ligatures w14:val="standardContextual"/>
        </w:rPr>
        <w:t xml:space="preserve"> confirmed that they find difficulty to apply online recommendations to address particular classroom contexts such as overlooking students’ specific needs. Similarly, 54 % affirmed that participation in online communities </w:t>
      </w:r>
      <w:proofErr w:type="gramStart"/>
      <w:r w:rsidRPr="00D50069">
        <w:rPr>
          <w:rFonts w:eastAsia="Calibri"/>
          <w:kern w:val="2"/>
          <w:position w:val="0"/>
          <w14:ligatures w14:val="standardContextual"/>
        </w:rPr>
        <w:t>is limited</w:t>
      </w:r>
      <w:proofErr w:type="gramEnd"/>
      <w:r w:rsidRPr="00D50069">
        <w:rPr>
          <w:rFonts w:eastAsia="Calibri"/>
          <w:kern w:val="2"/>
          <w:position w:val="0"/>
          <w14:ligatures w14:val="standardContextual"/>
        </w:rPr>
        <w:t xml:space="preserve"> by time constraints. Further, privacy concerns prevent 56 % of teachers from sharing student assessment data online. </w:t>
      </w:r>
    </w:p>
    <w:p w14:paraId="6EC00A11" w14:textId="77777777" w:rsidR="007E6EAE" w:rsidRDefault="00D50069" w:rsidP="007E6EAE">
      <w:pPr>
        <w:spacing w:after="160" w:line="480" w:lineRule="auto"/>
        <w:ind w:firstLine="567"/>
        <w:jc w:val="both"/>
        <w:rPr>
          <w:rFonts w:eastAsia="Calibri"/>
          <w:kern w:val="2"/>
          <w:position w:val="0"/>
          <w14:ligatures w14:val="standardContextual"/>
        </w:rPr>
      </w:pPr>
      <w:r w:rsidRPr="00D50069">
        <w:rPr>
          <w:rFonts w:eastAsia="Calibri"/>
          <w:kern w:val="2"/>
          <w:position w:val="0"/>
          <w14:ligatures w14:val="standardContextual"/>
        </w:rPr>
        <w:t xml:space="preserve"> In contrast, strongly disagree and strongly agree received the lowest percentage across the three difficulties encountered, less than </w:t>
      </w:r>
      <w:bookmarkStart w:id="261" w:name="_Hlk198841903"/>
      <w:r w:rsidRPr="00D50069">
        <w:rPr>
          <w:rFonts w:eastAsia="Calibri"/>
          <w:kern w:val="2"/>
          <w:position w:val="0"/>
          <w14:ligatures w14:val="standardContextual"/>
        </w:rPr>
        <w:t>11 %</w:t>
      </w:r>
      <w:bookmarkEnd w:id="261"/>
      <w:r w:rsidRPr="00D50069">
        <w:rPr>
          <w:rFonts w:eastAsia="Calibri"/>
          <w:kern w:val="2"/>
          <w:position w:val="0"/>
          <w14:ligatures w14:val="standardContextual"/>
        </w:rPr>
        <w:t xml:space="preserve">. However, 25 % strongly disagreed with the idea that learners’ specific needs </w:t>
      </w:r>
      <w:proofErr w:type="gramStart"/>
      <w:r w:rsidRPr="00D50069">
        <w:rPr>
          <w:rFonts w:eastAsia="Calibri"/>
          <w:kern w:val="2"/>
          <w:position w:val="0"/>
          <w14:ligatures w14:val="standardContextual"/>
        </w:rPr>
        <w:t>cannot be addressed</w:t>
      </w:r>
      <w:proofErr w:type="gramEnd"/>
      <w:r w:rsidRPr="00D50069">
        <w:rPr>
          <w:rFonts w:eastAsia="Calibri"/>
          <w:kern w:val="2"/>
          <w:position w:val="0"/>
          <w14:ligatures w14:val="standardContextual"/>
        </w:rPr>
        <w:t xml:space="preserve"> when reflecting on feedback received online. </w:t>
      </w:r>
      <w:proofErr w:type="gramStart"/>
      <w:r w:rsidRPr="00D50069">
        <w:rPr>
          <w:rFonts w:eastAsia="Calibri"/>
          <w:kern w:val="2"/>
          <w:position w:val="0"/>
          <w14:ligatures w14:val="standardContextual"/>
        </w:rPr>
        <w:t>Also</w:t>
      </w:r>
      <w:proofErr w:type="gramEnd"/>
      <w:r w:rsidRPr="00D50069">
        <w:rPr>
          <w:rFonts w:eastAsia="Calibri"/>
          <w:kern w:val="2"/>
          <w:position w:val="0"/>
          <w14:ligatures w14:val="standardContextual"/>
        </w:rPr>
        <w:t xml:space="preserve">, 24 % of respondents strongly agreed with challenges related to sharing data due </w:t>
      </w:r>
      <w:r w:rsidRPr="00D50069">
        <w:rPr>
          <w:rFonts w:eastAsia="Calibri"/>
          <w:kern w:val="2"/>
          <w:position w:val="0"/>
          <w14:ligatures w14:val="standardContextual"/>
        </w:rPr>
        <w:lastRenderedPageBreak/>
        <w:t>to privacy concerns. A proportion of 15 %, 24 % and 11 % remained neutral towards obstacles that may hinder reflective assessments within OTCs.</w:t>
      </w:r>
    </w:p>
    <w:p w14:paraId="6FF3E4EE" w14:textId="77777777" w:rsidR="007E6EAE" w:rsidRDefault="00D50069" w:rsidP="007E6EAE">
      <w:pPr>
        <w:spacing w:after="160" w:line="480" w:lineRule="auto"/>
        <w:ind w:firstLine="567"/>
        <w:jc w:val="both"/>
        <w:rPr>
          <w:rFonts w:eastAsia="Calibri"/>
          <w:kern w:val="2"/>
          <w:position w:val="0"/>
          <w14:ligatures w14:val="standardContextual"/>
        </w:rPr>
      </w:pPr>
      <w:r w:rsidRPr="00D50069">
        <w:rPr>
          <w:rFonts w:eastAsia="Calibri"/>
          <w:kern w:val="2"/>
          <w:position w:val="0"/>
          <w14:ligatures w14:val="standardContextual"/>
        </w:rPr>
        <w:t xml:space="preserve">What is more, participants </w:t>
      </w:r>
      <w:proofErr w:type="gramStart"/>
      <w:r w:rsidRPr="00D50069">
        <w:rPr>
          <w:rFonts w:eastAsia="Calibri"/>
          <w:kern w:val="2"/>
          <w:position w:val="0"/>
          <w14:ligatures w14:val="standardContextual"/>
        </w:rPr>
        <w:t>were allowed</w:t>
      </w:r>
      <w:proofErr w:type="gramEnd"/>
      <w:r w:rsidRPr="00D50069">
        <w:rPr>
          <w:rFonts w:eastAsia="Calibri"/>
          <w:kern w:val="2"/>
          <w:position w:val="0"/>
          <w14:ligatures w14:val="standardContextual"/>
        </w:rPr>
        <w:t xml:space="preserve"> to elaborate on other potential obstacles. The analysis of most common answers generated additional barriers such as limited digital literacy, inactivity of certain communities and lack of structured meetings.</w:t>
      </w:r>
    </w:p>
    <w:p w14:paraId="370518F9" w14:textId="5051DF64" w:rsidR="00D50069" w:rsidRPr="00D50069" w:rsidRDefault="00D50069" w:rsidP="007E6EAE">
      <w:pPr>
        <w:spacing w:after="160" w:line="480" w:lineRule="auto"/>
        <w:ind w:firstLine="567"/>
        <w:jc w:val="both"/>
        <w:rPr>
          <w:rFonts w:eastAsia="Calibri"/>
          <w:kern w:val="2"/>
          <w:position w:val="0"/>
          <w14:ligatures w14:val="standardContextual"/>
        </w:rPr>
      </w:pPr>
      <w:r w:rsidRPr="00D50069">
        <w:rPr>
          <w:rFonts w:eastAsia="Calibri"/>
          <w:kern w:val="2"/>
          <w:position w:val="0"/>
          <w14:ligatures w14:val="standardContextual"/>
        </w:rPr>
        <w:t xml:space="preserve">These findings highlight areas that require further attention and structured intervention, following specific frameworks from distinct stakeholders. </w:t>
      </w:r>
      <w:r w:rsidR="000F2E5F" w:rsidRPr="00D50069">
        <w:rPr>
          <w:rFonts w:ascii="Calibri" w:eastAsia="Calibri" w:hAnsi="Calibri" w:cs="Arial"/>
          <w:noProof/>
          <w:kern w:val="2"/>
          <w:position w:val="0"/>
          <w:sz w:val="22"/>
          <w:szCs w:val="22"/>
          <w:lang w:val="fr-FR" w:eastAsia="fr-FR"/>
          <w14:ligatures w14:val="standardContextual"/>
        </w:rPr>
        <w:drawing>
          <wp:inline distT="0" distB="0" distL="0" distR="0" wp14:anchorId="41348588" wp14:editId="291E8DDC">
            <wp:extent cx="5429250" cy="3105150"/>
            <wp:effectExtent l="0" t="0" r="0" b="0"/>
            <wp:docPr id="1360541630" name="Chart 1">
              <a:extLst xmlns:a="http://schemas.openxmlformats.org/drawingml/2006/main">
                <a:ext uri="{FF2B5EF4-FFF2-40B4-BE49-F238E27FC236}">
                  <a16:creationId xmlns:a16="http://schemas.microsoft.com/office/drawing/2014/main"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3C5DF0CA-0302-7072-D76C-0DB89C2A295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2"/>
              </a:graphicData>
            </a:graphic>
          </wp:inline>
        </w:drawing>
      </w:r>
    </w:p>
    <w:p w14:paraId="599BD69B" w14:textId="433744C9" w:rsidR="00D50069" w:rsidRPr="00453DBC" w:rsidRDefault="00D50069" w:rsidP="00D50069">
      <w:pPr>
        <w:spacing w:after="200" w:line="480" w:lineRule="auto"/>
        <w:rPr>
          <w:rFonts w:eastAsia="Calibri"/>
          <w:b/>
          <w:bCs/>
          <w:kern w:val="2"/>
          <w:position w:val="0"/>
          <w:sz w:val="36"/>
          <w:szCs w:val="36"/>
          <w14:ligatures w14:val="standardContextual"/>
        </w:rPr>
      </w:pPr>
      <w:bookmarkStart w:id="262" w:name="_Toc199695835"/>
      <w:r w:rsidRPr="00D50069">
        <w:rPr>
          <w:rFonts w:eastAsia="Calibri"/>
          <w:b/>
          <w:bCs/>
          <w:kern w:val="2"/>
          <w:position w:val="0"/>
          <w14:ligatures w14:val="standardContextual"/>
        </w:rPr>
        <w:t xml:space="preserve">Graph </w:t>
      </w:r>
      <w:r w:rsidRPr="00D50069">
        <w:rPr>
          <w:rFonts w:eastAsia="Calibri"/>
          <w:b/>
          <w:bCs/>
          <w:kern w:val="2"/>
          <w:position w:val="0"/>
          <w14:ligatures w14:val="standardContextual"/>
        </w:rPr>
        <w:fldChar w:fldCharType="begin"/>
      </w:r>
      <w:r w:rsidRPr="00D50069">
        <w:rPr>
          <w:rFonts w:eastAsia="Calibri"/>
          <w:b/>
          <w:bCs/>
          <w:kern w:val="2"/>
          <w:position w:val="0"/>
          <w14:ligatures w14:val="standardContextual"/>
        </w:rPr>
        <w:instrText xml:space="preserve"> SEQ Graph \* ARABIC </w:instrText>
      </w:r>
      <w:r w:rsidRPr="00D50069">
        <w:rPr>
          <w:rFonts w:eastAsia="Calibri"/>
          <w:b/>
          <w:bCs/>
          <w:kern w:val="2"/>
          <w:position w:val="0"/>
          <w14:ligatures w14:val="standardContextual"/>
        </w:rPr>
        <w:fldChar w:fldCharType="separate"/>
      </w:r>
      <w:r w:rsidR="00DC3231">
        <w:rPr>
          <w:rFonts w:eastAsia="Calibri"/>
          <w:b/>
          <w:bCs/>
          <w:noProof/>
          <w:kern w:val="2"/>
          <w:position w:val="0"/>
          <w14:ligatures w14:val="standardContextual"/>
        </w:rPr>
        <w:t>20</w:t>
      </w:r>
      <w:r w:rsidRPr="00D50069">
        <w:rPr>
          <w:rFonts w:eastAsia="Calibri"/>
          <w:b/>
          <w:bCs/>
          <w:kern w:val="2"/>
          <w:position w:val="0"/>
          <w14:ligatures w14:val="standardContextual"/>
        </w:rPr>
        <w:fldChar w:fldCharType="end"/>
      </w:r>
      <w:r w:rsidRPr="00D50069">
        <w:rPr>
          <w:rFonts w:eastAsia="Calibri"/>
          <w:i/>
          <w:iCs/>
          <w:kern w:val="2"/>
          <w:position w:val="0"/>
          <w14:ligatures w14:val="standardContextual"/>
        </w:rPr>
        <w:t xml:space="preserve"> </w:t>
      </w:r>
      <w:r w:rsidRPr="00453DBC">
        <w:rPr>
          <w:rFonts w:eastAsia="Calibri"/>
          <w:kern w:val="2"/>
          <w:position w:val="0"/>
          <w14:ligatures w14:val="standardContextual"/>
        </w:rPr>
        <w:t>Distribution of Major Obstacles and Difficulties within OTCs</w:t>
      </w:r>
      <w:bookmarkEnd w:id="262"/>
    </w:p>
    <w:p w14:paraId="4A84E375" w14:textId="6B4B554E" w:rsidR="00D50069" w:rsidRPr="00D50069" w:rsidRDefault="00D50069" w:rsidP="00AA5DBF">
      <w:pPr>
        <w:pStyle w:val="Titre1"/>
        <w:numPr>
          <w:ilvl w:val="0"/>
          <w:numId w:val="11"/>
        </w:numPr>
        <w:rPr>
          <w:rFonts w:eastAsia="Calibri"/>
        </w:rPr>
      </w:pPr>
      <w:bookmarkStart w:id="263" w:name="_Toc200486088"/>
      <w:r w:rsidRPr="00D50069">
        <w:rPr>
          <w:rFonts w:eastAsia="Calibri"/>
        </w:rPr>
        <w:t>Findings Discussion</w:t>
      </w:r>
      <w:bookmarkEnd w:id="263"/>
      <w:r w:rsidRPr="00D50069">
        <w:rPr>
          <w:rFonts w:eastAsia="Calibri"/>
        </w:rPr>
        <w:t xml:space="preserve"> </w:t>
      </w:r>
    </w:p>
    <w:p w14:paraId="6716CF9A" w14:textId="7E4E59B9" w:rsidR="00D50069" w:rsidRDefault="00D50069" w:rsidP="00453DBC">
      <w:pPr>
        <w:spacing w:after="160" w:line="480" w:lineRule="auto"/>
        <w:ind w:firstLine="567"/>
        <w:jc w:val="both"/>
        <w:rPr>
          <w:rFonts w:eastAsia="Calibri"/>
          <w:kern w:val="2"/>
          <w:position w:val="0"/>
          <w14:ligatures w14:val="standardContextual"/>
        </w:rPr>
      </w:pPr>
      <w:r w:rsidRPr="00D50069">
        <w:rPr>
          <w:rFonts w:eastAsia="Calibri"/>
          <w:kern w:val="2"/>
          <w:position w:val="0"/>
          <w14:ligatures w14:val="standardContextual"/>
        </w:rPr>
        <w:t xml:space="preserve">The addressed problem in this research is the ongoing need for effective professional development for EFL educators, particularly in areas like assessment practices. The understanding of professional development within online learning environments encompasses aspects of knowledge construction, skill development, collaborative learning, and reflective practices. Thus, this study aimed to explore how participation in OTCs specifically the Facebook group “District 4 Teacher Corner” - affects Algerian EFL middle school teachers’ </w:t>
      </w:r>
      <w:r w:rsidRPr="00D50069">
        <w:rPr>
          <w:rFonts w:eastAsia="Calibri"/>
          <w:kern w:val="2"/>
          <w:position w:val="0"/>
          <w14:ligatures w14:val="standardContextual"/>
        </w:rPr>
        <w:lastRenderedPageBreak/>
        <w:t xml:space="preserve">summative assessment literacy. This section presents a comprehensive discussion of findings derived from triangulated qualitative data derived from platform observation, semi-structured interviews with EFL middle school teachers and their supervising inspector </w:t>
      </w:r>
      <w:proofErr w:type="gramStart"/>
      <w:r w:rsidRPr="00D50069">
        <w:rPr>
          <w:rFonts w:eastAsia="Calibri"/>
          <w:kern w:val="2"/>
          <w:position w:val="0"/>
          <w14:ligatures w14:val="standardContextual"/>
        </w:rPr>
        <w:t>– also,</w:t>
      </w:r>
      <w:proofErr w:type="gramEnd"/>
      <w:r w:rsidRPr="00D50069">
        <w:rPr>
          <w:rFonts w:eastAsia="Calibri"/>
          <w:kern w:val="2"/>
          <w:position w:val="0"/>
          <w14:ligatures w14:val="standardContextual"/>
        </w:rPr>
        <w:t xml:space="preserve"> the administrator of the previously mentioned platform – and teachers’ questionnaire. Key findings </w:t>
      </w:r>
      <w:proofErr w:type="gramStart"/>
      <w:r w:rsidRPr="00D50069">
        <w:rPr>
          <w:rFonts w:eastAsia="Calibri"/>
          <w:kern w:val="2"/>
          <w:position w:val="0"/>
          <w14:ligatures w14:val="standardContextual"/>
        </w:rPr>
        <w:t>were synthesized</w:t>
      </w:r>
      <w:proofErr w:type="gramEnd"/>
      <w:r w:rsidRPr="00D50069">
        <w:rPr>
          <w:rFonts w:eastAsia="Calibri"/>
          <w:kern w:val="2"/>
          <w:position w:val="0"/>
          <w14:ligatures w14:val="standardContextual"/>
        </w:rPr>
        <w:t xml:space="preserve"> in relation to the research questions:</w:t>
      </w:r>
    </w:p>
    <w:p w14:paraId="3F0780FA" w14:textId="77777777" w:rsidR="00EA6835" w:rsidRDefault="00EA6835">
      <w:pPr>
        <w:pStyle w:val="Paragraphedeliste"/>
        <w:numPr>
          <w:ilvl w:val="0"/>
          <w:numId w:val="12"/>
        </w:numPr>
        <w:tabs>
          <w:tab w:val="left" w:pos="284"/>
        </w:tabs>
        <w:spacing w:after="160" w:line="480" w:lineRule="auto"/>
        <w:jc w:val="both"/>
        <w:rPr>
          <w:rFonts w:asciiTheme="majorBidi" w:hAnsiTheme="majorBidi" w:cstheme="majorBidi"/>
          <w:sz w:val="24"/>
          <w:szCs w:val="24"/>
          <w:lang w:val="en-US"/>
        </w:rPr>
      </w:pPr>
      <w:r w:rsidRPr="00737138">
        <w:rPr>
          <w:rFonts w:asciiTheme="majorBidi" w:hAnsiTheme="majorBidi" w:cstheme="majorBidi"/>
          <w:sz w:val="24"/>
          <w:szCs w:val="24"/>
          <w:lang w:val="en-US"/>
        </w:rPr>
        <w:t>How do OTCs enhance Algerian middle school EFL teachers Summative Assessment Literacy?</w:t>
      </w:r>
    </w:p>
    <w:p w14:paraId="24A92460" w14:textId="77777777" w:rsidR="00EA6835" w:rsidRDefault="00EA6835">
      <w:pPr>
        <w:pStyle w:val="Paragraphedeliste"/>
        <w:numPr>
          <w:ilvl w:val="0"/>
          <w:numId w:val="12"/>
        </w:numPr>
        <w:tabs>
          <w:tab w:val="left" w:pos="284"/>
        </w:tabs>
        <w:spacing w:after="160" w:line="480" w:lineRule="auto"/>
        <w:jc w:val="both"/>
        <w:rPr>
          <w:rFonts w:asciiTheme="majorBidi" w:hAnsiTheme="majorBidi" w:cstheme="majorBidi"/>
          <w:sz w:val="24"/>
          <w:szCs w:val="24"/>
          <w:lang w:val="en-US"/>
        </w:rPr>
      </w:pPr>
      <w:r w:rsidRPr="00EA6835">
        <w:rPr>
          <w:rFonts w:asciiTheme="majorBidi" w:hAnsiTheme="majorBidi" w:cstheme="majorBidi"/>
          <w:sz w:val="24"/>
          <w:szCs w:val="24"/>
          <w:lang w:val="en-US"/>
        </w:rPr>
        <w:t>What are the dynamics through which teachers interact and learn about Summative Assessment Literacy?</w:t>
      </w:r>
    </w:p>
    <w:p w14:paraId="23405D86" w14:textId="77777777" w:rsidR="00EA6835" w:rsidRDefault="00EA6835">
      <w:pPr>
        <w:pStyle w:val="Paragraphedeliste"/>
        <w:numPr>
          <w:ilvl w:val="0"/>
          <w:numId w:val="12"/>
        </w:numPr>
        <w:tabs>
          <w:tab w:val="left" w:pos="284"/>
        </w:tabs>
        <w:spacing w:after="160" w:line="480" w:lineRule="auto"/>
        <w:jc w:val="both"/>
        <w:rPr>
          <w:rFonts w:asciiTheme="majorBidi" w:hAnsiTheme="majorBidi" w:cstheme="majorBidi"/>
          <w:sz w:val="24"/>
          <w:szCs w:val="24"/>
          <w:lang w:val="en-US"/>
        </w:rPr>
      </w:pPr>
      <w:r w:rsidRPr="00EA6835">
        <w:rPr>
          <w:rFonts w:asciiTheme="majorBidi" w:hAnsiTheme="majorBidi" w:cstheme="majorBidi"/>
          <w:sz w:val="24"/>
          <w:szCs w:val="24"/>
          <w:lang w:val="en-US"/>
        </w:rPr>
        <w:t>What are EFL teachers’ attitudes towards OTCs effectiveness in areas like summative assessment methods?</w:t>
      </w:r>
    </w:p>
    <w:p w14:paraId="20A8359D" w14:textId="7740E5B2" w:rsidR="00EA6835" w:rsidRPr="00EA6835" w:rsidRDefault="00EA6835">
      <w:pPr>
        <w:pStyle w:val="Paragraphedeliste"/>
        <w:numPr>
          <w:ilvl w:val="0"/>
          <w:numId w:val="12"/>
        </w:numPr>
        <w:tabs>
          <w:tab w:val="left" w:pos="284"/>
        </w:tabs>
        <w:spacing w:after="160" w:line="480" w:lineRule="auto"/>
        <w:jc w:val="both"/>
        <w:rPr>
          <w:rFonts w:asciiTheme="majorBidi" w:hAnsiTheme="majorBidi" w:cstheme="majorBidi"/>
          <w:sz w:val="24"/>
          <w:szCs w:val="24"/>
          <w:lang w:val="en-US"/>
        </w:rPr>
      </w:pPr>
      <w:r w:rsidRPr="00EA6835">
        <w:rPr>
          <w:rFonts w:asciiTheme="majorBidi" w:hAnsiTheme="majorBidi" w:cstheme="majorBidi"/>
          <w:sz w:val="24"/>
          <w:szCs w:val="24"/>
          <w:lang w:val="en-US"/>
        </w:rPr>
        <w:t>To what extent do Online Teacher Communities enhance Algerian EFL teachers’ knowledge and skills to effectively design and critically refine their summative assessment practices?</w:t>
      </w:r>
    </w:p>
    <w:p w14:paraId="34C3A972" w14:textId="77777777" w:rsidR="00D50069" w:rsidRPr="00D50069" w:rsidRDefault="00D50069" w:rsidP="006570EA">
      <w:pPr>
        <w:spacing w:after="160" w:line="480" w:lineRule="auto"/>
        <w:ind w:firstLine="567"/>
        <w:contextualSpacing/>
        <w:jc w:val="both"/>
        <w:rPr>
          <w:rFonts w:eastAsia="Calibri"/>
          <w:kern w:val="2"/>
          <w:position w:val="0"/>
          <w14:ligatures w14:val="standardContextual"/>
        </w:rPr>
      </w:pPr>
      <w:r w:rsidRPr="00D50069">
        <w:rPr>
          <w:rFonts w:eastAsia="Calibri"/>
          <w:kern w:val="2"/>
          <w:position w:val="0"/>
          <w14:ligatures w14:val="standardContextual"/>
        </w:rPr>
        <w:t xml:space="preserve">Initially, this section discusses major themes and findings. Hence, the framework below summarizes key components of the main finding. Policy makers, inspectors and stakeholders can apply this model to enhance targeted assessment techniques through appropriate teacher continuing professional development. Then, the discussion continues through the lens of theoretical framework and literature review in relation with those findings. Ultimately, it presents implications for EFL educators and recommendations for future studies. </w:t>
      </w:r>
    </w:p>
    <w:p w14:paraId="51483B87" w14:textId="77777777" w:rsidR="00D50069" w:rsidRPr="00D50069" w:rsidRDefault="00D50069" w:rsidP="00D50069">
      <w:pPr>
        <w:spacing w:after="160" w:line="480" w:lineRule="auto"/>
        <w:ind w:left="360"/>
        <w:contextualSpacing/>
        <w:jc w:val="both"/>
        <w:rPr>
          <w:rFonts w:eastAsia="Calibri"/>
          <w:kern w:val="2"/>
          <w:position w:val="0"/>
          <w14:ligatures w14:val="standardContextual"/>
        </w:rPr>
      </w:pPr>
      <w:r w:rsidRPr="00D50069">
        <w:rPr>
          <w:noProof/>
          <w:kern w:val="2"/>
          <w:position w:val="0"/>
          <w:lang w:val="fr-FR" w:eastAsia="fr-FR"/>
          <w14:ligatures w14:val="standardContextual"/>
        </w:rPr>
        <w:drawing>
          <wp:inline distT="0" distB="0" distL="0" distR="0" wp14:anchorId="19CD0EAE" wp14:editId="6AB8EDC5">
            <wp:extent cx="5760720" cy="1593850"/>
            <wp:effectExtent l="0" t="0" r="11430" b="0"/>
            <wp:docPr id="1016190658"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3" r:lo="rId64" r:qs="rId65" r:cs="rId66"/>
              </a:graphicData>
            </a:graphic>
          </wp:inline>
        </w:drawing>
      </w:r>
    </w:p>
    <w:p w14:paraId="5B207DF6" w14:textId="77777777" w:rsidR="00D50069" w:rsidRPr="00D50069" w:rsidRDefault="00D50069" w:rsidP="00D50069">
      <w:pPr>
        <w:keepNext/>
        <w:spacing w:after="160" w:line="480" w:lineRule="auto"/>
        <w:ind w:left="360"/>
        <w:contextualSpacing/>
        <w:jc w:val="both"/>
        <w:rPr>
          <w:rFonts w:ascii="Calibri" w:eastAsia="Calibri" w:hAnsi="Calibri" w:cs="Arial"/>
          <w:kern w:val="2"/>
          <w:position w:val="0"/>
          <w:sz w:val="22"/>
          <w:szCs w:val="22"/>
          <w14:ligatures w14:val="standardContextual"/>
        </w:rPr>
      </w:pPr>
      <w:r w:rsidRPr="00D50069">
        <w:rPr>
          <w:rFonts w:eastAsia="Calibri"/>
          <w:noProof/>
          <w:kern w:val="2"/>
          <w:position w:val="0"/>
          <w:lang w:val="fr-FR" w:eastAsia="fr-FR"/>
          <w14:ligatures w14:val="standardContextual"/>
        </w:rPr>
        <w:lastRenderedPageBreak/>
        <w:drawing>
          <wp:inline distT="0" distB="0" distL="0" distR="0" wp14:anchorId="5386801F" wp14:editId="69EE1221">
            <wp:extent cx="5486400" cy="3200400"/>
            <wp:effectExtent l="0" t="0" r="0" b="0"/>
            <wp:docPr id="140471164" name="Diagram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8" r:lo="rId69" r:qs="rId70" r:cs="rId71"/>
              </a:graphicData>
            </a:graphic>
          </wp:inline>
        </w:drawing>
      </w:r>
    </w:p>
    <w:p w14:paraId="088D30FE" w14:textId="5F489F4D" w:rsidR="00D50069" w:rsidRPr="00B10383" w:rsidRDefault="00D50069" w:rsidP="00D50069">
      <w:pPr>
        <w:spacing w:after="200" w:line="480" w:lineRule="auto"/>
        <w:jc w:val="both"/>
        <w:rPr>
          <w:rFonts w:eastAsia="Calibri"/>
          <w:kern w:val="2"/>
          <w:position w:val="0"/>
          <w14:ligatures w14:val="standardContextual"/>
        </w:rPr>
      </w:pPr>
      <w:bookmarkStart w:id="264" w:name="_Toc199832203"/>
      <w:r w:rsidRPr="0008531E">
        <w:rPr>
          <w:rFonts w:eastAsia="Calibri"/>
          <w:b/>
          <w:bCs/>
          <w:kern w:val="2"/>
          <w:position w:val="0"/>
          <w14:ligatures w14:val="standardContextual"/>
        </w:rPr>
        <w:t xml:space="preserve">Figure </w:t>
      </w:r>
      <w:r w:rsidRPr="0008531E">
        <w:rPr>
          <w:rFonts w:eastAsia="Calibri"/>
          <w:b/>
          <w:bCs/>
          <w:kern w:val="2"/>
          <w:position w:val="0"/>
          <w14:ligatures w14:val="standardContextual"/>
        </w:rPr>
        <w:fldChar w:fldCharType="begin"/>
      </w:r>
      <w:r w:rsidRPr="0008531E">
        <w:rPr>
          <w:rFonts w:eastAsia="Calibri"/>
          <w:b/>
          <w:bCs/>
          <w:kern w:val="2"/>
          <w:position w:val="0"/>
          <w14:ligatures w14:val="standardContextual"/>
        </w:rPr>
        <w:instrText xml:space="preserve"> SEQ Figure \* ARABIC </w:instrText>
      </w:r>
      <w:r w:rsidRPr="0008531E">
        <w:rPr>
          <w:rFonts w:eastAsia="Calibri"/>
          <w:b/>
          <w:bCs/>
          <w:kern w:val="2"/>
          <w:position w:val="0"/>
          <w14:ligatures w14:val="standardContextual"/>
        </w:rPr>
        <w:fldChar w:fldCharType="separate"/>
      </w:r>
      <w:r w:rsidR="00DC3231">
        <w:rPr>
          <w:rFonts w:eastAsia="Calibri"/>
          <w:b/>
          <w:bCs/>
          <w:noProof/>
          <w:kern w:val="2"/>
          <w:position w:val="0"/>
          <w14:ligatures w14:val="standardContextual"/>
        </w:rPr>
        <w:t>3</w:t>
      </w:r>
      <w:r w:rsidRPr="0008531E">
        <w:rPr>
          <w:rFonts w:eastAsia="Calibri"/>
          <w:b/>
          <w:bCs/>
          <w:kern w:val="2"/>
          <w:position w:val="0"/>
          <w14:ligatures w14:val="standardContextual"/>
        </w:rPr>
        <w:fldChar w:fldCharType="end"/>
      </w:r>
      <w:r w:rsidRPr="0008531E">
        <w:rPr>
          <w:rFonts w:eastAsia="Calibri"/>
          <w:i/>
          <w:iCs/>
          <w:kern w:val="2"/>
          <w:position w:val="0"/>
          <w14:ligatures w14:val="standardContextual"/>
        </w:rPr>
        <w:t xml:space="preserve"> </w:t>
      </w:r>
      <w:r w:rsidRPr="00B10383">
        <w:rPr>
          <w:rFonts w:eastAsia="Calibri"/>
          <w:kern w:val="2"/>
          <w:position w:val="0"/>
          <w14:ligatures w14:val="standardContextual"/>
        </w:rPr>
        <w:t>Assessment Literacy Framework</w:t>
      </w:r>
      <w:bookmarkEnd w:id="264"/>
    </w:p>
    <w:p w14:paraId="63ED5E58" w14:textId="4BF27140" w:rsidR="00842149" w:rsidRPr="00842149" w:rsidRDefault="00D50069" w:rsidP="00B10383">
      <w:pPr>
        <w:spacing w:line="480" w:lineRule="auto"/>
        <w:ind w:firstLine="567"/>
        <w:jc w:val="both"/>
        <w:rPr>
          <w:rFonts w:eastAsia="Calibri"/>
          <w:kern w:val="2"/>
          <w:position w:val="0"/>
          <w14:ligatures w14:val="standardContextual"/>
        </w:rPr>
      </w:pPr>
      <w:r w:rsidRPr="00D50069">
        <w:rPr>
          <w:rFonts w:eastAsia="Calibri"/>
          <w:kern w:val="2"/>
          <w:position w:val="0"/>
          <w14:ligatures w14:val="standardContextual"/>
        </w:rPr>
        <w:t xml:space="preserve"> </w:t>
      </w:r>
      <w:bookmarkStart w:id="265" w:name="_Toc200486089"/>
      <w:bookmarkStart w:id="266" w:name="_Toc199830537"/>
      <w:r w:rsidR="00842149" w:rsidRPr="00842149">
        <w:rPr>
          <w:rFonts w:eastAsia="Calibri"/>
          <w:kern w:val="2"/>
          <w:position w:val="0"/>
          <w14:ligatures w14:val="standardContextual"/>
        </w:rPr>
        <w:t>The triangulated qualitative data uncover several key findings allowing for the emergence of the following themes including: knowledge construction through collaborative engagement, reflective practice and transformative learning, and digital affordances and constrains.</w:t>
      </w:r>
      <w:bookmarkEnd w:id="265"/>
      <w:r w:rsidR="00842149" w:rsidRPr="00842149">
        <w:rPr>
          <w:rFonts w:eastAsia="Calibri"/>
          <w:kern w:val="2"/>
          <w:position w:val="0"/>
          <w14:ligatures w14:val="standardContextual"/>
        </w:rPr>
        <w:t xml:space="preserve"> </w:t>
      </w:r>
    </w:p>
    <w:p w14:paraId="7F7F29AC" w14:textId="77777777" w:rsidR="00B10383" w:rsidRDefault="00842149" w:rsidP="00B10383">
      <w:pPr>
        <w:spacing w:after="160" w:line="480" w:lineRule="auto"/>
        <w:ind w:firstLine="567"/>
        <w:jc w:val="both"/>
        <w:rPr>
          <w:rFonts w:eastAsia="Calibri"/>
          <w:kern w:val="2"/>
          <w:position w:val="0"/>
          <w14:ligatures w14:val="standardContextual"/>
        </w:rPr>
      </w:pPr>
      <w:r w:rsidRPr="00842149">
        <w:rPr>
          <w:rFonts w:eastAsia="Calibri"/>
          <w:kern w:val="2"/>
          <w:position w:val="0"/>
          <w14:ligatures w14:val="standardContextual"/>
        </w:rPr>
        <w:t>Teachers who participated in the interviews reported improved understanding of summative assessment principles such as, validity, reliability, grading practices, and alignment with learning objectives. Teachers stated that discussion in such communities had great impact on their assessment conceptual understanding. These teachers also agreed that OTCs have a crucial role in grading projects and portfolios. The questionnaire supported this, with 70</w:t>
      </w:r>
      <w:bookmarkStart w:id="267" w:name="_Hlk199311339"/>
      <w:r w:rsidRPr="00842149">
        <w:rPr>
          <w:rFonts w:eastAsia="Calibri"/>
          <w:kern w:val="2"/>
          <w:position w:val="0"/>
          <w14:ligatures w14:val="standardContextual"/>
        </w:rPr>
        <w:t>⁒</w:t>
      </w:r>
      <w:bookmarkEnd w:id="267"/>
      <w:r w:rsidRPr="00842149">
        <w:rPr>
          <w:rFonts w:eastAsia="Calibri"/>
          <w:kern w:val="2"/>
          <w:position w:val="0"/>
          <w14:ligatures w14:val="standardContextual"/>
        </w:rPr>
        <w:t xml:space="preserve"> of teachers developing understanding of key assessment concepts, 87⁒ improving their knowledge of assessment tools, and 72⁒ discovering new assessment methods. Moreover, 79⁒ utilize these platforms to improve their assessment skills, and 72⁒ to leverage grading rubrics and criteria discussed online. Furthermore, the inspector confirmed how OTCs facilitate the exchange of exam questions and the debate on how well those tests measure what they </w:t>
      </w:r>
      <w:proofErr w:type="gramStart"/>
      <w:r w:rsidRPr="00842149">
        <w:rPr>
          <w:rFonts w:eastAsia="Calibri"/>
          <w:kern w:val="2"/>
          <w:position w:val="0"/>
          <w14:ligatures w14:val="standardContextual"/>
        </w:rPr>
        <w:t xml:space="preserve">are </w:t>
      </w:r>
      <w:r w:rsidRPr="00842149">
        <w:rPr>
          <w:rFonts w:eastAsia="Calibri"/>
          <w:kern w:val="2"/>
          <w:position w:val="0"/>
          <w14:ligatures w14:val="standardContextual"/>
        </w:rPr>
        <w:lastRenderedPageBreak/>
        <w:t>supposed</w:t>
      </w:r>
      <w:proofErr w:type="gramEnd"/>
      <w:r w:rsidRPr="00842149">
        <w:rPr>
          <w:rFonts w:eastAsia="Calibri"/>
          <w:kern w:val="2"/>
          <w:position w:val="0"/>
          <w14:ligatures w14:val="standardContextual"/>
        </w:rPr>
        <w:t xml:space="preserve"> to. In addition, platform observation showed structured dissemination of several posts related to assessments tools including CCQs, ICQs, rubrics, and educational guide of designing exams.</w:t>
      </w:r>
    </w:p>
    <w:p w14:paraId="6CBD0024" w14:textId="77777777" w:rsidR="00B10383" w:rsidRDefault="00842149" w:rsidP="00B10383">
      <w:pPr>
        <w:spacing w:after="160" w:line="480" w:lineRule="auto"/>
        <w:ind w:firstLine="567"/>
        <w:jc w:val="both"/>
        <w:rPr>
          <w:rFonts w:eastAsia="Calibri"/>
          <w:kern w:val="2"/>
          <w:position w:val="0"/>
          <w14:ligatures w14:val="standardContextual"/>
        </w:rPr>
      </w:pPr>
      <w:r w:rsidRPr="00842149">
        <w:rPr>
          <w:rFonts w:eastAsia="Calibri"/>
          <w:kern w:val="2"/>
          <w:position w:val="0"/>
          <w14:ligatures w14:val="standardContextual"/>
        </w:rPr>
        <w:t xml:space="preserve">Observations revealed explicit guidance on reflection within the platform indicated through feedback mechanism for identifying what worked well and what hindered learning. This reinforces teachers’ self-assessment and ongoing improvement. </w:t>
      </w:r>
      <w:proofErr w:type="gramStart"/>
      <w:r w:rsidRPr="00842149">
        <w:rPr>
          <w:rFonts w:eastAsia="Calibri"/>
          <w:kern w:val="2"/>
          <w:position w:val="0"/>
          <w14:ligatures w14:val="standardContextual"/>
        </w:rPr>
        <w:t>Teacher agreed with this, as these learning communities provide diverse perspectives and practical insights through sharing assessments tools and receiving critical peer or mentor feedback, primarily from the inspector, given that interaction in “District 4 Teacher Corner” is mainly between the inspector and the teachers.</w:t>
      </w:r>
      <w:proofErr w:type="gramEnd"/>
      <w:r w:rsidRPr="00842149">
        <w:rPr>
          <w:rFonts w:eastAsia="Calibri"/>
          <w:kern w:val="2"/>
          <w:position w:val="0"/>
          <w14:ligatures w14:val="standardContextual"/>
        </w:rPr>
        <w:t xml:space="preserve"> Questionnaire data confirmed this with 78⁒ of teachers acknowledged the significance of online peer feedback, and 66⁒ developed reflective assessment practices via OTCs. Furthermore, the inspector highlighted that teachers refine assessment based on peer input, moving beyond one – size – fits – all approaches.</w:t>
      </w:r>
    </w:p>
    <w:p w14:paraId="0C1D95C2" w14:textId="77777777" w:rsidR="00B10383" w:rsidRDefault="00842149" w:rsidP="00B10383">
      <w:pPr>
        <w:spacing w:after="160" w:line="480" w:lineRule="auto"/>
        <w:ind w:firstLine="567"/>
        <w:jc w:val="both"/>
        <w:rPr>
          <w:rFonts w:eastAsia="Calibri"/>
          <w:kern w:val="2"/>
          <w:position w:val="0"/>
          <w14:ligatures w14:val="standardContextual"/>
        </w:rPr>
      </w:pPr>
      <w:r w:rsidRPr="00842149">
        <w:rPr>
          <w:rFonts w:eastAsia="Calibri"/>
          <w:kern w:val="2"/>
          <w:position w:val="0"/>
          <w14:ligatures w14:val="standardContextual"/>
        </w:rPr>
        <w:t xml:space="preserve">Interviews revealed that most teachers considered that OTCs offer a notable space for introducing new ideas, different formats, and collaborative brainstorming, thereby stimulating creative thinking. These teachers noted that sharing exams and waiting for peer feedback is effective in enhancing their competence in designing valid and reliable assessment tools. The inspector pointed how OTCs foster more creative approaches for unstructured </w:t>
      </w:r>
      <w:proofErr w:type="gramStart"/>
      <w:r w:rsidRPr="00842149">
        <w:rPr>
          <w:rFonts w:eastAsia="Calibri"/>
          <w:kern w:val="2"/>
          <w:position w:val="0"/>
          <w14:ligatures w14:val="standardContextual"/>
        </w:rPr>
        <w:t>assessments which</w:t>
      </w:r>
      <w:proofErr w:type="gramEnd"/>
      <w:r w:rsidRPr="00842149">
        <w:rPr>
          <w:rFonts w:eastAsia="Calibri"/>
          <w:kern w:val="2"/>
          <w:position w:val="0"/>
          <w14:ligatures w14:val="standardContextual"/>
        </w:rPr>
        <w:t xml:space="preserve"> connects learning to the real world. The high agreement levels in the questionnaire regarding assessment design skills support this finding with 83⁒ of teacher admitting that OTCs led to their assessment skills development.</w:t>
      </w:r>
    </w:p>
    <w:p w14:paraId="27D087A1" w14:textId="77777777" w:rsidR="00B10383" w:rsidRDefault="00842149" w:rsidP="00B10383">
      <w:pPr>
        <w:spacing w:after="160" w:line="480" w:lineRule="auto"/>
        <w:ind w:firstLine="567"/>
        <w:jc w:val="both"/>
        <w:rPr>
          <w:rFonts w:eastAsia="Calibri"/>
          <w:kern w:val="2"/>
          <w:position w:val="0"/>
          <w14:ligatures w14:val="standardContextual"/>
        </w:rPr>
      </w:pPr>
      <w:r w:rsidRPr="00842149">
        <w:rPr>
          <w:rFonts w:eastAsia="Calibri"/>
          <w:kern w:val="2"/>
          <w:position w:val="0"/>
          <w14:ligatures w14:val="standardContextual"/>
        </w:rPr>
        <w:t xml:space="preserve">The study informed how OTCs function as vital online environments for ongoing professional growth. This is affirmed by the analysis of such platform interactions which is evident in the </w:t>
      </w:r>
      <w:proofErr w:type="gramStart"/>
      <w:r w:rsidRPr="00842149">
        <w:rPr>
          <w:rFonts w:eastAsia="Calibri"/>
          <w:kern w:val="2"/>
          <w:position w:val="0"/>
          <w14:ligatures w14:val="standardContextual"/>
        </w:rPr>
        <w:t>inspector’ s</w:t>
      </w:r>
      <w:proofErr w:type="gramEnd"/>
      <w:r w:rsidRPr="00842149">
        <w:rPr>
          <w:rFonts w:eastAsia="Calibri"/>
          <w:kern w:val="2"/>
          <w:position w:val="0"/>
          <w14:ligatures w14:val="standardContextual"/>
        </w:rPr>
        <w:t xml:space="preserve"> strategic disseminated information concerning official </w:t>
      </w:r>
      <w:r w:rsidRPr="00842149">
        <w:rPr>
          <w:rFonts w:eastAsia="Calibri"/>
          <w:kern w:val="2"/>
          <w:position w:val="0"/>
          <w14:ligatures w14:val="standardContextual"/>
        </w:rPr>
        <w:lastRenderedPageBreak/>
        <w:t>announcements and workshops schedules. This demonstrates that OTCs create opportunities of continuous learning particularly in assessment practices. Moreover, most of the interviewed teachers reported that their participations in these OTCs offered a crucial shift from theoretical knowledge to practical application of summative assessment literacy. The questionnaire data strongly reinforced this with most of teachers admitting increased improvement in comprehending assessment concepts (70⁒), tools (87⁒), and new methods (72⁒).  Furthermore, 83⁒ of teachers confirmed enhancement in their assessment skills and reflection on available data (79⁒) through engaging in these platforms. Therefore, these findings highlight a straight trajectory to continuous professional development and intellectual growth within these learning communities.</w:t>
      </w:r>
    </w:p>
    <w:p w14:paraId="48C406E0" w14:textId="77777777" w:rsidR="00B10383" w:rsidRDefault="00842149" w:rsidP="00B10383">
      <w:pPr>
        <w:spacing w:after="160" w:line="480" w:lineRule="auto"/>
        <w:ind w:firstLine="567"/>
        <w:jc w:val="both"/>
        <w:rPr>
          <w:rFonts w:eastAsia="Calibri"/>
          <w:kern w:val="2"/>
          <w:position w:val="0"/>
          <w14:ligatures w14:val="standardContextual"/>
        </w:rPr>
      </w:pPr>
      <w:r w:rsidRPr="00842149">
        <w:rPr>
          <w:rFonts w:eastAsia="Calibri"/>
          <w:kern w:val="2"/>
          <w:position w:val="0"/>
          <w14:ligatures w14:val="standardContextual"/>
        </w:rPr>
        <w:t xml:space="preserve">The interviewed teachers emphasized how OTCs offer insights regarding practical guidance on digital tasks such as uploading and downloading assessment tools, providing and receiving constructive online discussions on students’ achievements, and even establishing new platforms. This is a proficient contribution to support utilizing technological tools for assessment. The questionnaire data reinforced this with 79⁒ of participants leveraging social media platforms to enhance their assessment practices.  </w:t>
      </w:r>
    </w:p>
    <w:p w14:paraId="67A151FD" w14:textId="28BD642C" w:rsidR="00B10383" w:rsidRDefault="00842149" w:rsidP="00B10383">
      <w:pPr>
        <w:spacing w:after="160" w:line="480" w:lineRule="auto"/>
        <w:ind w:firstLine="567"/>
        <w:jc w:val="both"/>
        <w:rPr>
          <w:rFonts w:eastAsia="Calibri"/>
          <w:kern w:val="2"/>
          <w:position w:val="0"/>
          <w14:ligatures w14:val="standardContextual"/>
        </w:rPr>
      </w:pPr>
      <w:r w:rsidRPr="00842149">
        <w:rPr>
          <w:rFonts w:eastAsia="Calibri"/>
          <w:kern w:val="2"/>
          <w:position w:val="0"/>
          <w14:ligatures w14:val="standardContextual"/>
        </w:rPr>
        <w:t>Despite the demonstrated advantages, the analysis of qualitative data reveal</w:t>
      </w:r>
      <w:r w:rsidR="001C0CCB">
        <w:rPr>
          <w:rFonts w:eastAsia="Calibri"/>
          <w:kern w:val="2"/>
          <w:position w:val="0"/>
          <w14:ligatures w14:val="standardContextual"/>
        </w:rPr>
        <w:t>s</w:t>
      </w:r>
      <w:r w:rsidRPr="00842149">
        <w:rPr>
          <w:rFonts w:eastAsia="Calibri"/>
          <w:kern w:val="2"/>
          <w:position w:val="0"/>
          <w14:ligatures w14:val="standardContextual"/>
        </w:rPr>
        <w:t xml:space="preserve"> that OTCs encounter recurring challenges related to time, privacy, and the contextual application of the shared knowledge. The inspector conveyed cautions regarding over-reliance on hive-mind which risks w</w:t>
      </w:r>
      <w:r w:rsidR="001010B8">
        <w:rPr>
          <w:rFonts w:eastAsia="Calibri"/>
          <w:kern w:val="2"/>
          <w:position w:val="0"/>
          <w14:ligatures w14:val="standardContextual"/>
        </w:rPr>
        <w:t>eakening</w:t>
      </w:r>
      <w:r w:rsidRPr="00842149">
        <w:rPr>
          <w:rFonts w:eastAsia="Calibri"/>
          <w:kern w:val="2"/>
          <w:position w:val="0"/>
          <w14:ligatures w14:val="standardContextual"/>
        </w:rPr>
        <w:t xml:space="preserve"> the quality of teaching. Besides, critical adaptation </w:t>
      </w:r>
      <w:proofErr w:type="gramStart"/>
      <w:r w:rsidRPr="00842149">
        <w:rPr>
          <w:rFonts w:eastAsia="Calibri"/>
          <w:kern w:val="2"/>
          <w:position w:val="0"/>
          <w14:ligatures w14:val="standardContextual"/>
        </w:rPr>
        <w:t>is suggested</w:t>
      </w:r>
      <w:proofErr w:type="gramEnd"/>
      <w:r w:rsidRPr="00842149">
        <w:rPr>
          <w:rFonts w:eastAsia="Calibri"/>
          <w:kern w:val="2"/>
          <w:position w:val="0"/>
          <w14:ligatures w14:val="standardContextual"/>
        </w:rPr>
        <w:t>. Furthermore, questionnaire data reveal that a considerable number of respondents (54⁒) admitted limited engagements in these online communities due to time constrains. In addition, 56⁒ of teachers confirmed that privacy considerations prevent them from sharing their students</w:t>
      </w:r>
      <w:r w:rsidR="001010B8">
        <w:rPr>
          <w:rFonts w:eastAsia="Calibri"/>
          <w:kern w:val="2"/>
          <w:position w:val="0"/>
          <w14:ligatures w14:val="standardContextual"/>
        </w:rPr>
        <w:t>’</w:t>
      </w:r>
      <w:r w:rsidRPr="00842149">
        <w:rPr>
          <w:rFonts w:eastAsia="Calibri"/>
          <w:kern w:val="2"/>
          <w:position w:val="0"/>
          <w14:ligatures w14:val="standardContextual"/>
        </w:rPr>
        <w:t xml:space="preserve"> assessment data online. These challenges create a remarkable barrier that impede deeper feedback and collaborative analysis within OTCs.</w:t>
      </w:r>
    </w:p>
    <w:p w14:paraId="0F747E28" w14:textId="2270C0E6" w:rsidR="00B10383" w:rsidRDefault="00842149" w:rsidP="00B10383">
      <w:pPr>
        <w:spacing w:after="160" w:line="480" w:lineRule="auto"/>
        <w:ind w:firstLine="567"/>
        <w:jc w:val="both"/>
        <w:rPr>
          <w:rFonts w:eastAsia="Calibri"/>
          <w:kern w:val="2"/>
          <w:position w:val="0"/>
          <w14:ligatures w14:val="standardContextual"/>
        </w:rPr>
      </w:pPr>
      <w:r w:rsidRPr="00842149">
        <w:rPr>
          <w:rFonts w:eastAsia="Calibri"/>
          <w:kern w:val="2"/>
          <w:position w:val="0"/>
          <w14:ligatures w14:val="standardContextual"/>
        </w:rPr>
        <w:lastRenderedPageBreak/>
        <w:t xml:space="preserve">In conclusion, the findings strongly support the claim that participation in OTCs impact EFL educators’ assessment practices. These findings will be further discussed </w:t>
      </w:r>
      <w:r w:rsidR="002A5C2E">
        <w:rPr>
          <w:rFonts w:eastAsia="Calibri"/>
          <w:kern w:val="2"/>
          <w:position w:val="0"/>
          <w14:ligatures w14:val="standardContextual"/>
        </w:rPr>
        <w:t xml:space="preserve">in light </w:t>
      </w:r>
      <w:proofErr w:type="gramStart"/>
      <w:r w:rsidR="002A5C2E">
        <w:rPr>
          <w:rFonts w:eastAsia="Calibri"/>
          <w:kern w:val="2"/>
          <w:position w:val="0"/>
          <w14:ligatures w14:val="standardContextual"/>
        </w:rPr>
        <w:t xml:space="preserve">the </w:t>
      </w:r>
      <w:r w:rsidRPr="00842149">
        <w:rPr>
          <w:rFonts w:eastAsia="Calibri"/>
          <w:kern w:val="2"/>
          <w:position w:val="0"/>
          <w14:ligatures w14:val="standardContextual"/>
        </w:rPr>
        <w:t>of</w:t>
      </w:r>
      <w:proofErr w:type="gramEnd"/>
      <w:r w:rsidRPr="00842149">
        <w:rPr>
          <w:rFonts w:eastAsia="Calibri"/>
          <w:kern w:val="2"/>
          <w:position w:val="0"/>
          <w14:ligatures w14:val="standardContextual"/>
        </w:rPr>
        <w:t xml:space="preserve"> theoretical framework and the literature review.</w:t>
      </w:r>
    </w:p>
    <w:p w14:paraId="747CC3C9" w14:textId="5618C619" w:rsidR="00D50069" w:rsidRPr="00D50069" w:rsidRDefault="00842149" w:rsidP="00B10383">
      <w:pPr>
        <w:spacing w:after="160" w:line="480" w:lineRule="auto"/>
        <w:ind w:firstLine="567"/>
        <w:jc w:val="both"/>
        <w:rPr>
          <w:rFonts w:eastAsia="Calibri"/>
          <w:kern w:val="2"/>
          <w:position w:val="0"/>
          <w14:ligatures w14:val="standardContextual"/>
        </w:rPr>
      </w:pPr>
      <w:r w:rsidRPr="00842149">
        <w:rPr>
          <w:rFonts w:eastAsia="Calibri"/>
          <w:kern w:val="2"/>
          <w:position w:val="0"/>
          <w14:ligatures w14:val="standardContextual"/>
        </w:rPr>
        <w:t xml:space="preserve">The discussion interprets findings through the lens of theories and recent studies presented in chapter Ⅰ. The connection between them </w:t>
      </w:r>
      <w:proofErr w:type="gramStart"/>
      <w:r w:rsidRPr="00842149">
        <w:rPr>
          <w:rFonts w:eastAsia="Calibri"/>
          <w:kern w:val="2"/>
          <w:position w:val="0"/>
          <w14:ligatures w14:val="standardContextual"/>
        </w:rPr>
        <w:t>is listed</w:t>
      </w:r>
      <w:proofErr w:type="gramEnd"/>
      <w:r w:rsidRPr="00842149">
        <w:rPr>
          <w:rFonts w:eastAsia="Calibri"/>
          <w:kern w:val="2"/>
          <w:position w:val="0"/>
          <w14:ligatures w14:val="standardContextual"/>
        </w:rPr>
        <w:t xml:space="preserve"> in following table:</w:t>
      </w:r>
      <w:bookmarkEnd w:id="266"/>
    </w:p>
    <w:p w14:paraId="5FD452F6" w14:textId="4EEE5EBF" w:rsidR="00B10383" w:rsidRDefault="00D50069" w:rsidP="00B10383">
      <w:pPr>
        <w:keepNext/>
        <w:spacing w:after="200" w:line="276" w:lineRule="auto"/>
        <w:rPr>
          <w:rFonts w:eastAsia="Calibri"/>
          <w:i/>
          <w:iCs/>
          <w:kern w:val="2"/>
          <w:position w:val="0"/>
          <w14:ligatures w14:val="standardContextual"/>
        </w:rPr>
      </w:pPr>
      <w:bookmarkStart w:id="268" w:name="_Toc199832012"/>
      <w:bookmarkStart w:id="269" w:name="_Toc199832381"/>
      <w:bookmarkStart w:id="270" w:name="_Toc200446666"/>
      <w:r w:rsidRPr="00D50069">
        <w:rPr>
          <w:rFonts w:eastAsia="Calibri"/>
          <w:b/>
          <w:bCs/>
          <w:kern w:val="2"/>
          <w:position w:val="0"/>
          <w14:ligatures w14:val="standardContextual"/>
        </w:rPr>
        <w:t xml:space="preserve">Table </w:t>
      </w:r>
      <w:r w:rsidR="00274F6F" w:rsidRPr="00C27437">
        <w:rPr>
          <w:rFonts w:eastAsia="Calibri"/>
          <w:b/>
          <w:bCs/>
          <w:kern w:val="2"/>
          <w:position w:val="0"/>
          <w14:ligatures w14:val="standardContextual"/>
        </w:rPr>
        <w:fldChar w:fldCharType="begin"/>
      </w:r>
      <w:r w:rsidR="00274F6F" w:rsidRPr="00C27437">
        <w:rPr>
          <w:rFonts w:eastAsia="Calibri"/>
          <w:b/>
          <w:bCs/>
          <w:kern w:val="2"/>
          <w:position w:val="0"/>
          <w14:ligatures w14:val="standardContextual"/>
        </w:rPr>
        <w:instrText xml:space="preserve"> SEQ Table \* ARABIC </w:instrText>
      </w:r>
      <w:r w:rsidR="00274F6F" w:rsidRPr="00C27437">
        <w:rPr>
          <w:rFonts w:eastAsia="Calibri"/>
          <w:b/>
          <w:bCs/>
          <w:kern w:val="2"/>
          <w:position w:val="0"/>
          <w14:ligatures w14:val="standardContextual"/>
        </w:rPr>
        <w:fldChar w:fldCharType="separate"/>
      </w:r>
      <w:r w:rsidR="00DC3231">
        <w:rPr>
          <w:rFonts w:eastAsia="Calibri"/>
          <w:b/>
          <w:bCs/>
          <w:noProof/>
          <w:kern w:val="2"/>
          <w:position w:val="0"/>
          <w14:ligatures w14:val="standardContextual"/>
        </w:rPr>
        <w:t>18</w:t>
      </w:r>
      <w:r w:rsidR="00274F6F" w:rsidRPr="00C27437">
        <w:rPr>
          <w:rFonts w:eastAsia="Calibri"/>
          <w:b/>
          <w:bCs/>
          <w:kern w:val="2"/>
          <w:position w:val="0"/>
          <w14:ligatures w14:val="standardContextual"/>
        </w:rPr>
        <w:fldChar w:fldCharType="end"/>
      </w:r>
      <w:r w:rsidRPr="00D50069">
        <w:rPr>
          <w:rFonts w:eastAsia="Calibri"/>
          <w:i/>
          <w:iCs/>
          <w:kern w:val="2"/>
          <w:position w:val="0"/>
          <w14:ligatures w14:val="standardContextual"/>
        </w:rPr>
        <w:t xml:space="preserve"> </w:t>
      </w:r>
    </w:p>
    <w:p w14:paraId="716FE1C4" w14:textId="03188C8B" w:rsidR="00D50069" w:rsidRPr="00B10383" w:rsidRDefault="00D50069" w:rsidP="00B10383">
      <w:pPr>
        <w:keepNext/>
        <w:spacing w:after="200" w:line="276" w:lineRule="auto"/>
        <w:rPr>
          <w:rFonts w:eastAsia="Calibri"/>
          <w:kern w:val="2"/>
          <w:position w:val="0"/>
          <w14:ligatures w14:val="standardContextual"/>
        </w:rPr>
      </w:pPr>
      <w:r w:rsidRPr="00B10383">
        <w:rPr>
          <w:rFonts w:eastAsia="Calibri"/>
          <w:kern w:val="2"/>
          <w:position w:val="0"/>
          <w14:ligatures w14:val="standardContextual"/>
        </w:rPr>
        <w:t>Key Findings in Relation to Theoretical Framework</w:t>
      </w:r>
      <w:bookmarkEnd w:id="268"/>
      <w:bookmarkEnd w:id="269"/>
      <w:bookmarkEnd w:id="270"/>
    </w:p>
    <w:tbl>
      <w:tblPr>
        <w:tblStyle w:val="TableGrid1"/>
        <w:tblW w:w="0" w:type="auto"/>
        <w:tblLook w:val="04A0" w:firstRow="1" w:lastRow="0" w:firstColumn="1" w:lastColumn="0" w:noHBand="0" w:noVBand="1"/>
      </w:tblPr>
      <w:tblGrid>
        <w:gridCol w:w="2181"/>
        <w:gridCol w:w="2460"/>
        <w:gridCol w:w="4376"/>
      </w:tblGrid>
      <w:tr w:rsidR="00842149" w:rsidRPr="00842149" w14:paraId="2FCAA3A4" w14:textId="77777777" w:rsidTr="005D1A0A">
        <w:tc>
          <w:tcPr>
            <w:tcW w:w="2190" w:type="dxa"/>
          </w:tcPr>
          <w:p w14:paraId="28C8187F" w14:textId="77777777" w:rsidR="00842149" w:rsidRPr="00842149" w:rsidRDefault="00842149" w:rsidP="00842149">
            <w:pPr>
              <w:jc w:val="both"/>
              <w:rPr>
                <w:rFonts w:asciiTheme="majorBidi" w:hAnsiTheme="majorBidi" w:cstheme="majorBidi"/>
                <w:position w:val="0"/>
                <w:highlight w:val="yellow"/>
              </w:rPr>
            </w:pPr>
            <w:r w:rsidRPr="00842149">
              <w:rPr>
                <w:rFonts w:asciiTheme="majorBidi" w:hAnsiTheme="majorBidi" w:cstheme="majorBidi"/>
                <w:position w:val="0"/>
              </w:rPr>
              <w:t>Findings</w:t>
            </w:r>
            <w:r w:rsidRPr="00842149">
              <w:rPr>
                <w:rFonts w:asciiTheme="majorBidi" w:hAnsiTheme="majorBidi" w:cstheme="majorBidi"/>
                <w:position w:val="0"/>
                <w:highlight w:val="yellow"/>
              </w:rPr>
              <w:t xml:space="preserve"> </w:t>
            </w:r>
          </w:p>
        </w:tc>
        <w:tc>
          <w:tcPr>
            <w:tcW w:w="2468" w:type="dxa"/>
          </w:tcPr>
          <w:p w14:paraId="1F608885" w14:textId="77777777" w:rsidR="00842149" w:rsidRPr="00842149" w:rsidRDefault="00842149" w:rsidP="00842149">
            <w:pPr>
              <w:jc w:val="both"/>
              <w:rPr>
                <w:rFonts w:asciiTheme="majorBidi" w:hAnsiTheme="majorBidi" w:cstheme="majorBidi"/>
                <w:position w:val="0"/>
                <w:highlight w:val="yellow"/>
              </w:rPr>
            </w:pPr>
            <w:r w:rsidRPr="00842149">
              <w:rPr>
                <w:rFonts w:asciiTheme="majorBidi" w:hAnsiTheme="majorBidi" w:cstheme="majorBidi"/>
                <w:position w:val="0"/>
              </w:rPr>
              <w:t xml:space="preserve">Relevant theory </w:t>
            </w:r>
          </w:p>
        </w:tc>
        <w:tc>
          <w:tcPr>
            <w:tcW w:w="4404" w:type="dxa"/>
          </w:tcPr>
          <w:p w14:paraId="55621BA0" w14:textId="77777777" w:rsidR="00842149" w:rsidRPr="00842149" w:rsidRDefault="00842149" w:rsidP="00842149">
            <w:pPr>
              <w:jc w:val="both"/>
              <w:rPr>
                <w:rFonts w:asciiTheme="majorBidi" w:hAnsiTheme="majorBidi" w:cstheme="majorBidi"/>
                <w:position w:val="0"/>
                <w:highlight w:val="yellow"/>
              </w:rPr>
            </w:pPr>
            <w:r w:rsidRPr="00842149">
              <w:rPr>
                <w:rFonts w:asciiTheme="majorBidi" w:hAnsiTheme="majorBidi" w:cstheme="majorBidi"/>
                <w:position w:val="0"/>
              </w:rPr>
              <w:t xml:space="preserve">Key connection </w:t>
            </w:r>
          </w:p>
        </w:tc>
      </w:tr>
      <w:tr w:rsidR="00842149" w:rsidRPr="00842149" w14:paraId="6A5C4DAB" w14:textId="77777777" w:rsidTr="005D1A0A">
        <w:tc>
          <w:tcPr>
            <w:tcW w:w="2190" w:type="dxa"/>
          </w:tcPr>
          <w:p w14:paraId="0BF48E3E" w14:textId="77777777" w:rsidR="00842149" w:rsidRPr="00842149" w:rsidRDefault="00842149" w:rsidP="00842149">
            <w:pPr>
              <w:jc w:val="both"/>
              <w:rPr>
                <w:rFonts w:asciiTheme="majorBidi" w:hAnsiTheme="majorBidi" w:cstheme="majorBidi"/>
                <w:position w:val="0"/>
                <w:highlight w:val="yellow"/>
              </w:rPr>
            </w:pPr>
            <w:r w:rsidRPr="00842149">
              <w:rPr>
                <w:rFonts w:asciiTheme="majorBidi" w:hAnsiTheme="majorBidi" w:cstheme="majorBidi"/>
                <w:position w:val="0"/>
              </w:rPr>
              <w:t>Knowledge exchange</w:t>
            </w:r>
          </w:p>
        </w:tc>
        <w:tc>
          <w:tcPr>
            <w:tcW w:w="2468" w:type="dxa"/>
          </w:tcPr>
          <w:p w14:paraId="400194D3" w14:textId="77777777" w:rsidR="00842149" w:rsidRPr="00842149" w:rsidRDefault="00842149" w:rsidP="00842149">
            <w:pPr>
              <w:jc w:val="both"/>
              <w:rPr>
                <w:rFonts w:asciiTheme="majorBidi" w:hAnsiTheme="majorBidi" w:cstheme="majorBidi"/>
                <w:position w:val="0"/>
                <w:highlight w:val="yellow"/>
              </w:rPr>
            </w:pPr>
            <w:r w:rsidRPr="00842149">
              <w:rPr>
                <w:rFonts w:asciiTheme="majorBidi" w:hAnsiTheme="majorBidi" w:cstheme="majorBidi"/>
                <w:position w:val="0"/>
              </w:rPr>
              <w:t>Social constructivism (Vygotsky)</w:t>
            </w:r>
          </w:p>
        </w:tc>
        <w:tc>
          <w:tcPr>
            <w:tcW w:w="4404" w:type="dxa"/>
          </w:tcPr>
          <w:p w14:paraId="17B73441" w14:textId="77777777" w:rsidR="00842149" w:rsidRPr="00842149" w:rsidRDefault="00842149" w:rsidP="00842149">
            <w:pPr>
              <w:jc w:val="both"/>
              <w:rPr>
                <w:rFonts w:asciiTheme="majorBidi" w:hAnsiTheme="majorBidi" w:cstheme="majorBidi"/>
                <w:position w:val="0"/>
                <w:highlight w:val="yellow"/>
              </w:rPr>
            </w:pPr>
            <w:r w:rsidRPr="00842149">
              <w:rPr>
                <w:rFonts w:asciiTheme="majorBidi" w:hAnsiTheme="majorBidi" w:cstheme="majorBidi"/>
                <w:position w:val="0"/>
              </w:rPr>
              <w:t>Learning occurs through social interaction (peer discussions via OTCs)</w:t>
            </w:r>
          </w:p>
        </w:tc>
      </w:tr>
      <w:tr w:rsidR="00842149" w:rsidRPr="00842149" w14:paraId="2CF6937E" w14:textId="77777777" w:rsidTr="005D1A0A">
        <w:trPr>
          <w:trHeight w:val="920"/>
        </w:trPr>
        <w:tc>
          <w:tcPr>
            <w:tcW w:w="2190" w:type="dxa"/>
            <w:vMerge w:val="restart"/>
          </w:tcPr>
          <w:p w14:paraId="721C91D4" w14:textId="77777777" w:rsidR="00842149" w:rsidRPr="00842149" w:rsidRDefault="00842149" w:rsidP="00842149">
            <w:pPr>
              <w:jc w:val="both"/>
              <w:rPr>
                <w:rFonts w:asciiTheme="majorBidi" w:hAnsiTheme="majorBidi" w:cstheme="majorBidi"/>
                <w:position w:val="0"/>
                <w:highlight w:val="yellow"/>
              </w:rPr>
            </w:pPr>
            <w:r w:rsidRPr="00842149">
              <w:rPr>
                <w:rFonts w:asciiTheme="majorBidi" w:hAnsiTheme="majorBidi" w:cstheme="majorBidi"/>
                <w:position w:val="0"/>
              </w:rPr>
              <w:t>Reflective feedback</w:t>
            </w:r>
          </w:p>
        </w:tc>
        <w:tc>
          <w:tcPr>
            <w:tcW w:w="2468" w:type="dxa"/>
          </w:tcPr>
          <w:p w14:paraId="4D1363C2" w14:textId="77777777" w:rsidR="00842149" w:rsidRPr="00842149" w:rsidRDefault="00842149" w:rsidP="00842149">
            <w:pPr>
              <w:jc w:val="both"/>
              <w:rPr>
                <w:rFonts w:asciiTheme="majorBidi" w:hAnsiTheme="majorBidi" w:cstheme="majorBidi"/>
                <w:position w:val="0"/>
              </w:rPr>
            </w:pPr>
            <w:r w:rsidRPr="00842149">
              <w:rPr>
                <w:rFonts w:asciiTheme="majorBidi" w:hAnsiTheme="majorBidi" w:cstheme="majorBidi"/>
                <w:position w:val="0"/>
              </w:rPr>
              <w:t>Transformative learning (</w:t>
            </w:r>
            <w:proofErr w:type="spellStart"/>
            <w:r w:rsidRPr="00842149">
              <w:rPr>
                <w:rFonts w:asciiTheme="majorBidi" w:hAnsiTheme="majorBidi" w:cstheme="majorBidi"/>
                <w:position w:val="0"/>
              </w:rPr>
              <w:t>Mezirow</w:t>
            </w:r>
            <w:proofErr w:type="spellEnd"/>
            <w:r w:rsidRPr="00842149">
              <w:rPr>
                <w:rFonts w:asciiTheme="majorBidi" w:hAnsiTheme="majorBidi" w:cstheme="majorBidi"/>
                <w:position w:val="0"/>
              </w:rPr>
              <w:t>)</w:t>
            </w:r>
          </w:p>
          <w:p w14:paraId="7BE6D91F" w14:textId="77777777" w:rsidR="00842149" w:rsidRPr="00842149" w:rsidRDefault="00842149" w:rsidP="00842149">
            <w:pPr>
              <w:jc w:val="both"/>
              <w:rPr>
                <w:rFonts w:asciiTheme="majorBidi" w:hAnsiTheme="majorBidi" w:cstheme="majorBidi"/>
                <w:position w:val="0"/>
                <w:highlight w:val="yellow"/>
              </w:rPr>
            </w:pPr>
          </w:p>
        </w:tc>
        <w:tc>
          <w:tcPr>
            <w:tcW w:w="4404" w:type="dxa"/>
          </w:tcPr>
          <w:p w14:paraId="62247DAF" w14:textId="77777777" w:rsidR="00842149" w:rsidRPr="00842149" w:rsidRDefault="00842149" w:rsidP="00842149">
            <w:pPr>
              <w:jc w:val="both"/>
              <w:rPr>
                <w:rFonts w:asciiTheme="majorBidi" w:hAnsiTheme="majorBidi" w:cstheme="majorBidi"/>
                <w:position w:val="0"/>
              </w:rPr>
            </w:pPr>
            <w:r w:rsidRPr="00842149">
              <w:rPr>
                <w:rFonts w:asciiTheme="majorBidi" w:hAnsiTheme="majorBidi" w:cstheme="majorBidi"/>
                <w:position w:val="0"/>
              </w:rPr>
              <w:t>Disorienting dilemmas (e.g.: flawed assessments) → critical reflection → new practices</w:t>
            </w:r>
          </w:p>
        </w:tc>
      </w:tr>
      <w:tr w:rsidR="00842149" w:rsidRPr="00842149" w14:paraId="2D61A4E4" w14:textId="77777777" w:rsidTr="005D1A0A">
        <w:trPr>
          <w:trHeight w:val="827"/>
        </w:trPr>
        <w:tc>
          <w:tcPr>
            <w:tcW w:w="2190" w:type="dxa"/>
            <w:vMerge/>
          </w:tcPr>
          <w:p w14:paraId="0A85185A" w14:textId="77777777" w:rsidR="00842149" w:rsidRPr="00842149" w:rsidRDefault="00842149" w:rsidP="00842149">
            <w:pPr>
              <w:jc w:val="both"/>
              <w:rPr>
                <w:rFonts w:asciiTheme="majorBidi" w:hAnsiTheme="majorBidi" w:cstheme="majorBidi"/>
                <w:position w:val="0"/>
                <w:highlight w:val="yellow"/>
              </w:rPr>
            </w:pPr>
          </w:p>
        </w:tc>
        <w:tc>
          <w:tcPr>
            <w:tcW w:w="2468" w:type="dxa"/>
          </w:tcPr>
          <w:p w14:paraId="2F03E46D" w14:textId="77777777" w:rsidR="00842149" w:rsidRPr="00842149" w:rsidRDefault="00842149" w:rsidP="00842149">
            <w:pPr>
              <w:jc w:val="both"/>
              <w:rPr>
                <w:rFonts w:asciiTheme="majorBidi" w:hAnsiTheme="majorBidi" w:cstheme="majorBidi"/>
                <w:position w:val="0"/>
                <w:highlight w:val="yellow"/>
              </w:rPr>
            </w:pPr>
            <w:r w:rsidRPr="00842149">
              <w:rPr>
                <w:rFonts w:asciiTheme="majorBidi" w:hAnsiTheme="majorBidi" w:cstheme="majorBidi"/>
                <w:position w:val="0"/>
              </w:rPr>
              <w:t>Community of inquiry (</w:t>
            </w:r>
            <w:proofErr w:type="spellStart"/>
            <w:r w:rsidRPr="00842149">
              <w:rPr>
                <w:rFonts w:asciiTheme="majorBidi" w:hAnsiTheme="majorBidi" w:cstheme="majorBidi"/>
                <w:position w:val="0"/>
              </w:rPr>
              <w:t>Garisson</w:t>
            </w:r>
            <w:proofErr w:type="spellEnd"/>
            <w:r w:rsidRPr="00842149">
              <w:rPr>
                <w:rFonts w:asciiTheme="majorBidi" w:hAnsiTheme="majorBidi" w:cstheme="majorBidi"/>
                <w:position w:val="0"/>
              </w:rPr>
              <w:t xml:space="preserve"> et al.)</w:t>
            </w:r>
          </w:p>
        </w:tc>
        <w:tc>
          <w:tcPr>
            <w:tcW w:w="4404" w:type="dxa"/>
          </w:tcPr>
          <w:p w14:paraId="435EF81F" w14:textId="77777777" w:rsidR="00842149" w:rsidRPr="00842149" w:rsidRDefault="00842149" w:rsidP="00842149">
            <w:pPr>
              <w:jc w:val="both"/>
              <w:rPr>
                <w:rFonts w:asciiTheme="majorBidi" w:hAnsiTheme="majorBidi" w:cstheme="majorBidi"/>
                <w:position w:val="0"/>
                <w:highlight w:val="yellow"/>
              </w:rPr>
            </w:pPr>
            <w:r w:rsidRPr="00842149">
              <w:rPr>
                <w:rFonts w:asciiTheme="majorBidi" w:hAnsiTheme="majorBidi" w:cstheme="majorBidi"/>
                <w:position w:val="0"/>
              </w:rPr>
              <w:t>Teachers critically analyze assessment design through discourse → cognitive presence</w:t>
            </w:r>
          </w:p>
        </w:tc>
      </w:tr>
      <w:tr w:rsidR="00842149" w:rsidRPr="00842149" w14:paraId="62D806DC" w14:textId="77777777" w:rsidTr="005D1A0A">
        <w:trPr>
          <w:trHeight w:val="1100"/>
        </w:trPr>
        <w:tc>
          <w:tcPr>
            <w:tcW w:w="2190" w:type="dxa"/>
            <w:vMerge w:val="restart"/>
          </w:tcPr>
          <w:p w14:paraId="15FF7A53" w14:textId="77777777" w:rsidR="00842149" w:rsidRPr="00842149" w:rsidRDefault="00842149" w:rsidP="00842149">
            <w:pPr>
              <w:jc w:val="both"/>
              <w:rPr>
                <w:rFonts w:asciiTheme="majorBidi" w:hAnsiTheme="majorBidi" w:cstheme="majorBidi"/>
                <w:position w:val="0"/>
                <w:highlight w:val="yellow"/>
              </w:rPr>
            </w:pPr>
            <w:r w:rsidRPr="00842149">
              <w:rPr>
                <w:rFonts w:asciiTheme="majorBidi" w:hAnsiTheme="majorBidi" w:cstheme="majorBidi"/>
                <w:position w:val="0"/>
              </w:rPr>
              <w:t xml:space="preserve">Community support </w:t>
            </w:r>
          </w:p>
        </w:tc>
        <w:tc>
          <w:tcPr>
            <w:tcW w:w="2468" w:type="dxa"/>
          </w:tcPr>
          <w:p w14:paraId="05047E2D" w14:textId="77777777" w:rsidR="00842149" w:rsidRPr="00842149" w:rsidRDefault="00842149" w:rsidP="00842149">
            <w:pPr>
              <w:jc w:val="both"/>
              <w:rPr>
                <w:rFonts w:asciiTheme="majorBidi" w:hAnsiTheme="majorBidi" w:cstheme="majorBidi"/>
                <w:position w:val="0"/>
              </w:rPr>
            </w:pPr>
            <w:r w:rsidRPr="00842149">
              <w:rPr>
                <w:rFonts w:asciiTheme="majorBidi" w:hAnsiTheme="majorBidi" w:cstheme="majorBidi"/>
                <w:position w:val="0"/>
              </w:rPr>
              <w:t>Community of practice (Lave &amp; Wenger)</w:t>
            </w:r>
          </w:p>
          <w:p w14:paraId="1869246B" w14:textId="77777777" w:rsidR="00842149" w:rsidRPr="00842149" w:rsidRDefault="00842149" w:rsidP="00842149">
            <w:pPr>
              <w:jc w:val="both"/>
              <w:rPr>
                <w:rFonts w:asciiTheme="majorBidi" w:hAnsiTheme="majorBidi" w:cstheme="majorBidi"/>
                <w:position w:val="0"/>
                <w:highlight w:val="yellow"/>
              </w:rPr>
            </w:pPr>
          </w:p>
        </w:tc>
        <w:tc>
          <w:tcPr>
            <w:tcW w:w="4404" w:type="dxa"/>
          </w:tcPr>
          <w:p w14:paraId="14A6ECD3" w14:textId="77777777" w:rsidR="00842149" w:rsidRPr="00842149" w:rsidRDefault="00842149" w:rsidP="00842149">
            <w:pPr>
              <w:jc w:val="both"/>
              <w:rPr>
                <w:rFonts w:asciiTheme="majorBidi" w:hAnsiTheme="majorBidi" w:cstheme="majorBidi"/>
                <w:position w:val="0"/>
                <w:highlight w:val="yellow"/>
              </w:rPr>
            </w:pPr>
            <w:r w:rsidRPr="00842149">
              <w:rPr>
                <w:rFonts w:asciiTheme="majorBidi" w:hAnsiTheme="majorBidi" w:cstheme="majorBidi"/>
                <w:position w:val="0"/>
              </w:rPr>
              <w:t xml:space="preserve">OTCs function as a </w:t>
            </w:r>
            <w:proofErr w:type="spellStart"/>
            <w:r w:rsidRPr="00842149">
              <w:rPr>
                <w:rFonts w:asciiTheme="majorBidi" w:hAnsiTheme="majorBidi" w:cstheme="majorBidi"/>
                <w:position w:val="0"/>
              </w:rPr>
              <w:t>CoP</w:t>
            </w:r>
            <w:proofErr w:type="spellEnd"/>
            <w:r w:rsidRPr="00842149">
              <w:rPr>
                <w:rFonts w:asciiTheme="majorBidi" w:hAnsiTheme="majorBidi" w:cstheme="majorBidi"/>
                <w:position w:val="0"/>
              </w:rPr>
              <w:t xml:space="preserve"> with shared domain (assessments), community (collaboration), and practice (tools/ rubrics)</w:t>
            </w:r>
          </w:p>
        </w:tc>
      </w:tr>
      <w:tr w:rsidR="00842149" w:rsidRPr="00842149" w14:paraId="2A1583D9" w14:textId="77777777" w:rsidTr="005D1A0A">
        <w:trPr>
          <w:trHeight w:val="790"/>
        </w:trPr>
        <w:tc>
          <w:tcPr>
            <w:tcW w:w="2190" w:type="dxa"/>
            <w:vMerge/>
          </w:tcPr>
          <w:p w14:paraId="148C0635" w14:textId="77777777" w:rsidR="00842149" w:rsidRPr="00842149" w:rsidRDefault="00842149" w:rsidP="00842149">
            <w:pPr>
              <w:jc w:val="both"/>
              <w:rPr>
                <w:rFonts w:asciiTheme="majorBidi" w:hAnsiTheme="majorBidi" w:cstheme="majorBidi"/>
                <w:position w:val="0"/>
                <w:highlight w:val="yellow"/>
              </w:rPr>
            </w:pPr>
          </w:p>
        </w:tc>
        <w:tc>
          <w:tcPr>
            <w:tcW w:w="2468" w:type="dxa"/>
          </w:tcPr>
          <w:p w14:paraId="5AD6E263" w14:textId="77777777" w:rsidR="00842149" w:rsidRPr="00842149" w:rsidRDefault="00842149" w:rsidP="00842149">
            <w:pPr>
              <w:jc w:val="both"/>
              <w:rPr>
                <w:rFonts w:asciiTheme="majorBidi" w:hAnsiTheme="majorBidi" w:cstheme="majorBidi"/>
                <w:position w:val="0"/>
                <w:highlight w:val="yellow"/>
              </w:rPr>
            </w:pPr>
            <w:r w:rsidRPr="00842149">
              <w:rPr>
                <w:rFonts w:asciiTheme="majorBidi" w:hAnsiTheme="majorBidi" w:cstheme="majorBidi"/>
                <w:position w:val="0"/>
              </w:rPr>
              <w:t>Community of inquiry (</w:t>
            </w:r>
            <w:proofErr w:type="spellStart"/>
            <w:r w:rsidRPr="00842149">
              <w:rPr>
                <w:rFonts w:asciiTheme="majorBidi" w:hAnsiTheme="majorBidi" w:cstheme="majorBidi"/>
                <w:position w:val="0"/>
              </w:rPr>
              <w:t>Garisson</w:t>
            </w:r>
            <w:proofErr w:type="spellEnd"/>
            <w:r w:rsidRPr="00842149">
              <w:rPr>
                <w:rFonts w:asciiTheme="majorBidi" w:hAnsiTheme="majorBidi" w:cstheme="majorBidi"/>
                <w:position w:val="0"/>
              </w:rPr>
              <w:t xml:space="preserve"> et al.)</w:t>
            </w:r>
          </w:p>
        </w:tc>
        <w:tc>
          <w:tcPr>
            <w:tcW w:w="4404" w:type="dxa"/>
          </w:tcPr>
          <w:p w14:paraId="00B7E695" w14:textId="77777777" w:rsidR="00842149" w:rsidRPr="00842149" w:rsidRDefault="00842149" w:rsidP="00842149">
            <w:pPr>
              <w:jc w:val="both"/>
              <w:rPr>
                <w:rFonts w:asciiTheme="majorBidi" w:hAnsiTheme="majorBidi" w:cstheme="majorBidi"/>
                <w:position w:val="0"/>
                <w:highlight w:val="yellow"/>
              </w:rPr>
            </w:pPr>
            <w:r w:rsidRPr="00842149">
              <w:rPr>
                <w:rFonts w:asciiTheme="majorBidi" w:hAnsiTheme="majorBidi" w:cstheme="majorBidi"/>
                <w:position w:val="0"/>
              </w:rPr>
              <w:t>Social presence fosters trust for sharing assessment challenges and solutions.</w:t>
            </w:r>
          </w:p>
        </w:tc>
      </w:tr>
      <w:tr w:rsidR="00842149" w:rsidRPr="00842149" w14:paraId="3055EB0B" w14:textId="77777777" w:rsidTr="005D1A0A">
        <w:tc>
          <w:tcPr>
            <w:tcW w:w="2190" w:type="dxa"/>
          </w:tcPr>
          <w:p w14:paraId="166FEBA2" w14:textId="77777777" w:rsidR="00842149" w:rsidRPr="00842149" w:rsidRDefault="00842149" w:rsidP="00842149">
            <w:pPr>
              <w:jc w:val="both"/>
              <w:rPr>
                <w:rFonts w:asciiTheme="majorBidi" w:hAnsiTheme="majorBidi" w:cstheme="majorBidi"/>
                <w:position w:val="0"/>
                <w:highlight w:val="yellow"/>
              </w:rPr>
            </w:pPr>
            <w:r w:rsidRPr="00842149">
              <w:rPr>
                <w:rFonts w:asciiTheme="majorBidi" w:hAnsiTheme="majorBidi" w:cstheme="majorBidi"/>
                <w:position w:val="0"/>
              </w:rPr>
              <w:t>Digital literacy</w:t>
            </w:r>
          </w:p>
        </w:tc>
        <w:tc>
          <w:tcPr>
            <w:tcW w:w="2468" w:type="dxa"/>
          </w:tcPr>
          <w:p w14:paraId="5EAF75FC" w14:textId="77777777" w:rsidR="00842149" w:rsidRPr="00842149" w:rsidRDefault="00842149" w:rsidP="00842149">
            <w:pPr>
              <w:jc w:val="both"/>
              <w:rPr>
                <w:rFonts w:asciiTheme="majorBidi" w:hAnsiTheme="majorBidi" w:cstheme="majorBidi"/>
                <w:position w:val="0"/>
                <w:highlight w:val="yellow"/>
              </w:rPr>
            </w:pPr>
            <w:r w:rsidRPr="00842149">
              <w:rPr>
                <w:rFonts w:asciiTheme="majorBidi" w:hAnsiTheme="majorBidi" w:cstheme="majorBidi"/>
                <w:position w:val="0"/>
              </w:rPr>
              <w:t>Situated learning (Lave &amp; Wenger)</w:t>
            </w:r>
          </w:p>
        </w:tc>
        <w:tc>
          <w:tcPr>
            <w:tcW w:w="4404" w:type="dxa"/>
          </w:tcPr>
          <w:p w14:paraId="0C4E3BB9" w14:textId="77777777" w:rsidR="00842149" w:rsidRPr="00842149" w:rsidRDefault="00842149" w:rsidP="00842149">
            <w:pPr>
              <w:jc w:val="both"/>
              <w:rPr>
                <w:rFonts w:asciiTheme="majorBidi" w:hAnsiTheme="majorBidi" w:cstheme="majorBidi"/>
                <w:position w:val="0"/>
                <w:highlight w:val="yellow"/>
              </w:rPr>
            </w:pPr>
            <w:r w:rsidRPr="00842149">
              <w:rPr>
                <w:rFonts w:asciiTheme="majorBidi" w:hAnsiTheme="majorBidi" w:cstheme="majorBidi"/>
                <w:position w:val="0"/>
              </w:rPr>
              <w:t xml:space="preserve">Legitimate peripheral participation (LPP): Novice teachers learn through observing experienced ones in OTCs. </w:t>
            </w:r>
          </w:p>
        </w:tc>
      </w:tr>
      <w:tr w:rsidR="00842149" w:rsidRPr="00842149" w14:paraId="260247F5" w14:textId="77777777" w:rsidTr="005D1A0A">
        <w:tc>
          <w:tcPr>
            <w:tcW w:w="2190" w:type="dxa"/>
          </w:tcPr>
          <w:p w14:paraId="6B26DFBB" w14:textId="77777777" w:rsidR="00842149" w:rsidRPr="00842149" w:rsidRDefault="00842149" w:rsidP="00842149">
            <w:pPr>
              <w:jc w:val="both"/>
              <w:rPr>
                <w:rFonts w:asciiTheme="majorBidi" w:hAnsiTheme="majorBidi" w:cstheme="majorBidi"/>
                <w:position w:val="0"/>
                <w:highlight w:val="yellow"/>
              </w:rPr>
            </w:pPr>
            <w:r w:rsidRPr="00842149">
              <w:rPr>
                <w:rFonts w:asciiTheme="majorBidi" w:hAnsiTheme="majorBidi" w:cstheme="majorBidi"/>
                <w:position w:val="0"/>
              </w:rPr>
              <w:t xml:space="preserve">Systemic challenges </w:t>
            </w:r>
          </w:p>
        </w:tc>
        <w:tc>
          <w:tcPr>
            <w:tcW w:w="2468" w:type="dxa"/>
          </w:tcPr>
          <w:p w14:paraId="4D6207DD" w14:textId="77777777" w:rsidR="00842149" w:rsidRPr="00842149" w:rsidRDefault="00842149" w:rsidP="00842149">
            <w:pPr>
              <w:jc w:val="both"/>
              <w:rPr>
                <w:rFonts w:asciiTheme="majorBidi" w:hAnsiTheme="majorBidi" w:cstheme="majorBidi"/>
                <w:position w:val="0"/>
                <w:highlight w:val="yellow"/>
              </w:rPr>
            </w:pPr>
            <w:r w:rsidRPr="00842149">
              <w:rPr>
                <w:rFonts w:asciiTheme="majorBidi" w:hAnsiTheme="majorBidi" w:cstheme="majorBidi"/>
                <w:position w:val="0"/>
              </w:rPr>
              <w:t>Activity theory (</w:t>
            </w:r>
            <w:proofErr w:type="spellStart"/>
            <w:r w:rsidRPr="00842149">
              <w:rPr>
                <w:rFonts w:asciiTheme="majorBidi" w:hAnsiTheme="majorBidi" w:cstheme="majorBidi"/>
                <w:position w:val="0"/>
              </w:rPr>
              <w:t>Engström</w:t>
            </w:r>
            <w:proofErr w:type="spellEnd"/>
            <w:r w:rsidRPr="00842149">
              <w:rPr>
                <w:rFonts w:asciiTheme="majorBidi" w:hAnsiTheme="majorBidi" w:cstheme="majorBidi"/>
                <w:position w:val="0"/>
              </w:rPr>
              <w:t>)</w:t>
            </w:r>
          </w:p>
        </w:tc>
        <w:tc>
          <w:tcPr>
            <w:tcW w:w="4404" w:type="dxa"/>
          </w:tcPr>
          <w:p w14:paraId="44D477BC" w14:textId="77777777" w:rsidR="00842149" w:rsidRPr="00842149" w:rsidRDefault="00842149" w:rsidP="00842149">
            <w:pPr>
              <w:jc w:val="both"/>
              <w:rPr>
                <w:rFonts w:asciiTheme="majorBidi" w:hAnsiTheme="majorBidi" w:cstheme="majorBidi"/>
                <w:position w:val="0"/>
                <w:highlight w:val="yellow"/>
              </w:rPr>
            </w:pPr>
            <w:r w:rsidRPr="00842149">
              <w:rPr>
                <w:rFonts w:asciiTheme="majorBidi" w:hAnsiTheme="majorBidi" w:cstheme="majorBidi"/>
                <w:position w:val="0"/>
              </w:rPr>
              <w:t xml:space="preserve">Rules (privacy policies), tools (Facebook group), and division of </w:t>
            </w:r>
            <w:proofErr w:type="spellStart"/>
            <w:r w:rsidRPr="00842149">
              <w:rPr>
                <w:rFonts w:asciiTheme="majorBidi" w:hAnsiTheme="majorBidi" w:cstheme="majorBidi"/>
                <w:position w:val="0"/>
              </w:rPr>
              <w:t>labour</w:t>
            </w:r>
            <w:proofErr w:type="spellEnd"/>
            <w:r w:rsidRPr="00842149">
              <w:rPr>
                <w:rFonts w:asciiTheme="majorBidi" w:hAnsiTheme="majorBidi" w:cstheme="majorBidi"/>
                <w:position w:val="0"/>
              </w:rPr>
              <w:t xml:space="preserve"> (inspector’s role) shape OTCs effectiveness</w:t>
            </w:r>
          </w:p>
        </w:tc>
      </w:tr>
    </w:tbl>
    <w:p w14:paraId="06111545" w14:textId="77777777" w:rsidR="00947946" w:rsidRDefault="00947946" w:rsidP="00947946">
      <w:pPr>
        <w:spacing w:after="160" w:line="480" w:lineRule="auto"/>
        <w:jc w:val="both"/>
        <w:rPr>
          <w:rFonts w:eastAsia="Calibri"/>
          <w:kern w:val="2"/>
          <w:position w:val="0"/>
          <w:sz w:val="22"/>
          <w:szCs w:val="22"/>
          <w14:ligatures w14:val="standardContextual"/>
        </w:rPr>
      </w:pPr>
    </w:p>
    <w:p w14:paraId="46C747B3" w14:textId="77777777" w:rsidR="00B85723" w:rsidRDefault="00AA25D6" w:rsidP="00B85723">
      <w:pPr>
        <w:spacing w:after="160" w:line="480" w:lineRule="auto"/>
        <w:ind w:firstLine="567"/>
        <w:jc w:val="both"/>
        <w:rPr>
          <w:rFonts w:eastAsia="Calibri"/>
          <w:kern w:val="2"/>
          <w:position w:val="0"/>
          <w14:ligatures w14:val="standardContextual"/>
        </w:rPr>
      </w:pPr>
      <w:r w:rsidRPr="00AA25D6">
        <w:rPr>
          <w:rFonts w:eastAsia="Calibri"/>
          <w:kern w:val="2"/>
          <w:position w:val="0"/>
          <w:sz w:val="22"/>
          <w:szCs w:val="22"/>
          <w14:ligatures w14:val="standardContextual"/>
        </w:rPr>
        <w:t xml:space="preserve"> </w:t>
      </w:r>
      <w:r w:rsidRPr="00947946">
        <w:rPr>
          <w:rFonts w:eastAsia="Calibri"/>
          <w:kern w:val="2"/>
          <w:position w:val="0"/>
          <w14:ligatures w14:val="standardContextual"/>
        </w:rPr>
        <w:t xml:space="preserve">The data reveal that collaborative participation in OTCs foster professional knowledge construction including assessment practices. Teachers confirmed gaining deeper understanding of assessment literacy. This finding aligns with social constructivism’s knowledge co-construction through social instruction, Wenger (1998)’s perspective of mutual engagement, and key elements of community of inquiry.  For instance, the “District 4 Teacher Corner” </w:t>
      </w:r>
      <w:r w:rsidRPr="00947946">
        <w:rPr>
          <w:rFonts w:eastAsia="Calibri"/>
          <w:kern w:val="2"/>
          <w:position w:val="0"/>
          <w14:ligatures w14:val="standardContextual"/>
        </w:rPr>
        <w:lastRenderedPageBreak/>
        <w:t xml:space="preserve">functions as community of practice where teachers exchange resources, provide discussions, refine, and adapt new ideas. Besides, social presence of </w:t>
      </w:r>
      <w:proofErr w:type="spellStart"/>
      <w:r w:rsidRPr="00947946">
        <w:rPr>
          <w:rFonts w:eastAsia="Calibri"/>
          <w:kern w:val="2"/>
          <w:position w:val="0"/>
          <w14:ligatures w14:val="standardContextual"/>
        </w:rPr>
        <w:t>CoI</w:t>
      </w:r>
      <w:proofErr w:type="spellEnd"/>
      <w:r w:rsidRPr="00947946">
        <w:rPr>
          <w:rFonts w:eastAsia="Calibri"/>
          <w:kern w:val="2"/>
          <w:position w:val="0"/>
          <w14:ligatures w14:val="standardContextual"/>
        </w:rPr>
        <w:t xml:space="preserve"> explains how teachers establish trust when they willingly share their assessment tools. Furthermore, this finding is consistent with Abdallah &amp; </w:t>
      </w:r>
      <w:proofErr w:type="spellStart"/>
      <w:r w:rsidRPr="00947946">
        <w:rPr>
          <w:rFonts w:eastAsia="Calibri"/>
          <w:kern w:val="2"/>
          <w:position w:val="0"/>
          <w14:ligatures w14:val="standardContextual"/>
        </w:rPr>
        <w:t>Waer’s</w:t>
      </w:r>
      <w:proofErr w:type="spellEnd"/>
      <w:r w:rsidRPr="00947946">
        <w:rPr>
          <w:rFonts w:eastAsia="Calibri"/>
          <w:kern w:val="2"/>
          <w:position w:val="0"/>
          <w14:ligatures w14:val="standardContextual"/>
        </w:rPr>
        <w:t xml:space="preserve"> (2024) study on technology-mediated continuing professional development and supported by </w:t>
      </w:r>
      <w:proofErr w:type="spellStart"/>
      <w:r w:rsidRPr="00947946">
        <w:rPr>
          <w:rFonts w:eastAsia="Calibri"/>
          <w:kern w:val="2"/>
          <w:position w:val="0"/>
          <w14:ligatures w14:val="standardContextual"/>
        </w:rPr>
        <w:t>Bettahar</w:t>
      </w:r>
      <w:proofErr w:type="spellEnd"/>
      <w:r w:rsidRPr="00947946">
        <w:rPr>
          <w:rFonts w:eastAsia="Calibri"/>
          <w:kern w:val="2"/>
          <w:position w:val="0"/>
          <w14:ligatures w14:val="standardContextual"/>
        </w:rPr>
        <w:t xml:space="preserve"> &amp; </w:t>
      </w:r>
      <w:proofErr w:type="spellStart"/>
      <w:r w:rsidRPr="00947946">
        <w:rPr>
          <w:rFonts w:eastAsia="Calibri"/>
          <w:kern w:val="2"/>
          <w:position w:val="0"/>
          <w14:ligatures w14:val="standardContextual"/>
        </w:rPr>
        <w:t>Zourgui’s</w:t>
      </w:r>
      <w:proofErr w:type="spellEnd"/>
      <w:r w:rsidRPr="00947946">
        <w:rPr>
          <w:rFonts w:eastAsia="Calibri"/>
          <w:kern w:val="2"/>
          <w:position w:val="0"/>
          <w14:ligatures w14:val="standardContextual"/>
        </w:rPr>
        <w:t xml:space="preserve"> (2024) study on Algerian EFL </w:t>
      </w:r>
      <w:proofErr w:type="gramStart"/>
      <w:r w:rsidRPr="00947946">
        <w:rPr>
          <w:rFonts w:eastAsia="Calibri"/>
          <w:kern w:val="2"/>
          <w:position w:val="0"/>
          <w14:ligatures w14:val="standardContextual"/>
        </w:rPr>
        <w:t>educators which</w:t>
      </w:r>
      <w:proofErr w:type="gramEnd"/>
      <w:r w:rsidRPr="00947946">
        <w:rPr>
          <w:rFonts w:eastAsia="Calibri"/>
          <w:kern w:val="2"/>
          <w:position w:val="0"/>
          <w14:ligatures w14:val="standardContextual"/>
        </w:rPr>
        <w:t xml:space="preserve"> affirms Facebook as an accessible professional collaborative environment.</w:t>
      </w:r>
    </w:p>
    <w:p w14:paraId="21277256" w14:textId="10EFC373" w:rsidR="00B85723" w:rsidRDefault="00AA25D6" w:rsidP="00B85723">
      <w:pPr>
        <w:spacing w:after="160" w:line="480" w:lineRule="auto"/>
        <w:ind w:firstLine="567"/>
        <w:jc w:val="both"/>
        <w:rPr>
          <w:rFonts w:eastAsia="Calibri"/>
          <w:kern w:val="2"/>
          <w:position w:val="0"/>
          <w14:ligatures w14:val="standardContextual"/>
        </w:rPr>
      </w:pPr>
      <w:r w:rsidRPr="00947946">
        <w:rPr>
          <w:rFonts w:eastAsia="Calibri"/>
          <w:kern w:val="2"/>
          <w:position w:val="0"/>
          <w14:ligatures w14:val="standardContextual"/>
        </w:rPr>
        <w:t xml:space="preserve">The data also indicate that OTCs enhance critical reflection on assessment practices. Teachers who participated in this study admitted improvements in their feedback techniques through community engagement. </w:t>
      </w:r>
      <w:r w:rsidR="004653CA">
        <w:rPr>
          <w:rFonts w:eastAsia="Calibri"/>
          <w:kern w:val="2"/>
          <w:position w:val="0"/>
          <w14:ligatures w14:val="standardContextual"/>
        </w:rPr>
        <w:t>Consequently</w:t>
      </w:r>
      <w:r w:rsidRPr="00947946">
        <w:rPr>
          <w:rFonts w:eastAsia="Calibri"/>
          <w:kern w:val="2"/>
          <w:position w:val="0"/>
          <w14:ligatures w14:val="standardContextual"/>
        </w:rPr>
        <w:t xml:space="preserve">, they refine their assessment methods based on peer feedback. This finding aligns with </w:t>
      </w:r>
      <w:proofErr w:type="spellStart"/>
      <w:r w:rsidRPr="00947946">
        <w:rPr>
          <w:rFonts w:eastAsia="Calibri"/>
          <w:kern w:val="2"/>
          <w:position w:val="0"/>
          <w14:ligatures w14:val="standardContextual"/>
        </w:rPr>
        <w:t>Mezirow’s</w:t>
      </w:r>
      <w:proofErr w:type="spellEnd"/>
      <w:r w:rsidRPr="00947946">
        <w:rPr>
          <w:rFonts w:eastAsia="Calibri"/>
          <w:kern w:val="2"/>
          <w:position w:val="0"/>
          <w14:ligatures w14:val="standardContextual"/>
        </w:rPr>
        <w:t xml:space="preserve"> (1991) concept of “disorienting dilemma” when teachers confront gaps in their assessment literacy that lead to “critical reflection” or reevaluating their existing practices. Furthermore, the cognitive presence, a key element in </w:t>
      </w:r>
      <w:proofErr w:type="spellStart"/>
      <w:r w:rsidRPr="00947946">
        <w:rPr>
          <w:rFonts w:eastAsia="Calibri"/>
          <w:kern w:val="2"/>
          <w:position w:val="0"/>
          <w14:ligatures w14:val="standardContextual"/>
        </w:rPr>
        <w:t>Co</w:t>
      </w:r>
      <w:r w:rsidR="00994B27">
        <w:rPr>
          <w:rFonts w:eastAsia="Calibri"/>
          <w:kern w:val="2"/>
          <w:position w:val="0"/>
          <w14:ligatures w14:val="standardContextual"/>
        </w:rPr>
        <w:t>I</w:t>
      </w:r>
      <w:proofErr w:type="spellEnd"/>
      <w:r w:rsidRPr="00947946">
        <w:rPr>
          <w:rFonts w:eastAsia="Calibri"/>
          <w:kern w:val="2"/>
          <w:position w:val="0"/>
          <w14:ligatures w14:val="standardContextual"/>
        </w:rPr>
        <w:t>, is evident in the inspector’s observations that teachers’ exposure to diverse assessment methods pushes them to rethink their methods.</w:t>
      </w:r>
    </w:p>
    <w:p w14:paraId="698479F4" w14:textId="1E32E27C" w:rsidR="00AA25D6" w:rsidRPr="00947946" w:rsidRDefault="00AA25D6" w:rsidP="00B85723">
      <w:pPr>
        <w:spacing w:after="160" w:line="480" w:lineRule="auto"/>
        <w:ind w:firstLine="567"/>
        <w:jc w:val="both"/>
        <w:rPr>
          <w:rFonts w:eastAsia="Calibri"/>
          <w:kern w:val="2"/>
          <w:position w:val="0"/>
          <w14:ligatures w14:val="standardContextual"/>
        </w:rPr>
      </w:pPr>
      <w:r w:rsidRPr="00947946">
        <w:rPr>
          <w:rFonts w:eastAsia="Calibri"/>
          <w:kern w:val="2"/>
          <w:position w:val="0"/>
          <w14:ligatures w14:val="standardContextual"/>
        </w:rPr>
        <w:t xml:space="preserve"> The study points the opportunities and challenges that may arise when using OTCs for professional development. On one hand, interviews highlighted that these platforms offer proficiency in utilizing a range of digital tools for assessment. Additionally, teachers engage in discussions and feedback from experienced peers before designing more effective assessment tools. This finding is evident in Lave &amp; Wenger’s legitimate peripheral participation. However, significant barriers such </w:t>
      </w:r>
      <w:proofErr w:type="gramStart"/>
      <w:r w:rsidRPr="00947946">
        <w:rPr>
          <w:rFonts w:eastAsia="Calibri"/>
          <w:kern w:val="2"/>
          <w:position w:val="0"/>
          <w14:ligatures w14:val="standardContextual"/>
        </w:rPr>
        <w:t>as:</w:t>
      </w:r>
      <w:proofErr w:type="gramEnd"/>
      <w:r w:rsidRPr="00947946">
        <w:rPr>
          <w:rFonts w:eastAsia="Calibri"/>
          <w:kern w:val="2"/>
          <w:position w:val="0"/>
          <w14:ligatures w14:val="standardContextual"/>
        </w:rPr>
        <w:t xml:space="preserve"> time constrains, privacy concerns, and contextual adaptations reflect activity theory’s emphasis on how tools mediate and complicate professional activities (</w:t>
      </w:r>
      <w:proofErr w:type="spellStart"/>
      <w:r w:rsidRPr="00947946">
        <w:rPr>
          <w:rFonts w:eastAsia="Calibri"/>
          <w:kern w:val="2"/>
          <w:position w:val="0"/>
          <w14:ligatures w14:val="standardContextual"/>
        </w:rPr>
        <w:t>Engeström</w:t>
      </w:r>
      <w:proofErr w:type="spellEnd"/>
      <w:r w:rsidRPr="00947946">
        <w:rPr>
          <w:rFonts w:eastAsia="Calibri"/>
          <w:kern w:val="2"/>
          <w:position w:val="0"/>
          <w14:ligatures w14:val="standardContextual"/>
        </w:rPr>
        <w:t xml:space="preserve">, 1987). This is consistent with Alonzo et al.'s (2023) systematic analysis of social media-based assessment practices. Finally, </w:t>
      </w:r>
      <w:proofErr w:type="spellStart"/>
      <w:r w:rsidRPr="00947946">
        <w:rPr>
          <w:rFonts w:eastAsia="Calibri"/>
          <w:kern w:val="2"/>
          <w:position w:val="0"/>
          <w14:ligatures w14:val="standardContextual"/>
        </w:rPr>
        <w:t>Behiry</w:t>
      </w:r>
      <w:proofErr w:type="spellEnd"/>
      <w:r w:rsidRPr="00947946">
        <w:rPr>
          <w:rFonts w:eastAsia="Calibri"/>
          <w:kern w:val="2"/>
          <w:position w:val="0"/>
          <w14:ligatures w14:val="standardContextual"/>
        </w:rPr>
        <w:t xml:space="preserve"> et al.'s (2025) study highlighted the role of structured online professional communities in fostering assessment communities. This supports the study’s recommendation to formalize OTCs under the supervision of more knowledgeable </w:t>
      </w:r>
      <w:r w:rsidRPr="00947946">
        <w:rPr>
          <w:rFonts w:eastAsia="Calibri"/>
          <w:kern w:val="2"/>
          <w:position w:val="0"/>
          <w14:ligatures w14:val="standardContextual"/>
        </w:rPr>
        <w:lastRenderedPageBreak/>
        <w:t xml:space="preserve">stakeholders. Finally, the </w:t>
      </w:r>
      <w:proofErr w:type="gramStart"/>
      <w:r w:rsidRPr="00947946">
        <w:rPr>
          <w:rFonts w:eastAsia="Calibri"/>
          <w:kern w:val="2"/>
          <w:position w:val="0"/>
          <w14:ligatures w14:val="standardContextual"/>
        </w:rPr>
        <w:t>whole</w:t>
      </w:r>
      <w:proofErr w:type="gramEnd"/>
      <w:r w:rsidRPr="00947946">
        <w:rPr>
          <w:rFonts w:eastAsia="Calibri"/>
          <w:kern w:val="2"/>
          <w:position w:val="0"/>
          <w14:ligatures w14:val="standardContextual"/>
        </w:rPr>
        <w:t xml:space="preserve"> discussed findings provide insights into the significance of OTCs’ role in enhancing teacher professional development.</w:t>
      </w:r>
    </w:p>
    <w:p w14:paraId="5DDA7990" w14:textId="75811D03" w:rsidR="00D50069" w:rsidRPr="00D50069" w:rsidRDefault="00B85723" w:rsidP="00AA5DBF">
      <w:pPr>
        <w:pStyle w:val="Titre1"/>
        <w:rPr>
          <w:rFonts w:eastAsia="Calibri"/>
        </w:rPr>
      </w:pPr>
      <w:bookmarkStart w:id="271" w:name="_Toc200486090"/>
      <w:r>
        <w:rPr>
          <w:rFonts w:eastAsia="Calibri"/>
        </w:rPr>
        <w:t xml:space="preserve">4 </w:t>
      </w:r>
      <w:r w:rsidR="00D50069" w:rsidRPr="00D50069">
        <w:rPr>
          <w:rFonts w:eastAsia="Calibri"/>
        </w:rPr>
        <w:t>Limitations of the Study</w:t>
      </w:r>
      <w:bookmarkEnd w:id="271"/>
      <w:r w:rsidR="00D50069" w:rsidRPr="00D50069">
        <w:rPr>
          <w:rFonts w:eastAsia="Calibri"/>
        </w:rPr>
        <w:t xml:space="preserve"> </w:t>
      </w:r>
    </w:p>
    <w:p w14:paraId="217680D3" w14:textId="08C9BED9" w:rsidR="00D50069" w:rsidRPr="00D50069" w:rsidRDefault="00D50069" w:rsidP="00B85723">
      <w:pPr>
        <w:spacing w:after="160" w:line="480" w:lineRule="auto"/>
        <w:ind w:firstLine="567"/>
        <w:jc w:val="both"/>
        <w:rPr>
          <w:rFonts w:eastAsia="Calibri"/>
          <w:kern w:val="2"/>
          <w:position w:val="0"/>
          <w14:ligatures w14:val="standardContextual"/>
        </w:rPr>
      </w:pPr>
      <w:r w:rsidRPr="00D50069">
        <w:rPr>
          <w:rFonts w:eastAsia="Calibri"/>
          <w:kern w:val="2"/>
          <w:position w:val="0"/>
          <w14:ligatures w14:val="standardContextual"/>
        </w:rPr>
        <w:t xml:space="preserve">While this study provides valuable insights on OTCs and their significance as enhancing professional platforms in assessment literacy, several limitations </w:t>
      </w:r>
      <w:proofErr w:type="gramStart"/>
      <w:r w:rsidRPr="00D50069">
        <w:rPr>
          <w:rFonts w:eastAsia="Calibri"/>
          <w:kern w:val="2"/>
          <w:position w:val="0"/>
          <w14:ligatures w14:val="standardContextual"/>
        </w:rPr>
        <w:t>should be considered</w:t>
      </w:r>
      <w:proofErr w:type="gramEnd"/>
      <w:r w:rsidRPr="00D50069">
        <w:rPr>
          <w:rFonts w:eastAsia="Calibri"/>
          <w:kern w:val="2"/>
          <w:position w:val="0"/>
          <w14:ligatures w14:val="standardContextual"/>
        </w:rPr>
        <w:t xml:space="preserve">. Firstly, the study focuses on a single Facebook </w:t>
      </w:r>
      <w:proofErr w:type="gramStart"/>
      <w:r w:rsidRPr="00D50069">
        <w:rPr>
          <w:rFonts w:eastAsia="Calibri"/>
          <w:kern w:val="2"/>
          <w:position w:val="0"/>
          <w14:ligatures w14:val="standardContextual"/>
        </w:rPr>
        <w:t>group which</w:t>
      </w:r>
      <w:proofErr w:type="gramEnd"/>
      <w:r w:rsidRPr="00D50069">
        <w:rPr>
          <w:rFonts w:eastAsia="Calibri"/>
          <w:kern w:val="2"/>
          <w:position w:val="0"/>
          <w14:ligatures w14:val="standardContextual"/>
        </w:rPr>
        <w:t xml:space="preserve"> hinder generalizability to other educational contexts and different social media platforms. Secondly, the reliance on self-reported data through participant observation and interviews introduces potential biases. Thirdly, this study requires longitudinal impacts to assess how engagement is these studies evolves as teachers gain experience. Fourthly, the study also requires classroom observation or student outcome measures to verify the application of OTCs learning in the classroom. Finally, these limitations highlight valuable directions for future research.</w:t>
      </w:r>
    </w:p>
    <w:p w14:paraId="5A38EDA0" w14:textId="52C8513D" w:rsidR="00D50069" w:rsidRPr="00D50069" w:rsidRDefault="00F953B4" w:rsidP="00AA5DBF">
      <w:pPr>
        <w:pStyle w:val="Titre1"/>
        <w:rPr>
          <w:rFonts w:eastAsia="Calibri"/>
        </w:rPr>
      </w:pPr>
      <w:bookmarkStart w:id="272" w:name="_Toc200486091"/>
      <w:r>
        <w:rPr>
          <w:rFonts w:eastAsia="Calibri"/>
        </w:rPr>
        <w:t xml:space="preserve">5 </w:t>
      </w:r>
      <w:r w:rsidR="00D50069" w:rsidRPr="00D50069">
        <w:rPr>
          <w:rFonts w:eastAsia="Calibri"/>
        </w:rPr>
        <w:t>Pedagogical Implications</w:t>
      </w:r>
      <w:bookmarkEnd w:id="272"/>
    </w:p>
    <w:p w14:paraId="5500FE32" w14:textId="740E2FC3" w:rsidR="00D50069" w:rsidRPr="00D50069" w:rsidRDefault="00D50069" w:rsidP="00F953B4">
      <w:pPr>
        <w:spacing w:after="160" w:line="480" w:lineRule="auto"/>
        <w:ind w:firstLine="567"/>
        <w:contextualSpacing/>
        <w:jc w:val="both"/>
        <w:rPr>
          <w:rFonts w:eastAsia="Calibri"/>
          <w:kern w:val="2"/>
          <w:position w:val="0"/>
          <w14:ligatures w14:val="standardContextual"/>
        </w:rPr>
      </w:pPr>
      <w:r w:rsidRPr="00D50069">
        <w:rPr>
          <w:rFonts w:eastAsia="Calibri"/>
          <w:kern w:val="2"/>
          <w:position w:val="0"/>
          <w14:ligatures w14:val="standardContextual"/>
        </w:rPr>
        <w:t xml:space="preserve">In light of the current study’s findings analysis, multiple pedagogical implications </w:t>
      </w:r>
      <w:proofErr w:type="gramStart"/>
      <w:r w:rsidRPr="00D50069">
        <w:rPr>
          <w:rFonts w:eastAsia="Calibri"/>
          <w:kern w:val="2"/>
          <w:position w:val="0"/>
          <w14:ligatures w14:val="standardContextual"/>
        </w:rPr>
        <w:t>can be proposed</w:t>
      </w:r>
      <w:proofErr w:type="gramEnd"/>
      <w:r w:rsidRPr="00D50069">
        <w:rPr>
          <w:rFonts w:eastAsia="Calibri"/>
          <w:kern w:val="2"/>
          <w:position w:val="0"/>
          <w14:ligatures w14:val="standardContextual"/>
        </w:rPr>
        <w:t xml:space="preserve"> to improve Algerian EFL teacher learning and teaching environments. They can inform</w:t>
      </w:r>
      <w:r w:rsidRPr="00D50069">
        <w:rPr>
          <w:rFonts w:eastAsia="Calibri"/>
          <w:b/>
          <w:bCs/>
          <w:kern w:val="2"/>
          <w:position w:val="0"/>
          <w14:ligatures w14:val="standardContextual"/>
        </w:rPr>
        <w:t xml:space="preserve"> </w:t>
      </w:r>
      <w:r w:rsidRPr="00D50069">
        <w:rPr>
          <w:rFonts w:eastAsia="Calibri"/>
          <w:kern w:val="2"/>
          <w:position w:val="0"/>
          <w14:ligatures w14:val="standardContextual"/>
        </w:rPr>
        <w:t>distinct</w:t>
      </w:r>
      <w:r w:rsidRPr="00D50069">
        <w:rPr>
          <w:rFonts w:eastAsia="Calibri"/>
          <w:b/>
          <w:bCs/>
          <w:kern w:val="2"/>
          <w:position w:val="0"/>
          <w14:ligatures w14:val="standardContextual"/>
        </w:rPr>
        <w:t xml:space="preserve"> </w:t>
      </w:r>
      <w:r w:rsidRPr="00D50069">
        <w:rPr>
          <w:rFonts w:eastAsia="Calibri"/>
          <w:kern w:val="2"/>
          <w:position w:val="0"/>
          <w14:ligatures w14:val="standardContextual"/>
        </w:rPr>
        <w:t xml:space="preserve">strategies across several areas such as instructional methodologies, curriculum development and educators’ continuous professional growth. They can contribute </w:t>
      </w:r>
      <w:proofErr w:type="gramStart"/>
      <w:r w:rsidRPr="00D50069">
        <w:rPr>
          <w:rFonts w:eastAsia="Calibri"/>
          <w:kern w:val="2"/>
          <w:position w:val="0"/>
          <w14:ligatures w14:val="standardContextual"/>
        </w:rPr>
        <w:t>to</w:t>
      </w:r>
      <w:proofErr w:type="gramEnd"/>
      <w:r w:rsidRPr="00D50069">
        <w:rPr>
          <w:rFonts w:eastAsia="Calibri"/>
          <w:kern w:val="2"/>
          <w:position w:val="0"/>
          <w14:ligatures w14:val="standardContextual"/>
        </w:rPr>
        <w:t>:</w:t>
      </w:r>
    </w:p>
    <w:p w14:paraId="2224B3A9" w14:textId="77777777" w:rsidR="00D50069" w:rsidRPr="00D50069" w:rsidRDefault="00D50069">
      <w:pPr>
        <w:numPr>
          <w:ilvl w:val="0"/>
          <w:numId w:val="1"/>
        </w:numPr>
        <w:spacing w:after="160" w:line="480" w:lineRule="auto"/>
        <w:contextualSpacing/>
        <w:jc w:val="both"/>
        <w:rPr>
          <w:rFonts w:eastAsia="Calibri"/>
          <w:kern w:val="2"/>
          <w:position w:val="0"/>
          <w14:ligatures w14:val="standardContextual"/>
        </w:rPr>
      </w:pPr>
      <w:proofErr w:type="gramStart"/>
      <w:r w:rsidRPr="00D50069">
        <w:rPr>
          <w:rFonts w:eastAsia="Calibri"/>
          <w:kern w:val="2"/>
          <w:position w:val="0"/>
          <w14:ligatures w14:val="standardContextual"/>
        </w:rPr>
        <w:t>offer</w:t>
      </w:r>
      <w:proofErr w:type="gramEnd"/>
      <w:r w:rsidRPr="00D50069">
        <w:rPr>
          <w:rFonts w:eastAsia="Calibri"/>
          <w:kern w:val="2"/>
          <w:position w:val="0"/>
          <w14:ligatures w14:val="standardContextual"/>
        </w:rPr>
        <w:t xml:space="preserve"> virtual opportunities for teachers to learn, apply and reflect on various summative assessment techniques and methods. These assessments serve as pre and post instructional measurements and strategies that support informed decision-making. This aligns with reflection in, on and for action that </w:t>
      </w:r>
      <w:proofErr w:type="spellStart"/>
      <w:r w:rsidRPr="00D50069">
        <w:rPr>
          <w:rFonts w:eastAsia="Calibri"/>
          <w:kern w:val="2"/>
          <w:position w:val="0"/>
          <w14:ligatures w14:val="standardContextual"/>
        </w:rPr>
        <w:t>Schön</w:t>
      </w:r>
      <w:proofErr w:type="spellEnd"/>
      <w:r w:rsidRPr="00D50069">
        <w:rPr>
          <w:rFonts w:eastAsia="Calibri"/>
          <w:kern w:val="2"/>
          <w:position w:val="0"/>
          <w14:ligatures w14:val="standardContextual"/>
        </w:rPr>
        <w:t xml:space="preserve"> (1983) proposed for ongoing professional learning.</w:t>
      </w:r>
    </w:p>
    <w:p w14:paraId="750D18A8" w14:textId="77777777" w:rsidR="00D50069" w:rsidRPr="00D50069" w:rsidRDefault="00D50069">
      <w:pPr>
        <w:numPr>
          <w:ilvl w:val="0"/>
          <w:numId w:val="1"/>
        </w:numPr>
        <w:spacing w:after="160" w:line="480" w:lineRule="auto"/>
        <w:contextualSpacing/>
        <w:jc w:val="both"/>
        <w:rPr>
          <w:rFonts w:eastAsia="Calibri"/>
          <w:kern w:val="2"/>
          <w:position w:val="0"/>
          <w14:ligatures w14:val="standardContextual"/>
        </w:rPr>
      </w:pPr>
      <w:proofErr w:type="gramStart"/>
      <w:r w:rsidRPr="00D50069">
        <w:rPr>
          <w:rFonts w:eastAsia="Calibri"/>
          <w:kern w:val="2"/>
          <w:position w:val="0"/>
          <w14:ligatures w14:val="standardContextual"/>
        </w:rPr>
        <w:t>promote</w:t>
      </w:r>
      <w:proofErr w:type="gramEnd"/>
      <w:r w:rsidRPr="00D50069">
        <w:rPr>
          <w:rFonts w:eastAsia="Calibri"/>
          <w:kern w:val="2"/>
          <w:position w:val="0"/>
          <w14:ligatures w14:val="standardContextual"/>
        </w:rPr>
        <w:t xml:space="preserve"> mentorship and peer collaboration among pre- and in-service teachers.</w:t>
      </w:r>
    </w:p>
    <w:p w14:paraId="1277E310" w14:textId="77777777" w:rsidR="00D50069" w:rsidRPr="00D50069" w:rsidRDefault="00D50069">
      <w:pPr>
        <w:numPr>
          <w:ilvl w:val="0"/>
          <w:numId w:val="1"/>
        </w:numPr>
        <w:spacing w:after="160" w:line="480" w:lineRule="auto"/>
        <w:contextualSpacing/>
        <w:jc w:val="both"/>
        <w:rPr>
          <w:rFonts w:eastAsia="Calibri"/>
          <w:kern w:val="2"/>
          <w:position w:val="0"/>
          <w14:ligatures w14:val="standardContextual"/>
        </w:rPr>
      </w:pPr>
      <w:proofErr w:type="gramStart"/>
      <w:r w:rsidRPr="00D50069">
        <w:rPr>
          <w:rFonts w:eastAsia="Calibri"/>
          <w:kern w:val="2"/>
          <w:position w:val="0"/>
          <w14:ligatures w14:val="standardContextual"/>
        </w:rPr>
        <w:t>encourage</w:t>
      </w:r>
      <w:proofErr w:type="gramEnd"/>
      <w:r w:rsidRPr="00D50069">
        <w:rPr>
          <w:rFonts w:eastAsia="Calibri"/>
          <w:kern w:val="2"/>
          <w:position w:val="0"/>
          <w14:ligatures w14:val="standardContextual"/>
        </w:rPr>
        <w:t xml:space="preserve"> action research as part of relevant and effective instruction. Classroom problem investigation empowers teachers to apply educational theories not only to </w:t>
      </w:r>
      <w:r w:rsidRPr="00D50069">
        <w:rPr>
          <w:rFonts w:eastAsia="Calibri"/>
          <w:kern w:val="2"/>
          <w:position w:val="0"/>
          <w14:ligatures w14:val="standardContextual"/>
        </w:rPr>
        <w:lastRenderedPageBreak/>
        <w:t xml:space="preserve">assess learners but also the validity, reliability and consistency of assessment tools employed. </w:t>
      </w:r>
    </w:p>
    <w:p w14:paraId="1C4EA45F" w14:textId="77777777" w:rsidR="00D50069" w:rsidRPr="00D50069" w:rsidRDefault="00D50069">
      <w:pPr>
        <w:numPr>
          <w:ilvl w:val="0"/>
          <w:numId w:val="1"/>
        </w:numPr>
        <w:spacing w:after="160" w:line="480" w:lineRule="auto"/>
        <w:contextualSpacing/>
        <w:jc w:val="both"/>
        <w:rPr>
          <w:rFonts w:eastAsia="Calibri"/>
          <w:kern w:val="2"/>
          <w:position w:val="0"/>
          <w14:ligatures w14:val="standardContextual"/>
        </w:rPr>
      </w:pPr>
      <w:proofErr w:type="gramStart"/>
      <w:r w:rsidRPr="00D50069">
        <w:rPr>
          <w:rFonts w:eastAsia="Calibri"/>
          <w:kern w:val="2"/>
          <w:position w:val="0"/>
          <w14:ligatures w14:val="standardContextual"/>
        </w:rPr>
        <w:t>address</w:t>
      </w:r>
      <w:proofErr w:type="gramEnd"/>
      <w:r w:rsidRPr="00D50069">
        <w:rPr>
          <w:rFonts w:eastAsia="Calibri"/>
          <w:kern w:val="2"/>
          <w:position w:val="0"/>
          <w14:ligatures w14:val="standardContextual"/>
        </w:rPr>
        <w:t xml:space="preserve"> teachers’ as well as students’ needs through collaborative and practice-oriented models that foster reflective practices and peer exchange.  </w:t>
      </w:r>
    </w:p>
    <w:p w14:paraId="100495E6" w14:textId="77777777" w:rsidR="00D50069" w:rsidRPr="00D50069" w:rsidRDefault="00D50069">
      <w:pPr>
        <w:numPr>
          <w:ilvl w:val="0"/>
          <w:numId w:val="1"/>
        </w:numPr>
        <w:spacing w:after="160" w:line="480" w:lineRule="auto"/>
        <w:contextualSpacing/>
        <w:jc w:val="both"/>
        <w:rPr>
          <w:rFonts w:eastAsia="Calibri"/>
          <w:kern w:val="2"/>
          <w:position w:val="0"/>
          <w14:ligatures w14:val="standardContextual"/>
        </w:rPr>
      </w:pPr>
      <w:proofErr w:type="gramStart"/>
      <w:r w:rsidRPr="00D50069">
        <w:rPr>
          <w:rFonts w:eastAsia="Calibri"/>
          <w:kern w:val="2"/>
          <w:position w:val="0"/>
          <w14:ligatures w14:val="standardContextual"/>
        </w:rPr>
        <w:t>guide</w:t>
      </w:r>
      <w:proofErr w:type="gramEnd"/>
      <w:r w:rsidRPr="00D50069">
        <w:rPr>
          <w:rFonts w:eastAsia="Calibri"/>
          <w:kern w:val="2"/>
          <w:position w:val="0"/>
          <w14:ligatures w14:val="standardContextual"/>
        </w:rPr>
        <w:t xml:space="preserve"> inspectors to invest in online interactions and form completions for conducting needs assessments. This assists them to tailor training programs to target educators’ actual gaps in both assessment knowledge and practice.</w:t>
      </w:r>
    </w:p>
    <w:p w14:paraId="1AF753AD" w14:textId="77777777" w:rsidR="00D50069" w:rsidRPr="00D50069" w:rsidRDefault="00D50069">
      <w:pPr>
        <w:numPr>
          <w:ilvl w:val="0"/>
          <w:numId w:val="1"/>
        </w:numPr>
        <w:spacing w:after="160" w:line="480" w:lineRule="auto"/>
        <w:contextualSpacing/>
        <w:jc w:val="both"/>
        <w:rPr>
          <w:rFonts w:eastAsia="Calibri"/>
          <w:kern w:val="2"/>
          <w:position w:val="0"/>
          <w14:ligatures w14:val="standardContextual"/>
        </w:rPr>
      </w:pPr>
      <w:proofErr w:type="gramStart"/>
      <w:r w:rsidRPr="00D50069">
        <w:rPr>
          <w:rFonts w:eastAsia="Calibri"/>
          <w:kern w:val="2"/>
          <w:position w:val="0"/>
          <w14:ligatures w14:val="standardContextual"/>
        </w:rPr>
        <w:t>foster</w:t>
      </w:r>
      <w:proofErr w:type="gramEnd"/>
      <w:r w:rsidRPr="00D50069">
        <w:rPr>
          <w:rFonts w:eastAsia="Calibri"/>
          <w:kern w:val="2"/>
          <w:position w:val="0"/>
          <w14:ligatures w14:val="standardContextual"/>
        </w:rPr>
        <w:t xml:space="preserve"> innovation and flexibility through sharing and exchanging experiences, ideas and resources. This can offer curriculum developers authentic feedback to refine contents and syllabi, and inspire broader curriculum shifts.</w:t>
      </w:r>
    </w:p>
    <w:p w14:paraId="1D51D364" w14:textId="77777777" w:rsidR="00D50069" w:rsidRPr="00D50069" w:rsidRDefault="00D50069">
      <w:pPr>
        <w:numPr>
          <w:ilvl w:val="0"/>
          <w:numId w:val="1"/>
        </w:numPr>
        <w:spacing w:after="160" w:line="480" w:lineRule="auto"/>
        <w:contextualSpacing/>
        <w:jc w:val="both"/>
        <w:rPr>
          <w:rFonts w:eastAsia="Calibri"/>
          <w:kern w:val="2"/>
          <w:position w:val="0"/>
          <w14:ligatures w14:val="standardContextual"/>
        </w:rPr>
      </w:pPr>
      <w:proofErr w:type="gramStart"/>
      <w:r w:rsidRPr="00D50069">
        <w:rPr>
          <w:rFonts w:eastAsia="Calibri"/>
          <w:kern w:val="2"/>
          <w:position w:val="0"/>
          <w14:ligatures w14:val="standardContextual"/>
        </w:rPr>
        <w:t>incorporate</w:t>
      </w:r>
      <w:proofErr w:type="gramEnd"/>
      <w:r w:rsidRPr="00D50069">
        <w:rPr>
          <w:rFonts w:eastAsia="Calibri"/>
          <w:kern w:val="2"/>
          <w:position w:val="0"/>
          <w14:ligatures w14:val="standardContextual"/>
        </w:rPr>
        <w:t xml:space="preserve"> team and holistic approaches that boost teachers’ confidence to purposefully discuss, effectively design and critically measure and analyze structured or unstructured summative assessments.</w:t>
      </w:r>
    </w:p>
    <w:p w14:paraId="67275800" w14:textId="382C65AE" w:rsidR="00D50069" w:rsidRPr="00D50069" w:rsidRDefault="0009485F" w:rsidP="00AA5DBF">
      <w:pPr>
        <w:pStyle w:val="Titre1"/>
        <w:rPr>
          <w:rFonts w:eastAsia="Calibri"/>
        </w:rPr>
      </w:pPr>
      <w:bookmarkStart w:id="273" w:name="_Toc200486092"/>
      <w:r>
        <w:rPr>
          <w:rFonts w:eastAsia="Calibri"/>
        </w:rPr>
        <w:t>6 Recommendations</w:t>
      </w:r>
      <w:r w:rsidR="00D50069" w:rsidRPr="00D50069">
        <w:rPr>
          <w:rFonts w:eastAsia="Calibri"/>
        </w:rPr>
        <w:t xml:space="preserve"> for Further Research</w:t>
      </w:r>
      <w:bookmarkEnd w:id="273"/>
    </w:p>
    <w:p w14:paraId="6B67EC70" w14:textId="2FC827BD" w:rsidR="00D50069" w:rsidRPr="00D50069" w:rsidRDefault="00D50069" w:rsidP="0009485F">
      <w:pPr>
        <w:spacing w:after="160" w:line="480" w:lineRule="auto"/>
        <w:ind w:firstLine="567"/>
        <w:jc w:val="both"/>
        <w:rPr>
          <w:rFonts w:eastAsia="Calibri"/>
          <w:kern w:val="2"/>
          <w:position w:val="0"/>
          <w14:ligatures w14:val="standardContextual"/>
        </w:rPr>
      </w:pPr>
      <w:r w:rsidRPr="00D50069">
        <w:rPr>
          <w:rFonts w:eastAsia="Calibri"/>
          <w:kern w:val="2"/>
          <w:position w:val="0"/>
          <w14:ligatures w14:val="standardContextual"/>
        </w:rPr>
        <w:t xml:space="preserve">With reference to the discussion of the study findings and limitations, the researchers recommend the following: </w:t>
      </w:r>
    </w:p>
    <w:p w14:paraId="0CE668DF" w14:textId="77777777" w:rsidR="00D50069" w:rsidRPr="00D50069" w:rsidRDefault="00D50069">
      <w:pPr>
        <w:numPr>
          <w:ilvl w:val="0"/>
          <w:numId w:val="2"/>
        </w:numPr>
        <w:spacing w:after="160" w:line="480" w:lineRule="auto"/>
        <w:contextualSpacing/>
        <w:jc w:val="both"/>
        <w:rPr>
          <w:rFonts w:eastAsia="Calibri"/>
          <w:kern w:val="2"/>
          <w:position w:val="0"/>
          <w14:ligatures w14:val="standardContextual"/>
        </w:rPr>
      </w:pPr>
      <w:proofErr w:type="gramStart"/>
      <w:r w:rsidRPr="00D50069">
        <w:rPr>
          <w:rFonts w:eastAsia="Calibri"/>
          <w:kern w:val="2"/>
          <w:position w:val="0"/>
          <w14:ligatures w14:val="standardContextual"/>
        </w:rPr>
        <w:t>formalizing</w:t>
      </w:r>
      <w:proofErr w:type="gramEnd"/>
      <w:r w:rsidRPr="00D50069">
        <w:rPr>
          <w:rFonts w:eastAsia="Calibri"/>
          <w:kern w:val="2"/>
          <w:position w:val="0"/>
          <w14:ligatures w14:val="standardContextual"/>
        </w:rPr>
        <w:t xml:space="preserve"> online teacher communities under the active supervision of more knowledgeable stakeholders such as inspectors and head teachers. </w:t>
      </w:r>
    </w:p>
    <w:p w14:paraId="7E51E0F0" w14:textId="77777777" w:rsidR="00D50069" w:rsidRPr="00D50069" w:rsidRDefault="00D50069">
      <w:pPr>
        <w:numPr>
          <w:ilvl w:val="0"/>
          <w:numId w:val="2"/>
        </w:numPr>
        <w:spacing w:after="160" w:line="480" w:lineRule="auto"/>
        <w:contextualSpacing/>
        <w:jc w:val="both"/>
        <w:rPr>
          <w:rFonts w:eastAsia="Calibri"/>
          <w:kern w:val="2"/>
          <w:position w:val="0"/>
          <w14:ligatures w14:val="standardContextual"/>
        </w:rPr>
      </w:pPr>
      <w:proofErr w:type="gramStart"/>
      <w:r w:rsidRPr="00D50069">
        <w:rPr>
          <w:rFonts w:eastAsia="Calibri"/>
          <w:kern w:val="2"/>
          <w:position w:val="0"/>
          <w14:ligatures w14:val="standardContextual"/>
        </w:rPr>
        <w:t>planning</w:t>
      </w:r>
      <w:proofErr w:type="gramEnd"/>
      <w:r w:rsidRPr="00D50069">
        <w:rPr>
          <w:rFonts w:eastAsia="Calibri"/>
          <w:kern w:val="2"/>
          <w:position w:val="0"/>
          <w14:ligatures w14:val="standardContextual"/>
        </w:rPr>
        <w:t xml:space="preserve"> periodic online formal workshops and meetings to meet educators’ needs in various instructional practices. </w:t>
      </w:r>
    </w:p>
    <w:p w14:paraId="262F64A7" w14:textId="77777777" w:rsidR="00D50069" w:rsidRPr="00D50069" w:rsidRDefault="00D50069">
      <w:pPr>
        <w:numPr>
          <w:ilvl w:val="0"/>
          <w:numId w:val="2"/>
        </w:numPr>
        <w:spacing w:after="160" w:line="480" w:lineRule="auto"/>
        <w:contextualSpacing/>
        <w:jc w:val="both"/>
        <w:rPr>
          <w:rFonts w:eastAsia="Calibri"/>
          <w:kern w:val="2"/>
          <w:position w:val="0"/>
          <w14:ligatures w14:val="standardContextual"/>
        </w:rPr>
      </w:pPr>
      <w:proofErr w:type="gramStart"/>
      <w:r w:rsidRPr="00D50069">
        <w:rPr>
          <w:rFonts w:eastAsia="Calibri"/>
          <w:kern w:val="2"/>
          <w:position w:val="0"/>
          <w14:ligatures w14:val="standardContextual"/>
        </w:rPr>
        <w:t>conducting</w:t>
      </w:r>
      <w:proofErr w:type="gramEnd"/>
      <w:r w:rsidRPr="00D50069">
        <w:rPr>
          <w:rFonts w:eastAsia="Calibri"/>
          <w:kern w:val="2"/>
          <w:position w:val="0"/>
          <w14:ligatures w14:val="standardContextual"/>
        </w:rPr>
        <w:t xml:space="preserve"> similar studies to explore the impact of online community engagement on primary or university teachers’ assessment literacy.</w:t>
      </w:r>
    </w:p>
    <w:p w14:paraId="0335321D" w14:textId="77777777" w:rsidR="00D50069" w:rsidRPr="00D50069" w:rsidRDefault="00D50069">
      <w:pPr>
        <w:numPr>
          <w:ilvl w:val="0"/>
          <w:numId w:val="2"/>
        </w:numPr>
        <w:spacing w:after="160" w:line="480" w:lineRule="auto"/>
        <w:contextualSpacing/>
        <w:jc w:val="both"/>
        <w:rPr>
          <w:rFonts w:eastAsia="Calibri"/>
          <w:kern w:val="2"/>
          <w:position w:val="0"/>
          <w14:ligatures w14:val="standardContextual"/>
        </w:rPr>
      </w:pPr>
      <w:proofErr w:type="gramStart"/>
      <w:r w:rsidRPr="00D50069">
        <w:rPr>
          <w:rFonts w:eastAsia="Calibri"/>
          <w:kern w:val="2"/>
          <w:position w:val="0"/>
          <w14:ligatures w14:val="standardContextual"/>
        </w:rPr>
        <w:t>replication</w:t>
      </w:r>
      <w:proofErr w:type="gramEnd"/>
      <w:r w:rsidRPr="00D50069">
        <w:rPr>
          <w:rFonts w:eastAsia="Calibri"/>
          <w:kern w:val="2"/>
          <w:position w:val="0"/>
          <w14:ligatures w14:val="standardContextual"/>
        </w:rPr>
        <w:t xml:space="preserve"> of the study with other informal OTCs to determine whether similar results can be obtained and to enhance findings generalizability.</w:t>
      </w:r>
    </w:p>
    <w:p w14:paraId="2AD0350A" w14:textId="77777777" w:rsidR="00D50069" w:rsidRPr="00D50069" w:rsidRDefault="00D50069">
      <w:pPr>
        <w:numPr>
          <w:ilvl w:val="0"/>
          <w:numId w:val="2"/>
        </w:numPr>
        <w:spacing w:after="160" w:line="480" w:lineRule="auto"/>
        <w:contextualSpacing/>
        <w:jc w:val="both"/>
        <w:rPr>
          <w:rFonts w:eastAsia="Calibri"/>
          <w:kern w:val="2"/>
          <w:position w:val="0"/>
          <w14:ligatures w14:val="standardContextual"/>
        </w:rPr>
      </w:pPr>
      <w:proofErr w:type="gramStart"/>
      <w:r w:rsidRPr="00D50069">
        <w:rPr>
          <w:rFonts w:eastAsia="Calibri"/>
          <w:kern w:val="2"/>
          <w:position w:val="0"/>
          <w14:ligatures w14:val="standardContextual"/>
        </w:rPr>
        <w:lastRenderedPageBreak/>
        <w:t>adopting</w:t>
      </w:r>
      <w:proofErr w:type="gramEnd"/>
      <w:r w:rsidRPr="00D50069">
        <w:rPr>
          <w:rFonts w:eastAsia="Calibri"/>
          <w:kern w:val="2"/>
          <w:position w:val="0"/>
          <w14:ligatures w14:val="standardContextual"/>
        </w:rPr>
        <w:t xml:space="preserve"> an experimental design to measure the impact of engagement in online communities as an independent variable on novice teachers’ summative assessment practices as a dependent variable. </w:t>
      </w:r>
    </w:p>
    <w:p w14:paraId="108F8473" w14:textId="77777777" w:rsidR="00D50069" w:rsidRPr="00D50069" w:rsidRDefault="00D50069">
      <w:pPr>
        <w:numPr>
          <w:ilvl w:val="0"/>
          <w:numId w:val="2"/>
        </w:numPr>
        <w:spacing w:after="160" w:line="480" w:lineRule="auto"/>
        <w:contextualSpacing/>
        <w:jc w:val="both"/>
        <w:rPr>
          <w:rFonts w:eastAsia="Calibri"/>
          <w:kern w:val="2"/>
          <w:position w:val="0"/>
          <w14:ligatures w14:val="standardContextual"/>
        </w:rPr>
      </w:pPr>
      <w:r w:rsidRPr="00D50069">
        <w:rPr>
          <w:rFonts w:eastAsia="Calibri"/>
          <w:kern w:val="2"/>
          <w:position w:val="0"/>
          <w14:ligatures w14:val="standardContextual"/>
        </w:rPr>
        <w:t xml:space="preserve"> </w:t>
      </w:r>
      <w:proofErr w:type="gramStart"/>
      <w:r w:rsidRPr="00D50069">
        <w:rPr>
          <w:rFonts w:eastAsia="Calibri"/>
          <w:kern w:val="2"/>
          <w:position w:val="0"/>
          <w14:ligatures w14:val="standardContextual"/>
        </w:rPr>
        <w:t>implementation</w:t>
      </w:r>
      <w:proofErr w:type="gramEnd"/>
      <w:r w:rsidRPr="00D50069">
        <w:rPr>
          <w:rFonts w:eastAsia="Calibri"/>
          <w:kern w:val="2"/>
          <w:position w:val="0"/>
          <w14:ligatures w14:val="standardContextual"/>
        </w:rPr>
        <w:t xml:space="preserve"> of a controlled experiment to compare groups with and without access to virtual learning communities and to establish causal relationship between active membership in OTCs and teachers’ assessment practices.</w:t>
      </w:r>
    </w:p>
    <w:p w14:paraId="6CD8E2A7" w14:textId="21060F77" w:rsidR="00D50069" w:rsidRPr="00D50069" w:rsidRDefault="00D50069" w:rsidP="00AA5DBF">
      <w:pPr>
        <w:pStyle w:val="Titre1"/>
      </w:pPr>
      <w:bookmarkStart w:id="274" w:name="_Toc200486093"/>
      <w:r w:rsidRPr="00D50069">
        <w:t>Conclusion</w:t>
      </w:r>
      <w:bookmarkEnd w:id="274"/>
    </w:p>
    <w:p w14:paraId="5A9DC22D" w14:textId="7908F206" w:rsidR="00C27437" w:rsidRPr="00E02509" w:rsidRDefault="00D50069" w:rsidP="007944E1">
      <w:pPr>
        <w:spacing w:after="160" w:line="480" w:lineRule="auto"/>
        <w:ind w:firstLine="567"/>
        <w:jc w:val="both"/>
        <w:rPr>
          <w:rFonts w:eastAsia="Calibri"/>
          <w:kern w:val="2"/>
          <w:position w:val="0"/>
          <w14:ligatures w14:val="standardContextual"/>
        </w:rPr>
      </w:pPr>
      <w:r w:rsidRPr="00D50069">
        <w:rPr>
          <w:rFonts w:eastAsia="Calibri"/>
          <w:kern w:val="2"/>
          <w:position w:val="0"/>
          <w14:ligatures w14:val="standardContextual"/>
        </w:rPr>
        <w:t xml:space="preserve">In conclusion, this chapter presented the research methodology employed in the study, including the research deign, data collection tools, sampling techniques and procedures for data analysis. It involved a qualitative approach that adopted mixed data collection tools to explore the role of engagement in online teacher communities in enhancing teachers’ summative assessment knowledge and skills to effectively formulate and analytically refine tools. The selected methods, participant observation, interviews with teachers and the inspector of English and a questionnaire distributed online to teachers of English members of District 4, were consistent with and appropriate for the aim of the study. They revealed interesting insights into teacher professional learning environments. Themes identified in observation and interviews </w:t>
      </w:r>
      <w:proofErr w:type="gramStart"/>
      <w:r w:rsidRPr="00D50069">
        <w:rPr>
          <w:rFonts w:eastAsia="Calibri"/>
          <w:kern w:val="2"/>
          <w:position w:val="0"/>
          <w14:ligatures w14:val="standardContextual"/>
        </w:rPr>
        <w:t>were qualitatively described</w:t>
      </w:r>
      <w:proofErr w:type="gramEnd"/>
      <w:r w:rsidRPr="00D50069">
        <w:rPr>
          <w:rFonts w:eastAsia="Calibri"/>
          <w:kern w:val="2"/>
          <w:position w:val="0"/>
          <w14:ligatures w14:val="standardContextual"/>
        </w:rPr>
        <w:t>, while data obtained from questionnaires were quantitatively analyzed and presented in tables and graphs. Further, the interpretation and discussion of these findings indicated important pedagogical implications for instructional practices, teacher professional learning and curriculum development. Limitations encountered in this research study highlighted some specific gaps recommended for further future research.</w:t>
      </w:r>
    </w:p>
    <w:p w14:paraId="13D05E65" w14:textId="77777777" w:rsidR="00C27437" w:rsidRDefault="00C27437" w:rsidP="00D50069">
      <w:pPr>
        <w:spacing w:after="160" w:line="480" w:lineRule="auto"/>
        <w:rPr>
          <w:rFonts w:eastAsia="Calibri"/>
          <w:b/>
          <w:bCs/>
          <w:kern w:val="2"/>
          <w:position w:val="0"/>
          <w14:ligatures w14:val="standardContextual"/>
        </w:rPr>
      </w:pPr>
    </w:p>
    <w:p w14:paraId="75B29C1E" w14:textId="77777777" w:rsidR="00E02509" w:rsidRDefault="00E02509" w:rsidP="00D50069">
      <w:pPr>
        <w:spacing w:after="160" w:line="480" w:lineRule="auto"/>
        <w:rPr>
          <w:rFonts w:eastAsia="Calibri"/>
          <w:b/>
          <w:bCs/>
          <w:kern w:val="2"/>
          <w:position w:val="0"/>
          <w14:ligatures w14:val="standardContextual"/>
        </w:rPr>
      </w:pPr>
    </w:p>
    <w:p w14:paraId="30FC753B" w14:textId="77777777" w:rsidR="00E02509" w:rsidRDefault="00E02509" w:rsidP="00D50069">
      <w:pPr>
        <w:spacing w:after="160" w:line="480" w:lineRule="auto"/>
        <w:rPr>
          <w:rFonts w:eastAsia="Calibri"/>
          <w:b/>
          <w:bCs/>
          <w:kern w:val="2"/>
          <w:position w:val="0"/>
          <w14:ligatures w14:val="standardContextual"/>
        </w:rPr>
      </w:pPr>
    </w:p>
    <w:p w14:paraId="4D8F9C56" w14:textId="77777777" w:rsidR="00E02509" w:rsidRDefault="00E02509" w:rsidP="00D50069">
      <w:pPr>
        <w:spacing w:after="160" w:line="480" w:lineRule="auto"/>
        <w:rPr>
          <w:rFonts w:eastAsia="Calibri"/>
          <w:b/>
          <w:bCs/>
          <w:kern w:val="2"/>
          <w:position w:val="0"/>
          <w14:ligatures w14:val="standardContextual"/>
        </w:rPr>
      </w:pPr>
    </w:p>
    <w:p w14:paraId="138511E7" w14:textId="77777777" w:rsidR="00E02509" w:rsidRDefault="00E02509" w:rsidP="00D50069">
      <w:pPr>
        <w:spacing w:after="160" w:line="480" w:lineRule="auto"/>
        <w:rPr>
          <w:rFonts w:eastAsia="Calibri"/>
          <w:b/>
          <w:bCs/>
          <w:kern w:val="2"/>
          <w:position w:val="0"/>
          <w14:ligatures w14:val="standardContextual"/>
        </w:rPr>
      </w:pPr>
    </w:p>
    <w:p w14:paraId="40EF5F26" w14:textId="77777777" w:rsidR="00E02509" w:rsidRDefault="00E02509" w:rsidP="00D50069">
      <w:pPr>
        <w:spacing w:after="160" w:line="480" w:lineRule="auto"/>
        <w:rPr>
          <w:rFonts w:eastAsia="Calibri"/>
          <w:b/>
          <w:bCs/>
          <w:kern w:val="2"/>
          <w:position w:val="0"/>
          <w14:ligatures w14:val="standardContextual"/>
        </w:rPr>
      </w:pPr>
    </w:p>
    <w:p w14:paraId="4764E3F1" w14:textId="77777777" w:rsidR="00E02509" w:rsidRDefault="00E02509" w:rsidP="00D50069">
      <w:pPr>
        <w:spacing w:after="160" w:line="480" w:lineRule="auto"/>
        <w:rPr>
          <w:rFonts w:eastAsia="Calibri"/>
          <w:b/>
          <w:bCs/>
          <w:kern w:val="2"/>
          <w:position w:val="0"/>
          <w14:ligatures w14:val="standardContextual"/>
        </w:rPr>
      </w:pPr>
    </w:p>
    <w:p w14:paraId="26E9C92D" w14:textId="77777777" w:rsidR="00E02509" w:rsidRDefault="00E02509" w:rsidP="00D50069">
      <w:pPr>
        <w:spacing w:after="160" w:line="480" w:lineRule="auto"/>
        <w:rPr>
          <w:rFonts w:eastAsia="Calibri"/>
          <w:b/>
          <w:bCs/>
          <w:kern w:val="2"/>
          <w:position w:val="0"/>
          <w14:ligatures w14:val="standardContextual"/>
        </w:rPr>
      </w:pPr>
    </w:p>
    <w:p w14:paraId="7399FB71" w14:textId="77777777" w:rsidR="00E02509" w:rsidRPr="00D50069" w:rsidRDefault="00E02509" w:rsidP="00D50069">
      <w:pPr>
        <w:spacing w:after="160" w:line="480" w:lineRule="auto"/>
        <w:rPr>
          <w:rFonts w:eastAsia="Calibri"/>
          <w:b/>
          <w:bCs/>
          <w:kern w:val="2"/>
          <w:position w:val="0"/>
          <w14:ligatures w14:val="standardContextual"/>
        </w:rPr>
      </w:pPr>
    </w:p>
    <w:p w14:paraId="360AE5CF" w14:textId="77777777" w:rsidR="00D50069" w:rsidRPr="00D50069" w:rsidRDefault="00D50069" w:rsidP="00AA5DBF">
      <w:pPr>
        <w:pStyle w:val="Titre1"/>
        <w:rPr>
          <w:rFonts w:eastAsia="Calibri"/>
        </w:rPr>
      </w:pPr>
      <w:bookmarkStart w:id="275" w:name="_Toc200486094"/>
      <w:r w:rsidRPr="00D50069">
        <w:rPr>
          <w:rFonts w:eastAsia="Calibri"/>
          <w:noProof/>
          <w:lang w:val="fr-FR" w:eastAsia="fr-FR" w:bidi="ar-SA"/>
        </w:rPr>
        <w:drawing>
          <wp:inline distT="0" distB="0" distL="0" distR="0" wp14:anchorId="6D3A7944" wp14:editId="774B1A83">
            <wp:extent cx="5486400" cy="1301750"/>
            <wp:effectExtent l="0" t="38100" r="19050" b="0"/>
            <wp:docPr id="1654450708" name="Diagram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3" r:lo="rId74" r:qs="rId75" r:cs="rId76"/>
              </a:graphicData>
            </a:graphic>
          </wp:inline>
        </w:drawing>
      </w:r>
      <w:bookmarkEnd w:id="275"/>
    </w:p>
    <w:p w14:paraId="5B1F0B77" w14:textId="77777777" w:rsidR="00D50069" w:rsidRPr="00D50069" w:rsidRDefault="00D50069" w:rsidP="00D50069">
      <w:pPr>
        <w:spacing w:after="160" w:line="480" w:lineRule="auto"/>
        <w:rPr>
          <w:rFonts w:eastAsia="Calibri"/>
          <w:b/>
          <w:bCs/>
          <w:kern w:val="2"/>
          <w:position w:val="0"/>
          <w14:ligatures w14:val="standardContextual"/>
        </w:rPr>
      </w:pPr>
    </w:p>
    <w:p w14:paraId="5107C931" w14:textId="77777777" w:rsidR="00D50069" w:rsidRDefault="00D50069" w:rsidP="00D50069">
      <w:pPr>
        <w:spacing w:after="160" w:line="480" w:lineRule="auto"/>
        <w:rPr>
          <w:rFonts w:eastAsia="Calibri"/>
          <w:b/>
          <w:bCs/>
          <w:kern w:val="2"/>
          <w:position w:val="0"/>
          <w14:ligatures w14:val="standardContextual"/>
        </w:rPr>
      </w:pPr>
    </w:p>
    <w:p w14:paraId="3A6CD3EC" w14:textId="77777777" w:rsidR="00113048" w:rsidRDefault="00113048" w:rsidP="00D50069">
      <w:pPr>
        <w:spacing w:after="160" w:line="480" w:lineRule="auto"/>
        <w:rPr>
          <w:rFonts w:eastAsia="Calibri"/>
          <w:b/>
          <w:bCs/>
          <w:kern w:val="2"/>
          <w:position w:val="0"/>
          <w14:ligatures w14:val="standardContextual"/>
        </w:rPr>
      </w:pPr>
    </w:p>
    <w:p w14:paraId="47546739" w14:textId="77777777" w:rsidR="00113048" w:rsidRPr="00D50069" w:rsidRDefault="00113048" w:rsidP="00D50069">
      <w:pPr>
        <w:spacing w:after="160" w:line="480" w:lineRule="auto"/>
        <w:rPr>
          <w:rFonts w:eastAsia="Calibri"/>
          <w:b/>
          <w:bCs/>
          <w:kern w:val="2"/>
          <w:position w:val="0"/>
          <w14:ligatures w14:val="standardContextual"/>
        </w:rPr>
      </w:pPr>
    </w:p>
    <w:p w14:paraId="32BE4B65" w14:textId="77777777" w:rsidR="00D50069" w:rsidRPr="00D50069" w:rsidRDefault="00D50069" w:rsidP="00D50069">
      <w:pPr>
        <w:spacing w:after="160" w:line="480" w:lineRule="auto"/>
        <w:rPr>
          <w:rFonts w:eastAsia="Calibri"/>
          <w:b/>
          <w:bCs/>
          <w:kern w:val="2"/>
          <w:position w:val="0"/>
          <w14:ligatures w14:val="standardContextual"/>
        </w:rPr>
      </w:pPr>
    </w:p>
    <w:p w14:paraId="495F3F6D" w14:textId="77777777" w:rsidR="00D50069" w:rsidRDefault="00D50069" w:rsidP="00D50069">
      <w:pPr>
        <w:spacing w:after="160" w:line="480" w:lineRule="auto"/>
        <w:rPr>
          <w:rFonts w:eastAsia="Calibri"/>
          <w:b/>
          <w:bCs/>
          <w:kern w:val="2"/>
          <w:position w:val="0"/>
          <w14:ligatures w14:val="standardContextual"/>
        </w:rPr>
      </w:pPr>
    </w:p>
    <w:p w14:paraId="1A5765F9" w14:textId="77777777" w:rsidR="00467E0F" w:rsidRDefault="00467E0F" w:rsidP="00D50069">
      <w:pPr>
        <w:spacing w:after="160" w:line="480" w:lineRule="auto"/>
        <w:rPr>
          <w:rFonts w:eastAsia="Calibri"/>
          <w:b/>
          <w:bCs/>
          <w:kern w:val="2"/>
          <w:position w:val="0"/>
          <w14:ligatures w14:val="standardContextual"/>
        </w:rPr>
      </w:pPr>
    </w:p>
    <w:p w14:paraId="25B35FEB" w14:textId="77777777" w:rsidR="00D50069" w:rsidRDefault="00D50069" w:rsidP="00D50069">
      <w:pPr>
        <w:spacing w:after="160" w:line="480" w:lineRule="auto"/>
        <w:rPr>
          <w:rFonts w:eastAsia="Calibri"/>
          <w:b/>
          <w:bCs/>
          <w:kern w:val="2"/>
          <w:position w:val="0"/>
          <w14:ligatures w14:val="standardContextual"/>
        </w:rPr>
      </w:pPr>
    </w:p>
    <w:p w14:paraId="2999879D" w14:textId="77777777" w:rsidR="00467E0F" w:rsidRPr="00D50069" w:rsidRDefault="00467E0F" w:rsidP="00D50069">
      <w:pPr>
        <w:spacing w:after="160" w:line="480" w:lineRule="auto"/>
        <w:rPr>
          <w:rFonts w:eastAsia="Calibri"/>
          <w:b/>
          <w:bCs/>
          <w:kern w:val="2"/>
          <w:position w:val="0"/>
          <w14:ligatures w14:val="standardContextual"/>
        </w:rPr>
      </w:pPr>
    </w:p>
    <w:p w14:paraId="6D73890B" w14:textId="77777777" w:rsidR="00D50069" w:rsidRPr="00D50069" w:rsidRDefault="00D50069" w:rsidP="00AA5DBF">
      <w:pPr>
        <w:pStyle w:val="Titre1"/>
      </w:pPr>
      <w:bookmarkStart w:id="276" w:name="_Toc200486095"/>
      <w:r w:rsidRPr="00D50069">
        <w:lastRenderedPageBreak/>
        <w:t>General Conclusion</w:t>
      </w:r>
      <w:bookmarkEnd w:id="276"/>
    </w:p>
    <w:p w14:paraId="0908F489" w14:textId="77777777" w:rsidR="002A67E0" w:rsidRDefault="00D50069" w:rsidP="002A67E0">
      <w:pPr>
        <w:spacing w:after="160" w:line="480" w:lineRule="auto"/>
        <w:ind w:firstLine="567"/>
        <w:jc w:val="both"/>
        <w:rPr>
          <w:rFonts w:eastAsia="Calibri"/>
          <w:kern w:val="2"/>
          <w:position w:val="0"/>
          <w14:ligatures w14:val="standardContextual"/>
        </w:rPr>
      </w:pPr>
      <w:r w:rsidRPr="00D50069">
        <w:rPr>
          <w:rFonts w:eastAsia="Calibri"/>
          <w:kern w:val="2"/>
          <w:position w:val="0"/>
          <w14:ligatures w14:val="standardContextual"/>
        </w:rPr>
        <w:t xml:space="preserve">Online Teacher Communities offer EFL teachers continuous, flexible and accessible learning opportunities. In contemporary educational contexts, an increasing number of EFL teachers have virtually set up professional communities to discuss pedagogical challenges and collaboratively develop their instructional practices. These collaborative groups, which can be both formal and informal, </w:t>
      </w:r>
      <w:proofErr w:type="gramStart"/>
      <w:r w:rsidRPr="00D50069">
        <w:rPr>
          <w:rFonts w:eastAsia="Calibri"/>
          <w:kern w:val="2"/>
          <w:position w:val="0"/>
          <w14:ligatures w14:val="standardContextual"/>
        </w:rPr>
        <w:t>are often facilitated</w:t>
      </w:r>
      <w:proofErr w:type="gramEnd"/>
      <w:r w:rsidRPr="00D50069">
        <w:rPr>
          <w:rFonts w:eastAsia="Calibri"/>
          <w:kern w:val="2"/>
          <w:position w:val="0"/>
          <w14:ligatures w14:val="standardContextual"/>
        </w:rPr>
        <w:t xml:space="preserve"> through online platforms. The purpose of current research study is to explore the effectiveness of OTCs in improving EFL Algerian middle school teachers’ summative assessment literacy. It intends to examine teachers’ competence in mastering theoretical content knowledge related to assessment, their competency to apply these conceptual foundations in preparing valid and reliable assessment methods and the strategies employed to engage in self or peer assessments as part of learning.</w:t>
      </w:r>
    </w:p>
    <w:p w14:paraId="66069F84" w14:textId="6F67101C" w:rsidR="002A67E0" w:rsidRDefault="00D50069" w:rsidP="002A67E0">
      <w:pPr>
        <w:spacing w:after="160" w:line="480" w:lineRule="auto"/>
        <w:ind w:firstLine="567"/>
        <w:jc w:val="both"/>
        <w:rPr>
          <w:rFonts w:eastAsia="Calibri"/>
          <w:kern w:val="2"/>
          <w:position w:val="0"/>
          <w14:ligatures w14:val="standardContextual"/>
        </w:rPr>
      </w:pPr>
      <w:r w:rsidRPr="00D50069">
        <w:rPr>
          <w:rFonts w:eastAsia="Calibri"/>
          <w:kern w:val="2"/>
          <w:position w:val="0"/>
          <w14:ligatures w14:val="standardContextual"/>
        </w:rPr>
        <w:t xml:space="preserve">To obtain a comprehensive understanding of the research problem and triangulate the achieved findings, various tools </w:t>
      </w:r>
      <w:proofErr w:type="gramStart"/>
      <w:r w:rsidRPr="00D50069">
        <w:rPr>
          <w:rFonts w:eastAsia="Calibri"/>
          <w:kern w:val="2"/>
          <w:position w:val="0"/>
          <w14:ligatures w14:val="standardContextual"/>
        </w:rPr>
        <w:t>were adopted</w:t>
      </w:r>
      <w:proofErr w:type="gramEnd"/>
      <w:r w:rsidRPr="00D50069">
        <w:rPr>
          <w:rFonts w:eastAsia="Calibri"/>
          <w:kern w:val="2"/>
          <w:position w:val="0"/>
          <w14:ligatures w14:val="standardContextual"/>
        </w:rPr>
        <w:t xml:space="preserve"> to collect, analyze and interpret data. Firstly, it constitutes a participant </w:t>
      </w:r>
      <w:r w:rsidR="00F86095">
        <w:rPr>
          <w:rFonts w:eastAsia="Calibri"/>
          <w:kern w:val="2"/>
          <w:position w:val="0"/>
          <w14:ligatures w14:val="standardContextual"/>
        </w:rPr>
        <w:t>unstructured</w:t>
      </w:r>
      <w:r w:rsidRPr="00D50069">
        <w:rPr>
          <w:rFonts w:eastAsia="Calibri"/>
          <w:kern w:val="2"/>
          <w:position w:val="0"/>
          <w14:ligatures w14:val="standardContextual"/>
        </w:rPr>
        <w:t xml:space="preserve"> observation of District 4 Teacher Corner Online Community led by the inspector of EFL middle school teachers in </w:t>
      </w:r>
      <w:proofErr w:type="spellStart"/>
      <w:r w:rsidRPr="00D50069">
        <w:rPr>
          <w:rFonts w:eastAsia="Calibri"/>
          <w:kern w:val="2"/>
          <w:position w:val="0"/>
          <w14:ligatures w14:val="standardContextual"/>
        </w:rPr>
        <w:t>M’sila</w:t>
      </w:r>
      <w:proofErr w:type="spellEnd"/>
      <w:r w:rsidRPr="00D50069">
        <w:rPr>
          <w:rFonts w:eastAsia="Calibri"/>
          <w:kern w:val="2"/>
          <w:position w:val="0"/>
          <w14:ligatures w14:val="standardContextual"/>
        </w:rPr>
        <w:t xml:space="preserve">. This allows researchers to observe what participants do and how they interact to discuss issues and solve pedagogical assessment-oriented problems in authentic virtual settings. Furthermore, face-to-face and online interviews with middle school teachers of English, who are members of District 4, generated insightful findings. They assumed that OTCs are effective in developing their summative assessment competencies. In addition, the inspector, Mr. </w:t>
      </w:r>
      <w:proofErr w:type="spellStart"/>
      <w:r w:rsidRPr="00D50069">
        <w:rPr>
          <w:rFonts w:eastAsia="Calibri"/>
          <w:kern w:val="2"/>
          <w:position w:val="0"/>
          <w14:ligatures w14:val="standardContextual"/>
        </w:rPr>
        <w:t>Othmani</w:t>
      </w:r>
      <w:proofErr w:type="spellEnd"/>
      <w:r w:rsidRPr="00D50069">
        <w:rPr>
          <w:rFonts w:eastAsia="Calibri"/>
          <w:kern w:val="2"/>
          <w:position w:val="0"/>
          <w14:ligatures w14:val="standardContextual"/>
        </w:rPr>
        <w:t xml:space="preserve"> </w:t>
      </w:r>
      <w:proofErr w:type="spellStart"/>
      <w:r w:rsidRPr="00D50069">
        <w:rPr>
          <w:rFonts w:eastAsia="Calibri"/>
          <w:kern w:val="2"/>
          <w:position w:val="0"/>
          <w14:ligatures w14:val="standardContextual"/>
        </w:rPr>
        <w:t>Kamel</w:t>
      </w:r>
      <w:proofErr w:type="spellEnd"/>
      <w:r w:rsidRPr="00D50069">
        <w:rPr>
          <w:rFonts w:eastAsia="Calibri"/>
          <w:kern w:val="2"/>
          <w:position w:val="0"/>
          <w14:ligatures w14:val="standardContextual"/>
        </w:rPr>
        <w:t xml:space="preserve">, </w:t>
      </w:r>
      <w:proofErr w:type="gramStart"/>
      <w:r w:rsidRPr="00D50069">
        <w:rPr>
          <w:rFonts w:eastAsia="Calibri"/>
          <w:kern w:val="2"/>
          <w:position w:val="0"/>
          <w14:ligatures w14:val="standardContextual"/>
        </w:rPr>
        <w:t>was interviewed</w:t>
      </w:r>
      <w:proofErr w:type="gramEnd"/>
      <w:r w:rsidRPr="00D50069">
        <w:rPr>
          <w:rFonts w:eastAsia="Calibri"/>
          <w:kern w:val="2"/>
          <w:position w:val="0"/>
          <w14:ligatures w14:val="standardContextual"/>
        </w:rPr>
        <w:t xml:space="preserve"> through Google Meet. His experience offered an important, informative and pertinent </w:t>
      </w:r>
      <w:proofErr w:type="gramStart"/>
      <w:r w:rsidRPr="00D50069">
        <w:rPr>
          <w:rFonts w:eastAsia="Calibri"/>
          <w:kern w:val="2"/>
          <w:position w:val="0"/>
          <w14:ligatures w14:val="standardContextual"/>
        </w:rPr>
        <w:t>contribution which</w:t>
      </w:r>
      <w:proofErr w:type="gramEnd"/>
      <w:r w:rsidRPr="00D50069">
        <w:rPr>
          <w:rFonts w:eastAsia="Calibri"/>
          <w:kern w:val="2"/>
          <w:position w:val="0"/>
          <w14:ligatures w14:val="standardContextual"/>
        </w:rPr>
        <w:t xml:space="preserve"> strengthened the validity of data collected from the questionnaire. What is more, the questionnaire, which </w:t>
      </w:r>
      <w:proofErr w:type="gramStart"/>
      <w:r w:rsidRPr="00D50069">
        <w:rPr>
          <w:rFonts w:eastAsia="Calibri"/>
          <w:kern w:val="2"/>
          <w:position w:val="0"/>
          <w14:ligatures w14:val="standardContextual"/>
        </w:rPr>
        <w:t>was submitted</w:t>
      </w:r>
      <w:proofErr w:type="gramEnd"/>
      <w:r w:rsidRPr="00D50069">
        <w:rPr>
          <w:rFonts w:eastAsia="Calibri"/>
          <w:kern w:val="2"/>
          <w:position w:val="0"/>
          <w14:ligatures w14:val="standardContextual"/>
        </w:rPr>
        <w:t xml:space="preserve"> to EFL teachers online, provided quantitative data that supported objective evaluation of participants’ perceptions, attitudes and </w:t>
      </w:r>
      <w:proofErr w:type="spellStart"/>
      <w:r w:rsidRPr="00D50069">
        <w:rPr>
          <w:rFonts w:eastAsia="Calibri"/>
          <w:kern w:val="2"/>
          <w:position w:val="0"/>
          <w14:ligatures w14:val="standardContextual"/>
        </w:rPr>
        <w:t>behaviours</w:t>
      </w:r>
      <w:proofErr w:type="spellEnd"/>
      <w:r w:rsidRPr="00D50069">
        <w:rPr>
          <w:rFonts w:eastAsia="Calibri"/>
          <w:kern w:val="2"/>
          <w:position w:val="0"/>
          <w14:ligatures w14:val="standardContextual"/>
        </w:rPr>
        <w:t xml:space="preserve">, indicating a widespread agreement on the usefulness of OTCs. </w:t>
      </w:r>
    </w:p>
    <w:p w14:paraId="0A538251" w14:textId="5A400B84" w:rsidR="00D50069" w:rsidRPr="00D50069" w:rsidRDefault="00D50069" w:rsidP="002A67E0">
      <w:pPr>
        <w:spacing w:after="160" w:line="480" w:lineRule="auto"/>
        <w:ind w:firstLine="567"/>
        <w:jc w:val="both"/>
        <w:rPr>
          <w:rFonts w:eastAsia="Calibri"/>
          <w:kern w:val="2"/>
          <w:position w:val="0"/>
          <w14:ligatures w14:val="standardContextual"/>
        </w:rPr>
      </w:pPr>
      <w:r w:rsidRPr="00D50069">
        <w:rPr>
          <w:rFonts w:eastAsia="Calibri"/>
          <w:kern w:val="2"/>
          <w:position w:val="0"/>
          <w14:ligatures w14:val="standardContextual"/>
        </w:rPr>
        <w:lastRenderedPageBreak/>
        <w:t xml:space="preserve">To conclude, all research tools affirmed that collaboration and reflection within OTCs support teachers’ continuous assessment skill development. The findings of this research study offer actionable pedagogical implications for teachers, inspectors and policy makers. They help facilitate teacher training and professional development programs to promote action research and address teachers’ assessment literacy gaps. This study initiates significant future researches about online teacher learning communities that may remarkably benefit didactics of EFL learning and teaching.  </w:t>
      </w:r>
    </w:p>
    <w:p w14:paraId="40BB18B2" w14:textId="77777777" w:rsidR="00D50069" w:rsidRPr="00D50069" w:rsidRDefault="00D50069" w:rsidP="00D50069">
      <w:pPr>
        <w:spacing w:after="160" w:line="480" w:lineRule="auto"/>
        <w:jc w:val="both"/>
        <w:rPr>
          <w:rFonts w:eastAsia="Calibri"/>
          <w:kern w:val="2"/>
          <w:position w:val="0"/>
          <w14:ligatures w14:val="standardContextual"/>
        </w:rPr>
      </w:pPr>
    </w:p>
    <w:p w14:paraId="64AF3223" w14:textId="77777777" w:rsidR="00D50069" w:rsidRPr="00D50069" w:rsidRDefault="00D50069" w:rsidP="00D50069">
      <w:pPr>
        <w:spacing w:after="160" w:line="480" w:lineRule="auto"/>
        <w:jc w:val="both"/>
        <w:rPr>
          <w:rFonts w:eastAsia="Calibri"/>
          <w:kern w:val="2"/>
          <w:position w:val="0"/>
          <w14:ligatures w14:val="standardContextual"/>
        </w:rPr>
      </w:pPr>
    </w:p>
    <w:p w14:paraId="302361E0" w14:textId="77777777" w:rsidR="00D50069" w:rsidRPr="00D50069" w:rsidRDefault="00D50069" w:rsidP="00D50069">
      <w:pPr>
        <w:spacing w:after="160" w:line="480" w:lineRule="auto"/>
        <w:jc w:val="both"/>
        <w:rPr>
          <w:rFonts w:eastAsia="Calibri"/>
          <w:kern w:val="2"/>
          <w:position w:val="0"/>
          <w14:ligatures w14:val="standardContextual"/>
        </w:rPr>
      </w:pPr>
    </w:p>
    <w:p w14:paraId="586E9D33" w14:textId="77777777" w:rsidR="00D50069" w:rsidRPr="00D50069" w:rsidRDefault="00D50069" w:rsidP="00D50069">
      <w:pPr>
        <w:spacing w:after="160" w:line="480" w:lineRule="auto"/>
        <w:jc w:val="both"/>
        <w:rPr>
          <w:rFonts w:eastAsia="Calibri"/>
          <w:kern w:val="2"/>
          <w:position w:val="0"/>
          <w14:ligatures w14:val="standardContextual"/>
        </w:rPr>
      </w:pPr>
    </w:p>
    <w:p w14:paraId="26918AAA" w14:textId="77777777" w:rsidR="00D50069" w:rsidRPr="00D50069" w:rsidRDefault="00D50069" w:rsidP="00D50069">
      <w:pPr>
        <w:spacing w:after="160" w:line="480" w:lineRule="auto"/>
        <w:jc w:val="both"/>
        <w:rPr>
          <w:rFonts w:eastAsia="Calibri"/>
          <w:kern w:val="2"/>
          <w:position w:val="0"/>
          <w14:ligatures w14:val="standardContextual"/>
        </w:rPr>
      </w:pPr>
    </w:p>
    <w:p w14:paraId="38816D21" w14:textId="77777777" w:rsidR="00D50069" w:rsidRPr="00D50069" w:rsidRDefault="00D50069" w:rsidP="00D50069">
      <w:pPr>
        <w:spacing w:after="160" w:line="480" w:lineRule="auto"/>
        <w:jc w:val="both"/>
        <w:rPr>
          <w:rFonts w:eastAsia="Calibri"/>
          <w:kern w:val="2"/>
          <w:position w:val="0"/>
          <w14:ligatures w14:val="standardContextual"/>
        </w:rPr>
      </w:pPr>
    </w:p>
    <w:p w14:paraId="58446EDE" w14:textId="77777777" w:rsidR="00D50069" w:rsidRPr="00D50069" w:rsidRDefault="00D50069" w:rsidP="00D50069">
      <w:pPr>
        <w:spacing w:after="160" w:line="480" w:lineRule="auto"/>
        <w:jc w:val="both"/>
        <w:rPr>
          <w:rFonts w:eastAsia="Calibri"/>
          <w:kern w:val="2"/>
          <w:position w:val="0"/>
          <w14:ligatures w14:val="standardContextual"/>
        </w:rPr>
      </w:pPr>
    </w:p>
    <w:p w14:paraId="545E195B" w14:textId="77777777" w:rsidR="00D50069" w:rsidRPr="00D50069" w:rsidRDefault="00D50069" w:rsidP="00D50069">
      <w:pPr>
        <w:spacing w:after="160" w:line="480" w:lineRule="auto"/>
        <w:jc w:val="both"/>
        <w:rPr>
          <w:rFonts w:eastAsia="Calibri"/>
          <w:kern w:val="2"/>
          <w:position w:val="0"/>
          <w14:ligatures w14:val="standardContextual"/>
        </w:rPr>
      </w:pPr>
    </w:p>
    <w:p w14:paraId="38FFA8AD" w14:textId="77777777" w:rsidR="00D50069" w:rsidRPr="00D50069" w:rsidRDefault="00D50069" w:rsidP="00D50069">
      <w:pPr>
        <w:spacing w:after="160" w:line="480" w:lineRule="auto"/>
        <w:jc w:val="both"/>
        <w:rPr>
          <w:rFonts w:eastAsia="Calibri"/>
          <w:kern w:val="2"/>
          <w:position w:val="0"/>
          <w14:ligatures w14:val="standardContextual"/>
        </w:rPr>
      </w:pPr>
    </w:p>
    <w:p w14:paraId="42F6CEE9" w14:textId="77777777" w:rsidR="00D50069" w:rsidRPr="00D50069" w:rsidRDefault="00D50069" w:rsidP="00D50069">
      <w:pPr>
        <w:spacing w:after="160" w:line="480" w:lineRule="auto"/>
        <w:jc w:val="both"/>
        <w:rPr>
          <w:rFonts w:eastAsia="Calibri"/>
          <w:kern w:val="2"/>
          <w:position w:val="0"/>
          <w14:ligatures w14:val="standardContextual"/>
        </w:rPr>
      </w:pPr>
    </w:p>
    <w:p w14:paraId="2B416357" w14:textId="77777777" w:rsidR="00CF3DB4" w:rsidRPr="00CF3DB4" w:rsidRDefault="00CF3DB4" w:rsidP="00CF3DB4">
      <w:pPr>
        <w:spacing w:after="160" w:line="480" w:lineRule="auto"/>
        <w:jc w:val="both"/>
        <w:rPr>
          <w:rFonts w:eastAsia="Calibri"/>
          <w:kern w:val="2"/>
          <w:position w:val="0"/>
          <w14:ligatures w14:val="standardContextual"/>
        </w:rPr>
      </w:pPr>
    </w:p>
    <w:p w14:paraId="068CC4A5" w14:textId="77777777" w:rsidR="00CF3DB4" w:rsidRDefault="00CF3DB4" w:rsidP="00CF3DB4">
      <w:pPr>
        <w:spacing w:after="160" w:line="480" w:lineRule="auto"/>
        <w:jc w:val="both"/>
        <w:rPr>
          <w:rFonts w:eastAsia="Calibri"/>
          <w:kern w:val="2"/>
          <w:position w:val="0"/>
          <w14:ligatures w14:val="standardContextual"/>
        </w:rPr>
      </w:pPr>
    </w:p>
    <w:p w14:paraId="7186A31E" w14:textId="77777777" w:rsidR="002A67E0" w:rsidRPr="00CF3DB4" w:rsidRDefault="002A67E0" w:rsidP="00CF3DB4">
      <w:pPr>
        <w:spacing w:after="160" w:line="480" w:lineRule="auto"/>
        <w:jc w:val="both"/>
        <w:rPr>
          <w:rFonts w:eastAsia="Calibri"/>
          <w:kern w:val="2"/>
          <w:position w:val="0"/>
          <w14:ligatures w14:val="standardContextual"/>
        </w:rPr>
      </w:pPr>
    </w:p>
    <w:p w14:paraId="34A97D74" w14:textId="77777777" w:rsidR="00345650" w:rsidRPr="002D5A9B" w:rsidRDefault="00345650" w:rsidP="00AA5DBF">
      <w:pPr>
        <w:pStyle w:val="Titre1"/>
      </w:pPr>
      <w:bookmarkStart w:id="277" w:name="_Toc200486096"/>
      <w:r w:rsidRPr="002D5A9B">
        <w:lastRenderedPageBreak/>
        <w:t>References</w:t>
      </w:r>
      <w:bookmarkEnd w:id="277"/>
    </w:p>
    <w:p w14:paraId="653E90AC" w14:textId="3D3E4B62" w:rsidR="00345650" w:rsidRPr="00F346A8" w:rsidRDefault="00345650" w:rsidP="00FE6499">
      <w:pPr>
        <w:pStyle w:val="Paragraphedeliste"/>
        <w:numPr>
          <w:ilvl w:val="0"/>
          <w:numId w:val="13"/>
        </w:numPr>
        <w:spacing w:before="100" w:beforeAutospacing="1" w:after="100" w:afterAutospacing="1" w:line="240" w:lineRule="auto"/>
        <w:ind w:hanging="720"/>
        <w:contextualSpacing w:val="0"/>
        <w:rPr>
          <w:rFonts w:asciiTheme="majorBidi" w:hAnsiTheme="majorBidi" w:cstheme="majorBidi"/>
          <w:lang w:val="en-US"/>
        </w:rPr>
      </w:pPr>
      <w:bookmarkStart w:id="278" w:name="_Toc200486097"/>
      <w:r w:rsidRPr="00F346A8">
        <w:rPr>
          <w:rFonts w:asciiTheme="majorBidi" w:hAnsiTheme="majorBidi" w:cstheme="majorBidi"/>
          <w:lang w:val="en-US"/>
        </w:rPr>
        <w:t xml:space="preserve">Schmitt, N., &amp; Rodgers, M. P. H. (Eds.). (2020). </w:t>
      </w:r>
      <w:proofErr w:type="gramStart"/>
      <w:r w:rsidRPr="00F346A8">
        <w:rPr>
          <w:rFonts w:asciiTheme="majorBidi" w:hAnsiTheme="majorBidi" w:cstheme="majorBidi"/>
          <w:lang w:val="en-US"/>
        </w:rPr>
        <w:t>An</w:t>
      </w:r>
      <w:proofErr w:type="gramEnd"/>
      <w:r w:rsidRPr="00F346A8">
        <w:rPr>
          <w:rFonts w:asciiTheme="majorBidi" w:hAnsiTheme="majorBidi" w:cstheme="majorBidi"/>
          <w:lang w:val="en-US"/>
        </w:rPr>
        <w:t xml:space="preserve"> introduction to applied linguistics (3rd </w:t>
      </w:r>
      <w:r w:rsidR="00F346A8">
        <w:rPr>
          <w:rFonts w:asciiTheme="majorBidi" w:hAnsiTheme="majorBidi" w:cstheme="majorBidi"/>
          <w:lang w:val="en-US"/>
        </w:rPr>
        <w:t xml:space="preserve">  </w:t>
      </w:r>
      <w:r w:rsidR="00FE6499">
        <w:rPr>
          <w:rFonts w:asciiTheme="majorBidi" w:hAnsiTheme="majorBidi" w:cstheme="majorBidi"/>
          <w:lang w:val="en-US"/>
        </w:rPr>
        <w:t xml:space="preserve">      </w:t>
      </w:r>
      <w:r w:rsidRPr="00F346A8">
        <w:rPr>
          <w:rFonts w:asciiTheme="majorBidi" w:hAnsiTheme="majorBidi" w:cstheme="majorBidi"/>
          <w:lang w:val="en-US"/>
        </w:rPr>
        <w:t xml:space="preserve">ed.). Routledge. </w:t>
      </w:r>
      <w:hyperlink r:id="rId78" w:history="1">
        <w:r w:rsidRPr="00F346A8">
          <w:rPr>
            <w:rStyle w:val="Lienhypertexte"/>
            <w:rFonts w:asciiTheme="majorBidi" w:hAnsiTheme="majorBidi" w:cstheme="majorBidi"/>
            <w:lang w:val="en-US"/>
          </w:rPr>
          <w:t>https://doi.org/10.4324/9780429424465</w:t>
        </w:r>
        <w:bookmarkEnd w:id="278"/>
      </w:hyperlink>
    </w:p>
    <w:p w14:paraId="2C4105E7" w14:textId="77777777" w:rsidR="00345650" w:rsidRPr="00F346A8"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rPr>
      </w:pPr>
      <w:bookmarkStart w:id="279" w:name="_Toc200486098"/>
      <w:proofErr w:type="spellStart"/>
      <w:r w:rsidRPr="00F346A8">
        <w:rPr>
          <w:rFonts w:asciiTheme="majorBidi" w:hAnsiTheme="majorBidi" w:cstheme="majorBidi"/>
          <w:lang w:val="en-US"/>
        </w:rPr>
        <w:t>Juma</w:t>
      </w:r>
      <w:proofErr w:type="spellEnd"/>
      <w:r w:rsidRPr="00F346A8">
        <w:rPr>
          <w:rFonts w:asciiTheme="majorBidi" w:hAnsiTheme="majorBidi" w:cstheme="majorBidi"/>
          <w:lang w:val="en-US"/>
        </w:rPr>
        <w:t xml:space="preserve">, S., </w:t>
      </w:r>
      <w:proofErr w:type="spellStart"/>
      <w:r w:rsidRPr="00F346A8">
        <w:rPr>
          <w:rFonts w:asciiTheme="majorBidi" w:hAnsiTheme="majorBidi" w:cstheme="majorBidi"/>
          <w:lang w:val="en-US"/>
        </w:rPr>
        <w:t>Lehtomäki</w:t>
      </w:r>
      <w:proofErr w:type="spellEnd"/>
      <w:r w:rsidRPr="00F346A8">
        <w:rPr>
          <w:rFonts w:asciiTheme="majorBidi" w:hAnsiTheme="majorBidi" w:cstheme="majorBidi"/>
          <w:lang w:val="en-US"/>
        </w:rPr>
        <w:t xml:space="preserve">, E., &amp; </w:t>
      </w:r>
      <w:proofErr w:type="spellStart"/>
      <w:r w:rsidRPr="00F346A8">
        <w:rPr>
          <w:rFonts w:asciiTheme="majorBidi" w:hAnsiTheme="majorBidi" w:cstheme="majorBidi"/>
          <w:lang w:val="en-US"/>
        </w:rPr>
        <w:t>Naukkarinen</w:t>
      </w:r>
      <w:proofErr w:type="spellEnd"/>
      <w:r w:rsidRPr="00F346A8">
        <w:rPr>
          <w:rFonts w:asciiTheme="majorBidi" w:hAnsiTheme="majorBidi" w:cstheme="majorBidi"/>
          <w:lang w:val="en-US"/>
        </w:rPr>
        <w:t>, A. (2017). Scaffolding teachers to foster inclusive pedagogy and presence through collaborative action research. </w:t>
      </w:r>
      <w:proofErr w:type="spellStart"/>
      <w:r w:rsidRPr="00F346A8">
        <w:rPr>
          <w:rFonts w:asciiTheme="majorBidi" w:hAnsiTheme="majorBidi" w:cstheme="majorBidi"/>
          <w:i/>
          <w:iCs/>
        </w:rPr>
        <w:t>Educational</w:t>
      </w:r>
      <w:proofErr w:type="spellEnd"/>
      <w:r w:rsidRPr="00F346A8">
        <w:rPr>
          <w:rFonts w:asciiTheme="majorBidi" w:hAnsiTheme="majorBidi" w:cstheme="majorBidi"/>
          <w:i/>
          <w:iCs/>
        </w:rPr>
        <w:t xml:space="preserve"> Action </w:t>
      </w:r>
      <w:proofErr w:type="spellStart"/>
      <w:r w:rsidRPr="00F346A8">
        <w:rPr>
          <w:rFonts w:asciiTheme="majorBidi" w:hAnsiTheme="majorBidi" w:cstheme="majorBidi"/>
          <w:i/>
          <w:iCs/>
        </w:rPr>
        <w:t>Research</w:t>
      </w:r>
      <w:proofErr w:type="spellEnd"/>
      <w:r w:rsidRPr="00F346A8">
        <w:rPr>
          <w:rFonts w:asciiTheme="majorBidi" w:hAnsiTheme="majorBidi" w:cstheme="majorBidi"/>
        </w:rPr>
        <w:t>, </w:t>
      </w:r>
      <w:r w:rsidRPr="00F346A8">
        <w:rPr>
          <w:rFonts w:asciiTheme="majorBidi" w:hAnsiTheme="majorBidi" w:cstheme="majorBidi"/>
          <w:i/>
          <w:iCs/>
        </w:rPr>
        <w:t>25</w:t>
      </w:r>
      <w:r w:rsidRPr="00F346A8">
        <w:rPr>
          <w:rFonts w:asciiTheme="majorBidi" w:hAnsiTheme="majorBidi" w:cstheme="majorBidi"/>
        </w:rPr>
        <w:t>(5), 720-736.</w:t>
      </w:r>
      <w:bookmarkEnd w:id="279"/>
    </w:p>
    <w:p w14:paraId="558C4C94" w14:textId="77777777" w:rsidR="00345650" w:rsidRPr="00670BB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lang w:val="en-US"/>
        </w:rPr>
      </w:pPr>
      <w:bookmarkStart w:id="280" w:name="_Toc200486099"/>
      <w:r w:rsidRPr="00670BBF">
        <w:rPr>
          <w:rFonts w:asciiTheme="majorBidi" w:hAnsiTheme="majorBidi" w:cstheme="majorBidi"/>
          <w:lang w:val="en-US"/>
        </w:rPr>
        <w:t xml:space="preserve">Marzano, R. J., Pickering, D., &amp; </w:t>
      </w:r>
      <w:proofErr w:type="spellStart"/>
      <w:r w:rsidRPr="00670BBF">
        <w:rPr>
          <w:rFonts w:asciiTheme="majorBidi" w:hAnsiTheme="majorBidi" w:cstheme="majorBidi"/>
          <w:lang w:val="en-US"/>
        </w:rPr>
        <w:t>McTighe</w:t>
      </w:r>
      <w:proofErr w:type="spellEnd"/>
      <w:r w:rsidRPr="00670BBF">
        <w:rPr>
          <w:rFonts w:asciiTheme="majorBidi" w:hAnsiTheme="majorBidi" w:cstheme="majorBidi"/>
          <w:lang w:val="en-US"/>
        </w:rPr>
        <w:t>, J. (1993). </w:t>
      </w:r>
      <w:r w:rsidRPr="00670BBF">
        <w:rPr>
          <w:rFonts w:asciiTheme="majorBidi" w:hAnsiTheme="majorBidi" w:cstheme="majorBidi"/>
          <w:i/>
          <w:iCs/>
          <w:lang w:val="en-US"/>
        </w:rPr>
        <w:t>Assessing student outcomes: Performance assessment using the dimensions of learning model</w:t>
      </w:r>
      <w:r w:rsidRPr="00670BBF">
        <w:rPr>
          <w:rFonts w:asciiTheme="majorBidi" w:hAnsiTheme="majorBidi" w:cstheme="majorBidi"/>
          <w:lang w:val="en-US"/>
        </w:rPr>
        <w:t>. Association for Supervision and Curriculum Development, 1250 N. Pitt St., Alexandria, VA 22314 (Stock Number 611-93179, $13.95).</w:t>
      </w:r>
      <w:bookmarkEnd w:id="280"/>
    </w:p>
    <w:p w14:paraId="0262A58F" w14:textId="77777777" w:rsidR="00345650" w:rsidRPr="00C31AF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rPr>
      </w:pPr>
      <w:bookmarkStart w:id="281" w:name="_Toc200486100"/>
      <w:proofErr w:type="spellStart"/>
      <w:r w:rsidRPr="00670BBF">
        <w:rPr>
          <w:rFonts w:asciiTheme="majorBidi" w:hAnsiTheme="majorBidi" w:cstheme="majorBidi"/>
          <w:lang w:val="en-US"/>
        </w:rPr>
        <w:t>Celce</w:t>
      </w:r>
      <w:proofErr w:type="spellEnd"/>
      <w:r w:rsidRPr="00670BBF">
        <w:rPr>
          <w:rFonts w:asciiTheme="majorBidi" w:hAnsiTheme="majorBidi" w:cstheme="majorBidi"/>
          <w:lang w:val="en-US"/>
        </w:rPr>
        <w:t xml:space="preserve">-Murcia, M., Brinton, D. M., &amp; Snow, M. A. (Eds.). (2014). Teaching English as a second or foreign language (4th </w:t>
      </w:r>
      <w:proofErr w:type="gramStart"/>
      <w:r w:rsidRPr="00670BBF">
        <w:rPr>
          <w:rFonts w:asciiTheme="majorBidi" w:hAnsiTheme="majorBidi" w:cstheme="majorBidi"/>
          <w:lang w:val="en-US"/>
        </w:rPr>
        <w:t>ed</w:t>
      </w:r>
      <w:proofErr w:type="gramEnd"/>
      <w:r w:rsidRPr="00670BBF">
        <w:rPr>
          <w:rFonts w:asciiTheme="majorBidi" w:hAnsiTheme="majorBidi" w:cstheme="majorBidi"/>
          <w:lang w:val="en-US"/>
        </w:rPr>
        <w:t xml:space="preserve">.). </w:t>
      </w:r>
      <w:r w:rsidRPr="00C31AFF">
        <w:rPr>
          <w:rFonts w:asciiTheme="majorBidi" w:hAnsiTheme="majorBidi" w:cstheme="majorBidi"/>
        </w:rPr>
        <w:t>National Geographic Learning.</w:t>
      </w:r>
      <w:bookmarkEnd w:id="281"/>
    </w:p>
    <w:p w14:paraId="1D75FF9F" w14:textId="77777777" w:rsidR="00345650" w:rsidRPr="00C31AF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rPr>
      </w:pPr>
      <w:bookmarkStart w:id="282" w:name="_Toc200486101"/>
      <w:r w:rsidRPr="00670BBF">
        <w:rPr>
          <w:rFonts w:asciiTheme="majorBidi" w:hAnsiTheme="majorBidi" w:cstheme="majorBidi"/>
          <w:lang w:val="en-US"/>
        </w:rPr>
        <w:t xml:space="preserve">Banta, T. W., &amp; </w:t>
      </w:r>
      <w:proofErr w:type="spellStart"/>
      <w:r w:rsidRPr="00670BBF">
        <w:rPr>
          <w:rFonts w:asciiTheme="majorBidi" w:hAnsiTheme="majorBidi" w:cstheme="majorBidi"/>
          <w:lang w:val="en-US"/>
        </w:rPr>
        <w:t>Palomba</w:t>
      </w:r>
      <w:proofErr w:type="spellEnd"/>
      <w:r w:rsidRPr="00670BBF">
        <w:rPr>
          <w:rFonts w:asciiTheme="majorBidi" w:hAnsiTheme="majorBidi" w:cstheme="majorBidi"/>
          <w:lang w:val="en-US"/>
        </w:rPr>
        <w:t>, C. A. (2014). </w:t>
      </w:r>
      <w:r w:rsidRPr="00670BBF">
        <w:rPr>
          <w:rFonts w:asciiTheme="majorBidi" w:hAnsiTheme="majorBidi" w:cstheme="majorBidi"/>
          <w:i/>
          <w:iCs/>
          <w:lang w:val="en-US"/>
        </w:rPr>
        <w:t>Assessment essentials: Planning, implementing, and improving assessment in higher education</w:t>
      </w:r>
      <w:r w:rsidRPr="00670BBF">
        <w:rPr>
          <w:rFonts w:asciiTheme="majorBidi" w:hAnsiTheme="majorBidi" w:cstheme="majorBidi"/>
          <w:lang w:val="en-US"/>
        </w:rPr>
        <w:t xml:space="preserve">. </w:t>
      </w:r>
      <w:r w:rsidRPr="00C31AFF">
        <w:rPr>
          <w:rFonts w:asciiTheme="majorBidi" w:hAnsiTheme="majorBidi" w:cstheme="majorBidi"/>
        </w:rPr>
        <w:t xml:space="preserve">John </w:t>
      </w:r>
      <w:proofErr w:type="spellStart"/>
      <w:r w:rsidRPr="00C31AFF">
        <w:rPr>
          <w:rFonts w:asciiTheme="majorBidi" w:hAnsiTheme="majorBidi" w:cstheme="majorBidi"/>
        </w:rPr>
        <w:t>Wiley</w:t>
      </w:r>
      <w:proofErr w:type="spellEnd"/>
      <w:r w:rsidRPr="00C31AFF">
        <w:rPr>
          <w:rFonts w:asciiTheme="majorBidi" w:hAnsiTheme="majorBidi" w:cstheme="majorBidi"/>
        </w:rPr>
        <w:t xml:space="preserve"> &amp; Sons.</w:t>
      </w:r>
      <w:bookmarkEnd w:id="282"/>
    </w:p>
    <w:p w14:paraId="52DC31BB" w14:textId="77777777" w:rsidR="00345650" w:rsidRPr="00C31AF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rPr>
      </w:pPr>
      <w:bookmarkStart w:id="283" w:name="_Toc200486102"/>
      <w:proofErr w:type="spellStart"/>
      <w:r w:rsidRPr="00C31AFF">
        <w:rPr>
          <w:rFonts w:asciiTheme="majorBidi" w:hAnsiTheme="majorBidi" w:cstheme="majorBidi"/>
        </w:rPr>
        <w:t>Stiggins</w:t>
      </w:r>
      <w:proofErr w:type="spellEnd"/>
      <w:r w:rsidRPr="00C31AFF">
        <w:rPr>
          <w:rFonts w:asciiTheme="majorBidi" w:hAnsiTheme="majorBidi" w:cstheme="majorBidi"/>
        </w:rPr>
        <w:t xml:space="preserve">, R. J., </w:t>
      </w:r>
      <w:proofErr w:type="spellStart"/>
      <w:r w:rsidRPr="00C31AFF">
        <w:rPr>
          <w:rFonts w:asciiTheme="majorBidi" w:hAnsiTheme="majorBidi" w:cstheme="majorBidi"/>
        </w:rPr>
        <w:t>Arter</w:t>
      </w:r>
      <w:proofErr w:type="spellEnd"/>
      <w:r w:rsidRPr="00C31AFF">
        <w:rPr>
          <w:rFonts w:asciiTheme="majorBidi" w:hAnsiTheme="majorBidi" w:cstheme="majorBidi"/>
        </w:rPr>
        <w:t>, J. A., &amp; Chappuis, J. (2004). </w:t>
      </w:r>
      <w:r w:rsidRPr="00670BBF">
        <w:rPr>
          <w:rFonts w:asciiTheme="majorBidi" w:hAnsiTheme="majorBidi" w:cstheme="majorBidi"/>
          <w:i/>
          <w:iCs/>
          <w:lang w:val="en-US"/>
        </w:rPr>
        <w:t>Classroom assessment for student learning: Doing it right, using it well</w:t>
      </w:r>
      <w:r w:rsidRPr="00670BBF">
        <w:rPr>
          <w:rFonts w:asciiTheme="majorBidi" w:hAnsiTheme="majorBidi" w:cstheme="majorBidi"/>
          <w:lang w:val="en-US"/>
        </w:rPr>
        <w:t xml:space="preserve">. </w:t>
      </w:r>
      <w:proofErr w:type="spellStart"/>
      <w:r w:rsidRPr="00C31AFF">
        <w:rPr>
          <w:rFonts w:asciiTheme="majorBidi" w:hAnsiTheme="majorBidi" w:cstheme="majorBidi"/>
        </w:rPr>
        <w:t>Assessment</w:t>
      </w:r>
      <w:proofErr w:type="spellEnd"/>
      <w:r w:rsidRPr="00C31AFF">
        <w:rPr>
          <w:rFonts w:asciiTheme="majorBidi" w:hAnsiTheme="majorBidi" w:cstheme="majorBidi"/>
        </w:rPr>
        <w:t xml:space="preserve"> Training Institute.</w:t>
      </w:r>
      <w:bookmarkEnd w:id="283"/>
    </w:p>
    <w:p w14:paraId="646CC1E7" w14:textId="77777777" w:rsidR="00345650" w:rsidRPr="00670BB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lang w:val="en-US"/>
        </w:rPr>
      </w:pPr>
      <w:bookmarkStart w:id="284" w:name="_Toc200486103"/>
      <w:proofErr w:type="spellStart"/>
      <w:r w:rsidRPr="00670BBF">
        <w:rPr>
          <w:rFonts w:asciiTheme="majorBidi" w:hAnsiTheme="majorBidi" w:cstheme="majorBidi"/>
          <w:lang w:val="en-US"/>
        </w:rPr>
        <w:t>Swaffield</w:t>
      </w:r>
      <w:proofErr w:type="spellEnd"/>
      <w:r w:rsidRPr="00670BBF">
        <w:rPr>
          <w:rFonts w:asciiTheme="majorBidi" w:hAnsiTheme="majorBidi" w:cstheme="majorBidi"/>
          <w:lang w:val="en-US"/>
        </w:rPr>
        <w:t>, S. (2011). Getting to the heart of authentic Assessment for Learning. </w:t>
      </w:r>
      <w:r w:rsidRPr="00670BBF">
        <w:rPr>
          <w:rFonts w:asciiTheme="majorBidi" w:hAnsiTheme="majorBidi" w:cstheme="majorBidi"/>
          <w:i/>
          <w:iCs/>
          <w:lang w:val="en-US"/>
        </w:rPr>
        <w:t>Assessment in Education: Principles, Policy &amp; Practice</w:t>
      </w:r>
      <w:r w:rsidRPr="00670BBF">
        <w:rPr>
          <w:rFonts w:asciiTheme="majorBidi" w:hAnsiTheme="majorBidi" w:cstheme="majorBidi"/>
          <w:lang w:val="en-US"/>
        </w:rPr>
        <w:t>, </w:t>
      </w:r>
      <w:r w:rsidRPr="00670BBF">
        <w:rPr>
          <w:rFonts w:asciiTheme="majorBidi" w:hAnsiTheme="majorBidi" w:cstheme="majorBidi"/>
          <w:i/>
          <w:iCs/>
          <w:lang w:val="en-US"/>
        </w:rPr>
        <w:t>18</w:t>
      </w:r>
      <w:r w:rsidRPr="00670BBF">
        <w:rPr>
          <w:rFonts w:asciiTheme="majorBidi" w:hAnsiTheme="majorBidi" w:cstheme="majorBidi"/>
          <w:lang w:val="en-US"/>
        </w:rPr>
        <w:t xml:space="preserve">(4), 433–449. </w:t>
      </w:r>
      <w:hyperlink r:id="rId79" w:history="1">
        <w:r w:rsidRPr="00670BBF">
          <w:rPr>
            <w:rStyle w:val="Lienhypertexte"/>
            <w:rFonts w:asciiTheme="majorBidi" w:hAnsiTheme="majorBidi" w:cstheme="majorBidi"/>
            <w:lang w:val="en-US"/>
          </w:rPr>
          <w:t>https://doi.org/10.1080/0969594X.2011.582838</w:t>
        </w:r>
        <w:bookmarkEnd w:id="284"/>
      </w:hyperlink>
    </w:p>
    <w:p w14:paraId="3B579522" w14:textId="77777777" w:rsidR="00345650" w:rsidRPr="00670BB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lang w:val="en-US"/>
        </w:rPr>
      </w:pPr>
      <w:bookmarkStart w:id="285" w:name="_Toc200486104"/>
      <w:r w:rsidRPr="00670BBF">
        <w:rPr>
          <w:rFonts w:asciiTheme="majorBidi" w:hAnsiTheme="majorBidi" w:cstheme="majorBidi"/>
          <w:lang w:val="en-US"/>
        </w:rPr>
        <w:t xml:space="preserve">Looney, J. W. (2011). </w:t>
      </w:r>
      <w:proofErr w:type="gramStart"/>
      <w:r w:rsidRPr="00670BBF">
        <w:rPr>
          <w:rFonts w:asciiTheme="majorBidi" w:hAnsiTheme="majorBidi" w:cstheme="majorBidi"/>
          <w:lang w:val="en-US"/>
        </w:rPr>
        <w:t>Integrating formative and summative assessment: Progress toward a seamless system?</w:t>
      </w:r>
      <w:bookmarkEnd w:id="285"/>
      <w:proofErr w:type="gramEnd"/>
    </w:p>
    <w:p w14:paraId="2A010781" w14:textId="77777777" w:rsidR="00345650" w:rsidRPr="00C31AF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rPr>
      </w:pPr>
      <w:bookmarkStart w:id="286" w:name="_Toc200486105"/>
      <w:proofErr w:type="spellStart"/>
      <w:r w:rsidRPr="00670BBF">
        <w:rPr>
          <w:rFonts w:asciiTheme="majorBidi" w:hAnsiTheme="majorBidi" w:cstheme="majorBidi"/>
          <w:lang w:val="en-US"/>
        </w:rPr>
        <w:t>Birenbaum</w:t>
      </w:r>
      <w:proofErr w:type="spellEnd"/>
      <w:r w:rsidRPr="00670BBF">
        <w:rPr>
          <w:rFonts w:asciiTheme="majorBidi" w:hAnsiTheme="majorBidi" w:cstheme="majorBidi"/>
          <w:lang w:val="en-US"/>
        </w:rPr>
        <w:t>, M. (1997). Assessment preferences and their relationship to learning strategies and orientations. </w:t>
      </w:r>
      <w:proofErr w:type="spellStart"/>
      <w:r w:rsidRPr="00C31AFF">
        <w:rPr>
          <w:rFonts w:asciiTheme="majorBidi" w:hAnsiTheme="majorBidi" w:cstheme="majorBidi"/>
          <w:i/>
          <w:iCs/>
        </w:rPr>
        <w:t>Higher</w:t>
      </w:r>
      <w:proofErr w:type="spellEnd"/>
      <w:r w:rsidRPr="00C31AFF">
        <w:rPr>
          <w:rFonts w:asciiTheme="majorBidi" w:hAnsiTheme="majorBidi" w:cstheme="majorBidi"/>
          <w:i/>
          <w:iCs/>
        </w:rPr>
        <w:t xml:space="preserve"> </w:t>
      </w:r>
      <w:proofErr w:type="spellStart"/>
      <w:r w:rsidRPr="00C31AFF">
        <w:rPr>
          <w:rFonts w:asciiTheme="majorBidi" w:hAnsiTheme="majorBidi" w:cstheme="majorBidi"/>
          <w:i/>
          <w:iCs/>
        </w:rPr>
        <w:t>education</w:t>
      </w:r>
      <w:proofErr w:type="spellEnd"/>
      <w:r w:rsidRPr="00C31AFF">
        <w:rPr>
          <w:rFonts w:asciiTheme="majorBidi" w:hAnsiTheme="majorBidi" w:cstheme="majorBidi"/>
        </w:rPr>
        <w:t>, </w:t>
      </w:r>
      <w:r w:rsidRPr="00C31AFF">
        <w:rPr>
          <w:rFonts w:asciiTheme="majorBidi" w:hAnsiTheme="majorBidi" w:cstheme="majorBidi"/>
          <w:i/>
          <w:iCs/>
        </w:rPr>
        <w:t>33</w:t>
      </w:r>
      <w:r w:rsidRPr="00C31AFF">
        <w:rPr>
          <w:rFonts w:asciiTheme="majorBidi" w:hAnsiTheme="majorBidi" w:cstheme="majorBidi"/>
        </w:rPr>
        <w:t>(1), 71-84.</w:t>
      </w:r>
      <w:bookmarkEnd w:id="286"/>
    </w:p>
    <w:p w14:paraId="0489A4A7" w14:textId="77777777" w:rsidR="00345650" w:rsidRPr="00C31AF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rPr>
      </w:pPr>
      <w:bookmarkStart w:id="287" w:name="_Toc200486106"/>
      <w:proofErr w:type="spellStart"/>
      <w:r w:rsidRPr="00C31AFF">
        <w:rPr>
          <w:rFonts w:asciiTheme="majorBidi" w:hAnsiTheme="majorBidi" w:cstheme="majorBidi"/>
        </w:rPr>
        <w:t>Popham</w:t>
      </w:r>
      <w:proofErr w:type="spellEnd"/>
      <w:r w:rsidRPr="00C31AFF">
        <w:rPr>
          <w:rFonts w:asciiTheme="majorBidi" w:hAnsiTheme="majorBidi" w:cstheme="majorBidi"/>
        </w:rPr>
        <w:t>, W. J. (2008). </w:t>
      </w:r>
      <w:r w:rsidRPr="00C31AFF">
        <w:rPr>
          <w:rFonts w:asciiTheme="majorBidi" w:hAnsiTheme="majorBidi" w:cstheme="majorBidi"/>
          <w:i/>
          <w:iCs/>
        </w:rPr>
        <w:t xml:space="preserve">Transformative </w:t>
      </w:r>
      <w:proofErr w:type="spellStart"/>
      <w:r w:rsidRPr="00C31AFF">
        <w:rPr>
          <w:rFonts w:asciiTheme="majorBidi" w:hAnsiTheme="majorBidi" w:cstheme="majorBidi"/>
          <w:i/>
          <w:iCs/>
        </w:rPr>
        <w:t>assessment</w:t>
      </w:r>
      <w:proofErr w:type="spellEnd"/>
      <w:r w:rsidRPr="00C31AFF">
        <w:rPr>
          <w:rFonts w:asciiTheme="majorBidi" w:hAnsiTheme="majorBidi" w:cstheme="majorBidi"/>
        </w:rPr>
        <w:t>. ASCD.</w:t>
      </w:r>
      <w:bookmarkEnd w:id="287"/>
    </w:p>
    <w:p w14:paraId="2F7E4468" w14:textId="77777777" w:rsidR="00345650" w:rsidRPr="00C31AF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rPr>
      </w:pPr>
      <w:bookmarkStart w:id="288" w:name="_Toc200486107"/>
      <w:r w:rsidRPr="00670BBF">
        <w:rPr>
          <w:rFonts w:asciiTheme="majorBidi" w:hAnsiTheme="majorBidi" w:cstheme="majorBidi"/>
          <w:lang w:val="en-US"/>
        </w:rPr>
        <w:t>Sadler, D. R. (1998). Formative assessment: Revisiting the territory. </w:t>
      </w:r>
      <w:proofErr w:type="spellStart"/>
      <w:r w:rsidRPr="00C31AFF">
        <w:rPr>
          <w:rFonts w:asciiTheme="majorBidi" w:hAnsiTheme="majorBidi" w:cstheme="majorBidi"/>
          <w:i/>
          <w:iCs/>
        </w:rPr>
        <w:t>Assessment</w:t>
      </w:r>
      <w:proofErr w:type="spellEnd"/>
      <w:r w:rsidRPr="00C31AFF">
        <w:rPr>
          <w:rFonts w:asciiTheme="majorBidi" w:hAnsiTheme="majorBidi" w:cstheme="majorBidi"/>
          <w:i/>
          <w:iCs/>
        </w:rPr>
        <w:t xml:space="preserve"> in </w:t>
      </w:r>
      <w:proofErr w:type="spellStart"/>
      <w:proofErr w:type="gramStart"/>
      <w:r w:rsidRPr="00C31AFF">
        <w:rPr>
          <w:rFonts w:asciiTheme="majorBidi" w:hAnsiTheme="majorBidi" w:cstheme="majorBidi"/>
          <w:i/>
          <w:iCs/>
        </w:rPr>
        <w:t>education</w:t>
      </w:r>
      <w:proofErr w:type="spellEnd"/>
      <w:r w:rsidRPr="00C31AFF">
        <w:rPr>
          <w:rFonts w:asciiTheme="majorBidi" w:hAnsiTheme="majorBidi" w:cstheme="majorBidi"/>
          <w:i/>
          <w:iCs/>
        </w:rPr>
        <w:t>:</w:t>
      </w:r>
      <w:proofErr w:type="gramEnd"/>
      <w:r w:rsidRPr="00C31AFF">
        <w:rPr>
          <w:rFonts w:asciiTheme="majorBidi" w:hAnsiTheme="majorBidi" w:cstheme="majorBidi"/>
          <w:i/>
          <w:iCs/>
        </w:rPr>
        <w:t xml:space="preserve"> </w:t>
      </w:r>
      <w:proofErr w:type="spellStart"/>
      <w:r w:rsidRPr="00C31AFF">
        <w:rPr>
          <w:rFonts w:asciiTheme="majorBidi" w:hAnsiTheme="majorBidi" w:cstheme="majorBidi"/>
          <w:i/>
          <w:iCs/>
        </w:rPr>
        <w:t>principles</w:t>
      </w:r>
      <w:proofErr w:type="spellEnd"/>
      <w:r w:rsidRPr="00C31AFF">
        <w:rPr>
          <w:rFonts w:asciiTheme="majorBidi" w:hAnsiTheme="majorBidi" w:cstheme="majorBidi"/>
          <w:i/>
          <w:iCs/>
        </w:rPr>
        <w:t xml:space="preserve">, </w:t>
      </w:r>
      <w:proofErr w:type="spellStart"/>
      <w:r w:rsidRPr="00C31AFF">
        <w:rPr>
          <w:rFonts w:asciiTheme="majorBidi" w:hAnsiTheme="majorBidi" w:cstheme="majorBidi"/>
          <w:i/>
          <w:iCs/>
        </w:rPr>
        <w:t>policy</w:t>
      </w:r>
      <w:proofErr w:type="spellEnd"/>
      <w:r w:rsidRPr="00C31AFF">
        <w:rPr>
          <w:rFonts w:asciiTheme="majorBidi" w:hAnsiTheme="majorBidi" w:cstheme="majorBidi"/>
          <w:i/>
          <w:iCs/>
        </w:rPr>
        <w:t xml:space="preserve"> &amp; practice</w:t>
      </w:r>
      <w:r w:rsidRPr="00C31AFF">
        <w:rPr>
          <w:rFonts w:asciiTheme="majorBidi" w:hAnsiTheme="majorBidi" w:cstheme="majorBidi"/>
        </w:rPr>
        <w:t>, </w:t>
      </w:r>
      <w:r w:rsidRPr="00C31AFF">
        <w:rPr>
          <w:rFonts w:asciiTheme="majorBidi" w:hAnsiTheme="majorBidi" w:cstheme="majorBidi"/>
          <w:i/>
          <w:iCs/>
        </w:rPr>
        <w:t>5</w:t>
      </w:r>
      <w:r w:rsidRPr="00C31AFF">
        <w:rPr>
          <w:rFonts w:asciiTheme="majorBidi" w:hAnsiTheme="majorBidi" w:cstheme="majorBidi"/>
        </w:rPr>
        <w:t>(1), 77-84.</w:t>
      </w:r>
      <w:bookmarkEnd w:id="288"/>
    </w:p>
    <w:p w14:paraId="1A1303EE" w14:textId="77777777" w:rsidR="00345650" w:rsidRPr="00670BB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lang w:val="en-US"/>
        </w:rPr>
      </w:pPr>
      <w:bookmarkStart w:id="289" w:name="_Toc200486108"/>
      <w:r w:rsidRPr="00670BBF">
        <w:rPr>
          <w:rFonts w:asciiTheme="majorBidi" w:hAnsiTheme="majorBidi" w:cstheme="majorBidi"/>
          <w:lang w:val="en-US"/>
        </w:rPr>
        <w:t xml:space="preserve">Black, P., &amp; </w:t>
      </w:r>
      <w:proofErr w:type="spellStart"/>
      <w:r w:rsidRPr="00670BBF">
        <w:rPr>
          <w:rFonts w:asciiTheme="majorBidi" w:hAnsiTheme="majorBidi" w:cstheme="majorBidi"/>
          <w:lang w:val="en-US"/>
        </w:rPr>
        <w:t>Wiliam</w:t>
      </w:r>
      <w:proofErr w:type="spellEnd"/>
      <w:r w:rsidRPr="00670BBF">
        <w:rPr>
          <w:rFonts w:asciiTheme="majorBidi" w:hAnsiTheme="majorBidi" w:cstheme="majorBidi"/>
          <w:lang w:val="en-US"/>
        </w:rPr>
        <w:t>, D. (2009). Developing the theory of formative assessment. </w:t>
      </w:r>
      <w:r w:rsidRPr="00670BBF">
        <w:rPr>
          <w:rFonts w:asciiTheme="majorBidi" w:hAnsiTheme="majorBidi" w:cstheme="majorBidi"/>
          <w:i/>
          <w:iCs/>
          <w:lang w:val="en-US"/>
        </w:rPr>
        <w:t>Educational Assessment, Evaluation and Accountability (</w:t>
      </w:r>
      <w:proofErr w:type="gramStart"/>
      <w:r w:rsidRPr="00670BBF">
        <w:rPr>
          <w:rFonts w:asciiTheme="majorBidi" w:hAnsiTheme="majorBidi" w:cstheme="majorBidi"/>
          <w:i/>
          <w:iCs/>
          <w:lang w:val="en-US"/>
        </w:rPr>
        <w:t>formerly:</w:t>
      </w:r>
      <w:proofErr w:type="gramEnd"/>
      <w:r w:rsidRPr="00670BBF">
        <w:rPr>
          <w:rFonts w:asciiTheme="majorBidi" w:hAnsiTheme="majorBidi" w:cstheme="majorBidi"/>
          <w:i/>
          <w:iCs/>
          <w:lang w:val="en-US"/>
        </w:rPr>
        <w:t xml:space="preserve"> Journal of personnel evaluation in education)</w:t>
      </w:r>
      <w:r w:rsidRPr="00670BBF">
        <w:rPr>
          <w:rFonts w:asciiTheme="majorBidi" w:hAnsiTheme="majorBidi" w:cstheme="majorBidi"/>
          <w:lang w:val="en-US"/>
        </w:rPr>
        <w:t>, </w:t>
      </w:r>
      <w:r w:rsidRPr="00670BBF">
        <w:rPr>
          <w:rFonts w:asciiTheme="majorBidi" w:hAnsiTheme="majorBidi" w:cstheme="majorBidi"/>
          <w:i/>
          <w:iCs/>
          <w:lang w:val="en-US"/>
        </w:rPr>
        <w:t>21</w:t>
      </w:r>
      <w:r w:rsidRPr="00670BBF">
        <w:rPr>
          <w:rFonts w:asciiTheme="majorBidi" w:hAnsiTheme="majorBidi" w:cstheme="majorBidi"/>
          <w:lang w:val="en-US"/>
        </w:rPr>
        <w:t>, 5-31.</w:t>
      </w:r>
      <w:bookmarkEnd w:id="289"/>
    </w:p>
    <w:p w14:paraId="668A7323" w14:textId="77777777" w:rsidR="00345650" w:rsidRPr="00C31AF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rPr>
      </w:pPr>
      <w:bookmarkStart w:id="290" w:name="_Toc200486109"/>
      <w:proofErr w:type="spellStart"/>
      <w:r w:rsidRPr="00670BBF">
        <w:rPr>
          <w:rFonts w:asciiTheme="majorBidi" w:hAnsiTheme="majorBidi" w:cstheme="majorBidi"/>
          <w:lang w:val="en-US"/>
        </w:rPr>
        <w:t>Engemann</w:t>
      </w:r>
      <w:proofErr w:type="spellEnd"/>
      <w:r w:rsidRPr="00670BBF">
        <w:rPr>
          <w:rFonts w:asciiTheme="majorBidi" w:hAnsiTheme="majorBidi" w:cstheme="majorBidi"/>
          <w:lang w:val="en-US"/>
        </w:rPr>
        <w:t>, J., &amp; Gallagher, T. (2006). The conundrum of classroom writing assessment. </w:t>
      </w:r>
      <w:proofErr w:type="spellStart"/>
      <w:r w:rsidRPr="00C31AFF">
        <w:rPr>
          <w:rFonts w:asciiTheme="majorBidi" w:hAnsiTheme="majorBidi" w:cstheme="majorBidi"/>
          <w:i/>
          <w:iCs/>
        </w:rPr>
        <w:t>Brock</w:t>
      </w:r>
      <w:proofErr w:type="spellEnd"/>
      <w:r w:rsidRPr="00C31AFF">
        <w:rPr>
          <w:rFonts w:asciiTheme="majorBidi" w:hAnsiTheme="majorBidi" w:cstheme="majorBidi"/>
          <w:i/>
          <w:iCs/>
        </w:rPr>
        <w:t xml:space="preserve"> Education Journal</w:t>
      </w:r>
      <w:r w:rsidRPr="00C31AFF">
        <w:rPr>
          <w:rFonts w:asciiTheme="majorBidi" w:hAnsiTheme="majorBidi" w:cstheme="majorBidi"/>
        </w:rPr>
        <w:t>, </w:t>
      </w:r>
      <w:r w:rsidRPr="00C31AFF">
        <w:rPr>
          <w:rFonts w:asciiTheme="majorBidi" w:hAnsiTheme="majorBidi" w:cstheme="majorBidi"/>
          <w:i/>
          <w:iCs/>
        </w:rPr>
        <w:t>16</w:t>
      </w:r>
      <w:r w:rsidRPr="00C31AFF">
        <w:rPr>
          <w:rFonts w:asciiTheme="majorBidi" w:hAnsiTheme="majorBidi" w:cstheme="majorBidi"/>
        </w:rPr>
        <w:t>(1).</w:t>
      </w:r>
      <w:bookmarkEnd w:id="290"/>
    </w:p>
    <w:p w14:paraId="686FEFF6" w14:textId="77777777" w:rsidR="00345650" w:rsidRPr="00670BB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lang w:val="en-US"/>
        </w:rPr>
      </w:pPr>
      <w:bookmarkStart w:id="291" w:name="_Toc200486110"/>
      <w:proofErr w:type="spellStart"/>
      <w:r w:rsidRPr="00670BBF">
        <w:rPr>
          <w:rFonts w:asciiTheme="majorBidi" w:hAnsiTheme="majorBidi" w:cstheme="majorBidi"/>
          <w:lang w:val="en-US"/>
        </w:rPr>
        <w:t>Higgison</w:t>
      </w:r>
      <w:proofErr w:type="spellEnd"/>
      <w:r w:rsidRPr="00670BBF">
        <w:rPr>
          <w:rFonts w:asciiTheme="majorBidi" w:hAnsiTheme="majorBidi" w:cstheme="majorBidi"/>
          <w:lang w:val="en-US"/>
        </w:rPr>
        <w:t>, C. (2000). New Assessment Methods.</w:t>
      </w:r>
      <w:bookmarkEnd w:id="291"/>
    </w:p>
    <w:p w14:paraId="29559FF0" w14:textId="77777777" w:rsidR="00345650" w:rsidRPr="00C31AF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rPr>
      </w:pPr>
      <w:bookmarkStart w:id="292" w:name="_Toc200486111"/>
      <w:r w:rsidRPr="00670BBF">
        <w:rPr>
          <w:rFonts w:asciiTheme="majorBidi" w:hAnsiTheme="majorBidi" w:cstheme="majorBidi"/>
          <w:lang w:val="en-US"/>
        </w:rPr>
        <w:t>Coffey, J., Black, P., &amp; Atkin, J. M. (Eds.). (2001). </w:t>
      </w:r>
      <w:r w:rsidRPr="00670BBF">
        <w:rPr>
          <w:rFonts w:asciiTheme="majorBidi" w:hAnsiTheme="majorBidi" w:cstheme="majorBidi"/>
          <w:i/>
          <w:iCs/>
          <w:lang w:val="en-US"/>
        </w:rPr>
        <w:t>Classroom assessment and the national science education standards</w:t>
      </w:r>
      <w:r w:rsidRPr="00670BBF">
        <w:rPr>
          <w:rFonts w:asciiTheme="majorBidi" w:hAnsiTheme="majorBidi" w:cstheme="majorBidi"/>
          <w:lang w:val="en-US"/>
        </w:rPr>
        <w:t xml:space="preserve">. </w:t>
      </w:r>
      <w:r w:rsidRPr="00C31AFF">
        <w:rPr>
          <w:rFonts w:asciiTheme="majorBidi" w:hAnsiTheme="majorBidi" w:cstheme="majorBidi"/>
        </w:rPr>
        <w:t xml:space="preserve">National </w:t>
      </w:r>
      <w:proofErr w:type="spellStart"/>
      <w:r w:rsidRPr="00C31AFF">
        <w:rPr>
          <w:rFonts w:asciiTheme="majorBidi" w:hAnsiTheme="majorBidi" w:cstheme="majorBidi"/>
        </w:rPr>
        <w:t>Academies</w:t>
      </w:r>
      <w:proofErr w:type="spellEnd"/>
      <w:r w:rsidRPr="00C31AFF">
        <w:rPr>
          <w:rFonts w:asciiTheme="majorBidi" w:hAnsiTheme="majorBidi" w:cstheme="majorBidi"/>
        </w:rPr>
        <w:t xml:space="preserve"> </w:t>
      </w:r>
      <w:proofErr w:type="spellStart"/>
      <w:r w:rsidRPr="00C31AFF">
        <w:rPr>
          <w:rFonts w:asciiTheme="majorBidi" w:hAnsiTheme="majorBidi" w:cstheme="majorBidi"/>
        </w:rPr>
        <w:t>Press</w:t>
      </w:r>
      <w:proofErr w:type="spellEnd"/>
      <w:r w:rsidRPr="00C31AFF">
        <w:rPr>
          <w:rFonts w:asciiTheme="majorBidi" w:hAnsiTheme="majorBidi" w:cstheme="majorBidi"/>
        </w:rPr>
        <w:t>.</w:t>
      </w:r>
      <w:bookmarkEnd w:id="292"/>
    </w:p>
    <w:p w14:paraId="54E57F6C" w14:textId="77777777" w:rsidR="00345650" w:rsidRPr="00C31AF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rPr>
      </w:pPr>
      <w:bookmarkStart w:id="293" w:name="_Toc200486112"/>
      <w:r w:rsidRPr="00670BBF">
        <w:rPr>
          <w:rFonts w:asciiTheme="majorBidi" w:hAnsiTheme="majorBidi" w:cstheme="majorBidi"/>
          <w:lang w:val="en-US"/>
        </w:rPr>
        <w:t>Kibble, J. D. (2017). Best practices in summative assessment. </w:t>
      </w:r>
      <w:proofErr w:type="spellStart"/>
      <w:r w:rsidRPr="00C31AFF">
        <w:rPr>
          <w:rFonts w:asciiTheme="majorBidi" w:hAnsiTheme="majorBidi" w:cstheme="majorBidi"/>
          <w:i/>
          <w:iCs/>
        </w:rPr>
        <w:t>Advances</w:t>
      </w:r>
      <w:proofErr w:type="spellEnd"/>
      <w:r w:rsidRPr="00C31AFF">
        <w:rPr>
          <w:rFonts w:asciiTheme="majorBidi" w:hAnsiTheme="majorBidi" w:cstheme="majorBidi"/>
          <w:i/>
          <w:iCs/>
        </w:rPr>
        <w:t xml:space="preserve"> in </w:t>
      </w:r>
      <w:proofErr w:type="spellStart"/>
      <w:r w:rsidRPr="00C31AFF">
        <w:rPr>
          <w:rFonts w:asciiTheme="majorBidi" w:hAnsiTheme="majorBidi" w:cstheme="majorBidi"/>
          <w:i/>
          <w:iCs/>
        </w:rPr>
        <w:t>physiology</w:t>
      </w:r>
      <w:proofErr w:type="spellEnd"/>
      <w:r w:rsidRPr="00C31AFF">
        <w:rPr>
          <w:rFonts w:asciiTheme="majorBidi" w:hAnsiTheme="majorBidi" w:cstheme="majorBidi"/>
          <w:i/>
          <w:iCs/>
        </w:rPr>
        <w:t xml:space="preserve"> </w:t>
      </w:r>
      <w:proofErr w:type="spellStart"/>
      <w:r w:rsidRPr="00C31AFF">
        <w:rPr>
          <w:rFonts w:asciiTheme="majorBidi" w:hAnsiTheme="majorBidi" w:cstheme="majorBidi"/>
          <w:i/>
          <w:iCs/>
        </w:rPr>
        <w:t>education</w:t>
      </w:r>
      <w:proofErr w:type="spellEnd"/>
      <w:r w:rsidRPr="00C31AFF">
        <w:rPr>
          <w:rFonts w:asciiTheme="majorBidi" w:hAnsiTheme="majorBidi" w:cstheme="majorBidi"/>
        </w:rPr>
        <w:t>, </w:t>
      </w:r>
      <w:r w:rsidRPr="00C31AFF">
        <w:rPr>
          <w:rFonts w:asciiTheme="majorBidi" w:hAnsiTheme="majorBidi" w:cstheme="majorBidi"/>
          <w:i/>
          <w:iCs/>
        </w:rPr>
        <w:t>41</w:t>
      </w:r>
      <w:r w:rsidRPr="00C31AFF">
        <w:rPr>
          <w:rFonts w:asciiTheme="majorBidi" w:hAnsiTheme="majorBidi" w:cstheme="majorBidi"/>
        </w:rPr>
        <w:t>(1), 110-119.</w:t>
      </w:r>
      <w:bookmarkEnd w:id="293"/>
    </w:p>
    <w:p w14:paraId="035625C9" w14:textId="77777777" w:rsidR="00345650" w:rsidRPr="00C31AF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rPr>
      </w:pPr>
      <w:bookmarkStart w:id="294" w:name="_Toc200486113"/>
      <w:r w:rsidRPr="00670BBF">
        <w:rPr>
          <w:rFonts w:asciiTheme="majorBidi" w:hAnsiTheme="majorBidi" w:cstheme="majorBidi"/>
          <w:lang w:val="en-US"/>
        </w:rPr>
        <w:t>Beale, J. (2008). Assessing interactive oral skills in EFL contexts. </w:t>
      </w:r>
      <w:proofErr w:type="spellStart"/>
      <w:r w:rsidRPr="00C31AFF">
        <w:rPr>
          <w:rFonts w:asciiTheme="majorBidi" w:hAnsiTheme="majorBidi" w:cstheme="majorBidi"/>
          <w:i/>
          <w:iCs/>
        </w:rPr>
        <w:t>Retrieved</w:t>
      </w:r>
      <w:proofErr w:type="spellEnd"/>
      <w:r w:rsidRPr="00C31AFF">
        <w:rPr>
          <w:rFonts w:asciiTheme="majorBidi" w:hAnsiTheme="majorBidi" w:cstheme="majorBidi"/>
          <w:i/>
          <w:iCs/>
        </w:rPr>
        <w:t xml:space="preserve"> March 9th</w:t>
      </w:r>
      <w:r w:rsidRPr="00C31AFF">
        <w:rPr>
          <w:rFonts w:asciiTheme="majorBidi" w:hAnsiTheme="majorBidi" w:cstheme="majorBidi"/>
        </w:rPr>
        <w:t>.</w:t>
      </w:r>
      <w:bookmarkEnd w:id="294"/>
    </w:p>
    <w:p w14:paraId="1AF43171" w14:textId="77777777" w:rsidR="00345650" w:rsidRPr="00C31AF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rPr>
      </w:pPr>
      <w:bookmarkStart w:id="295" w:name="_Toc200486114"/>
      <w:r w:rsidRPr="00670BBF">
        <w:rPr>
          <w:rFonts w:asciiTheme="majorBidi" w:hAnsiTheme="majorBidi" w:cstheme="majorBidi"/>
          <w:lang w:val="en-US"/>
        </w:rPr>
        <w:t xml:space="preserve">Black, P., &amp; </w:t>
      </w:r>
      <w:proofErr w:type="spellStart"/>
      <w:r w:rsidRPr="00670BBF">
        <w:rPr>
          <w:rFonts w:asciiTheme="majorBidi" w:hAnsiTheme="majorBidi" w:cstheme="majorBidi"/>
          <w:lang w:val="en-US"/>
        </w:rPr>
        <w:t>Wiliam</w:t>
      </w:r>
      <w:proofErr w:type="spellEnd"/>
      <w:r w:rsidRPr="00670BBF">
        <w:rPr>
          <w:rFonts w:asciiTheme="majorBidi" w:hAnsiTheme="majorBidi" w:cstheme="majorBidi"/>
          <w:lang w:val="en-US"/>
        </w:rPr>
        <w:t>, D. (1998). Assessment and classroom learning. </w:t>
      </w:r>
      <w:proofErr w:type="spellStart"/>
      <w:r w:rsidRPr="00C31AFF">
        <w:rPr>
          <w:rFonts w:asciiTheme="majorBidi" w:hAnsiTheme="majorBidi" w:cstheme="majorBidi"/>
          <w:i/>
          <w:iCs/>
        </w:rPr>
        <w:t>Assessment</w:t>
      </w:r>
      <w:proofErr w:type="spellEnd"/>
      <w:r w:rsidRPr="00C31AFF">
        <w:rPr>
          <w:rFonts w:asciiTheme="majorBidi" w:hAnsiTheme="majorBidi" w:cstheme="majorBidi"/>
          <w:i/>
          <w:iCs/>
        </w:rPr>
        <w:t xml:space="preserve"> in </w:t>
      </w:r>
      <w:proofErr w:type="gramStart"/>
      <w:r w:rsidRPr="00C31AFF">
        <w:rPr>
          <w:rFonts w:asciiTheme="majorBidi" w:hAnsiTheme="majorBidi" w:cstheme="majorBidi"/>
          <w:i/>
          <w:iCs/>
        </w:rPr>
        <w:t>Education:</w:t>
      </w:r>
      <w:proofErr w:type="gramEnd"/>
      <w:r w:rsidRPr="00C31AFF">
        <w:rPr>
          <w:rFonts w:asciiTheme="majorBidi" w:hAnsiTheme="majorBidi" w:cstheme="majorBidi"/>
          <w:i/>
          <w:iCs/>
        </w:rPr>
        <w:t xml:space="preserve"> </w:t>
      </w:r>
      <w:proofErr w:type="spellStart"/>
      <w:r w:rsidRPr="00C31AFF">
        <w:rPr>
          <w:rFonts w:asciiTheme="majorBidi" w:hAnsiTheme="majorBidi" w:cstheme="majorBidi"/>
          <w:i/>
          <w:iCs/>
        </w:rPr>
        <w:t>principles</w:t>
      </w:r>
      <w:proofErr w:type="spellEnd"/>
      <w:r w:rsidRPr="00C31AFF">
        <w:rPr>
          <w:rFonts w:asciiTheme="majorBidi" w:hAnsiTheme="majorBidi" w:cstheme="majorBidi"/>
          <w:i/>
          <w:iCs/>
        </w:rPr>
        <w:t xml:space="preserve">, </w:t>
      </w:r>
      <w:proofErr w:type="spellStart"/>
      <w:r w:rsidRPr="00C31AFF">
        <w:rPr>
          <w:rFonts w:asciiTheme="majorBidi" w:hAnsiTheme="majorBidi" w:cstheme="majorBidi"/>
          <w:i/>
          <w:iCs/>
        </w:rPr>
        <w:t>policy</w:t>
      </w:r>
      <w:proofErr w:type="spellEnd"/>
      <w:r w:rsidRPr="00C31AFF">
        <w:rPr>
          <w:rFonts w:asciiTheme="majorBidi" w:hAnsiTheme="majorBidi" w:cstheme="majorBidi"/>
          <w:i/>
          <w:iCs/>
        </w:rPr>
        <w:t xml:space="preserve"> &amp; practice</w:t>
      </w:r>
      <w:r w:rsidRPr="00C31AFF">
        <w:rPr>
          <w:rFonts w:asciiTheme="majorBidi" w:hAnsiTheme="majorBidi" w:cstheme="majorBidi"/>
        </w:rPr>
        <w:t>, </w:t>
      </w:r>
      <w:r w:rsidRPr="00C31AFF">
        <w:rPr>
          <w:rFonts w:asciiTheme="majorBidi" w:hAnsiTheme="majorBidi" w:cstheme="majorBidi"/>
          <w:i/>
          <w:iCs/>
        </w:rPr>
        <w:t>5</w:t>
      </w:r>
      <w:r w:rsidRPr="00C31AFF">
        <w:rPr>
          <w:rFonts w:asciiTheme="majorBidi" w:hAnsiTheme="majorBidi" w:cstheme="majorBidi"/>
        </w:rPr>
        <w:t>(1), 7-74.</w:t>
      </w:r>
      <w:bookmarkEnd w:id="295"/>
    </w:p>
    <w:p w14:paraId="25196FFA" w14:textId="77777777" w:rsidR="00345650" w:rsidRPr="00670BB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lang w:val="en-US"/>
        </w:rPr>
      </w:pPr>
      <w:bookmarkStart w:id="296" w:name="_Toc200486115"/>
      <w:proofErr w:type="spellStart"/>
      <w:r w:rsidRPr="00670BBF">
        <w:rPr>
          <w:rFonts w:asciiTheme="majorBidi" w:hAnsiTheme="majorBidi" w:cstheme="majorBidi"/>
          <w:lang w:val="en-US"/>
        </w:rPr>
        <w:t>Deno</w:t>
      </w:r>
      <w:proofErr w:type="spellEnd"/>
      <w:r w:rsidRPr="00670BBF">
        <w:rPr>
          <w:rFonts w:asciiTheme="majorBidi" w:hAnsiTheme="majorBidi" w:cstheme="majorBidi"/>
          <w:lang w:val="en-US"/>
        </w:rPr>
        <w:t>, S. L. (1987). Curriculum-Based Measurement. TEACHING Exceptional Children, 20(1), 40-42. https://doi.org/10.1177/004005998702000109 (Original work published 1987)</w:t>
      </w:r>
      <w:bookmarkEnd w:id="296"/>
    </w:p>
    <w:p w14:paraId="5BE99EF0" w14:textId="77777777" w:rsidR="00345650" w:rsidRPr="00C31AF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rPr>
      </w:pPr>
      <w:bookmarkStart w:id="297" w:name="_Toc200486116"/>
      <w:proofErr w:type="spellStart"/>
      <w:r w:rsidRPr="00670BBF">
        <w:rPr>
          <w:rFonts w:asciiTheme="majorBidi" w:hAnsiTheme="majorBidi" w:cstheme="majorBidi"/>
          <w:lang w:val="en-US"/>
        </w:rPr>
        <w:t>Popham</w:t>
      </w:r>
      <w:proofErr w:type="spellEnd"/>
      <w:r w:rsidRPr="00670BBF">
        <w:rPr>
          <w:rFonts w:asciiTheme="majorBidi" w:hAnsiTheme="majorBidi" w:cstheme="majorBidi"/>
          <w:lang w:val="en-US"/>
        </w:rPr>
        <w:t xml:space="preserve">, W. J. (1999). Why standardized tests </w:t>
      </w:r>
      <w:proofErr w:type="gramStart"/>
      <w:r w:rsidRPr="00670BBF">
        <w:rPr>
          <w:rFonts w:asciiTheme="majorBidi" w:hAnsiTheme="majorBidi" w:cstheme="majorBidi"/>
          <w:lang w:val="en-US"/>
        </w:rPr>
        <w:t>don't</w:t>
      </w:r>
      <w:proofErr w:type="gramEnd"/>
      <w:r w:rsidRPr="00670BBF">
        <w:rPr>
          <w:rFonts w:asciiTheme="majorBidi" w:hAnsiTheme="majorBidi" w:cstheme="majorBidi"/>
          <w:lang w:val="en-US"/>
        </w:rPr>
        <w:t xml:space="preserve"> measure educational quality. </w:t>
      </w:r>
      <w:proofErr w:type="spellStart"/>
      <w:r w:rsidRPr="00C31AFF">
        <w:rPr>
          <w:rFonts w:asciiTheme="majorBidi" w:hAnsiTheme="majorBidi" w:cstheme="majorBidi"/>
          <w:i/>
          <w:iCs/>
        </w:rPr>
        <w:t>Educational</w:t>
      </w:r>
      <w:proofErr w:type="spellEnd"/>
      <w:r w:rsidRPr="00C31AFF">
        <w:rPr>
          <w:rFonts w:asciiTheme="majorBidi" w:hAnsiTheme="majorBidi" w:cstheme="majorBidi"/>
          <w:i/>
          <w:iCs/>
        </w:rPr>
        <w:t xml:space="preserve"> leadership</w:t>
      </w:r>
      <w:r w:rsidRPr="00C31AFF">
        <w:rPr>
          <w:rFonts w:asciiTheme="majorBidi" w:hAnsiTheme="majorBidi" w:cstheme="majorBidi"/>
        </w:rPr>
        <w:t>, </w:t>
      </w:r>
      <w:r w:rsidRPr="00C31AFF">
        <w:rPr>
          <w:rFonts w:asciiTheme="majorBidi" w:hAnsiTheme="majorBidi" w:cstheme="majorBidi"/>
          <w:i/>
          <w:iCs/>
        </w:rPr>
        <w:t>56</w:t>
      </w:r>
      <w:r w:rsidRPr="00C31AFF">
        <w:rPr>
          <w:rFonts w:asciiTheme="majorBidi" w:hAnsiTheme="majorBidi" w:cstheme="majorBidi"/>
        </w:rPr>
        <w:t>, 8-16.</w:t>
      </w:r>
      <w:bookmarkEnd w:id="297"/>
    </w:p>
    <w:p w14:paraId="2C834437" w14:textId="77777777" w:rsidR="00345650" w:rsidRPr="00C31AF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rPr>
      </w:pPr>
      <w:bookmarkStart w:id="298" w:name="_Toc200486117"/>
      <w:r w:rsidRPr="00670BBF">
        <w:rPr>
          <w:rFonts w:asciiTheme="majorBidi" w:hAnsiTheme="majorBidi" w:cstheme="majorBidi"/>
          <w:lang w:val="en-US"/>
        </w:rPr>
        <w:t xml:space="preserve">Shepard, L. A. (2000). The Role of Assessment in a Learning Culture. </w:t>
      </w:r>
      <w:proofErr w:type="spellStart"/>
      <w:r w:rsidRPr="00C31AFF">
        <w:rPr>
          <w:rFonts w:asciiTheme="majorBidi" w:hAnsiTheme="majorBidi" w:cstheme="majorBidi"/>
        </w:rPr>
        <w:t>Educational</w:t>
      </w:r>
      <w:proofErr w:type="spellEnd"/>
      <w:r w:rsidRPr="00C31AFF">
        <w:rPr>
          <w:rFonts w:asciiTheme="majorBidi" w:hAnsiTheme="majorBidi" w:cstheme="majorBidi"/>
        </w:rPr>
        <w:t xml:space="preserve"> </w:t>
      </w:r>
      <w:proofErr w:type="spellStart"/>
      <w:r w:rsidRPr="00C31AFF">
        <w:rPr>
          <w:rFonts w:asciiTheme="majorBidi" w:hAnsiTheme="majorBidi" w:cstheme="majorBidi"/>
        </w:rPr>
        <w:t>Researcher</w:t>
      </w:r>
      <w:proofErr w:type="spellEnd"/>
      <w:r w:rsidRPr="00C31AFF">
        <w:rPr>
          <w:rFonts w:asciiTheme="majorBidi" w:hAnsiTheme="majorBidi" w:cstheme="majorBidi"/>
        </w:rPr>
        <w:t xml:space="preserve">, 29(7), 4-14. https://doi.org/10.3102/0013189X029007004 (Original </w:t>
      </w:r>
      <w:proofErr w:type="spellStart"/>
      <w:r w:rsidRPr="00C31AFF">
        <w:rPr>
          <w:rFonts w:asciiTheme="majorBidi" w:hAnsiTheme="majorBidi" w:cstheme="majorBidi"/>
        </w:rPr>
        <w:t>work</w:t>
      </w:r>
      <w:proofErr w:type="spellEnd"/>
      <w:r w:rsidRPr="00C31AFF">
        <w:rPr>
          <w:rFonts w:asciiTheme="majorBidi" w:hAnsiTheme="majorBidi" w:cstheme="majorBidi"/>
        </w:rPr>
        <w:t xml:space="preserve"> </w:t>
      </w:r>
      <w:proofErr w:type="spellStart"/>
      <w:r w:rsidRPr="00C31AFF">
        <w:rPr>
          <w:rFonts w:asciiTheme="majorBidi" w:hAnsiTheme="majorBidi" w:cstheme="majorBidi"/>
        </w:rPr>
        <w:t>published</w:t>
      </w:r>
      <w:proofErr w:type="spellEnd"/>
      <w:r w:rsidRPr="00C31AFF">
        <w:rPr>
          <w:rFonts w:asciiTheme="majorBidi" w:hAnsiTheme="majorBidi" w:cstheme="majorBidi"/>
        </w:rPr>
        <w:t xml:space="preserve"> 2000)</w:t>
      </w:r>
      <w:bookmarkEnd w:id="298"/>
    </w:p>
    <w:p w14:paraId="42DCC274" w14:textId="77777777" w:rsidR="00345650" w:rsidRPr="00C31AF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rPr>
      </w:pPr>
      <w:bookmarkStart w:id="299" w:name="_Toc200486118"/>
      <w:proofErr w:type="spellStart"/>
      <w:r w:rsidRPr="00C31AFF">
        <w:rPr>
          <w:rFonts w:asciiTheme="majorBidi" w:hAnsiTheme="majorBidi" w:cstheme="majorBidi"/>
        </w:rPr>
        <w:lastRenderedPageBreak/>
        <w:t>Qassimi</w:t>
      </w:r>
      <w:proofErr w:type="spellEnd"/>
      <w:r w:rsidRPr="00C31AFF">
        <w:rPr>
          <w:rFonts w:asciiTheme="majorBidi" w:hAnsiTheme="majorBidi" w:cstheme="majorBidi"/>
        </w:rPr>
        <w:t xml:space="preserve">, Noureddine. (2021). </w:t>
      </w:r>
      <w:proofErr w:type="spellStart"/>
      <w:r w:rsidRPr="00C31AFF">
        <w:rPr>
          <w:rFonts w:asciiTheme="majorBidi" w:hAnsiTheme="majorBidi" w:cstheme="majorBidi"/>
        </w:rPr>
        <w:t>Standardized</w:t>
      </w:r>
      <w:proofErr w:type="spellEnd"/>
      <w:r w:rsidRPr="00C31AFF">
        <w:rPr>
          <w:rFonts w:asciiTheme="majorBidi" w:hAnsiTheme="majorBidi" w:cstheme="majorBidi"/>
        </w:rPr>
        <w:t xml:space="preserve"> </w:t>
      </w:r>
      <w:proofErr w:type="spellStart"/>
      <w:r w:rsidRPr="00C31AFF">
        <w:rPr>
          <w:rFonts w:asciiTheme="majorBidi" w:hAnsiTheme="majorBidi" w:cstheme="majorBidi"/>
        </w:rPr>
        <w:t>Testing</w:t>
      </w:r>
      <w:proofErr w:type="spellEnd"/>
      <w:r w:rsidRPr="00C31AFF">
        <w:rPr>
          <w:rFonts w:asciiTheme="majorBidi" w:hAnsiTheme="majorBidi" w:cstheme="majorBidi"/>
        </w:rPr>
        <w:t>.</w:t>
      </w:r>
      <w:bookmarkEnd w:id="299"/>
    </w:p>
    <w:p w14:paraId="2A1CB921" w14:textId="77777777" w:rsidR="00345650" w:rsidRPr="00670BB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lang w:val="en-US"/>
        </w:rPr>
      </w:pPr>
      <w:bookmarkStart w:id="300" w:name="_Toc200486119"/>
      <w:proofErr w:type="spellStart"/>
      <w:r w:rsidRPr="00670BBF">
        <w:rPr>
          <w:rFonts w:asciiTheme="majorBidi" w:hAnsiTheme="majorBidi" w:cstheme="majorBidi"/>
          <w:lang w:val="en-US"/>
        </w:rPr>
        <w:t>Muhammadiyeva</w:t>
      </w:r>
      <w:proofErr w:type="spellEnd"/>
      <w:r w:rsidRPr="00670BBF">
        <w:rPr>
          <w:rFonts w:asciiTheme="majorBidi" w:hAnsiTheme="majorBidi" w:cstheme="majorBidi"/>
          <w:lang w:val="en-US"/>
        </w:rPr>
        <w:t xml:space="preserve">, H. S., &amp; </w:t>
      </w:r>
      <w:proofErr w:type="spellStart"/>
      <w:r w:rsidRPr="00670BBF">
        <w:rPr>
          <w:rFonts w:asciiTheme="majorBidi" w:hAnsiTheme="majorBidi" w:cstheme="majorBidi"/>
          <w:lang w:val="en-US"/>
        </w:rPr>
        <w:t>Soliboyeva</w:t>
      </w:r>
      <w:proofErr w:type="spellEnd"/>
      <w:r w:rsidRPr="00670BBF">
        <w:rPr>
          <w:rFonts w:asciiTheme="majorBidi" w:hAnsiTheme="majorBidi" w:cstheme="majorBidi"/>
          <w:lang w:val="en-US"/>
        </w:rPr>
        <w:t>, G. (2024). Using a Portfolio as an Example of an Alternative Assessment. </w:t>
      </w:r>
      <w:r w:rsidRPr="00670BBF">
        <w:rPr>
          <w:rFonts w:asciiTheme="majorBidi" w:hAnsiTheme="majorBidi" w:cstheme="majorBidi"/>
          <w:i/>
          <w:iCs/>
          <w:lang w:val="en-US"/>
        </w:rPr>
        <w:t>American Journal of Language, Literacy and Learning in STEM Education</w:t>
      </w:r>
      <w:r w:rsidRPr="00670BBF">
        <w:rPr>
          <w:rFonts w:asciiTheme="majorBidi" w:hAnsiTheme="majorBidi" w:cstheme="majorBidi"/>
          <w:lang w:val="en-US"/>
        </w:rPr>
        <w:t>, </w:t>
      </w:r>
      <w:r w:rsidRPr="00670BBF">
        <w:rPr>
          <w:rFonts w:asciiTheme="majorBidi" w:hAnsiTheme="majorBidi" w:cstheme="majorBidi"/>
          <w:i/>
          <w:iCs/>
          <w:lang w:val="en-US"/>
        </w:rPr>
        <w:t>2</w:t>
      </w:r>
      <w:r w:rsidRPr="00670BBF">
        <w:rPr>
          <w:rFonts w:asciiTheme="majorBidi" w:hAnsiTheme="majorBidi" w:cstheme="majorBidi"/>
          <w:lang w:val="en-US"/>
        </w:rPr>
        <w:t>(6), 57-61.</w:t>
      </w:r>
      <w:bookmarkEnd w:id="300"/>
    </w:p>
    <w:p w14:paraId="2AF6EA6D" w14:textId="77777777" w:rsidR="00345650" w:rsidRPr="00C31AF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rPr>
      </w:pPr>
      <w:bookmarkStart w:id="301" w:name="_Toc200486120"/>
      <w:proofErr w:type="spellStart"/>
      <w:r w:rsidRPr="00670BBF">
        <w:rPr>
          <w:rFonts w:asciiTheme="majorBidi" w:hAnsiTheme="majorBidi" w:cstheme="majorBidi"/>
          <w:lang w:val="en-US"/>
        </w:rPr>
        <w:t>Arter</w:t>
      </w:r>
      <w:proofErr w:type="spellEnd"/>
      <w:r w:rsidRPr="00670BBF">
        <w:rPr>
          <w:rFonts w:asciiTheme="majorBidi" w:hAnsiTheme="majorBidi" w:cstheme="majorBidi"/>
          <w:lang w:val="en-US"/>
        </w:rPr>
        <w:t xml:space="preserve">, J. A. (1995). Portfolios for Assessment and Instruction. </w:t>
      </w:r>
      <w:r w:rsidRPr="00C31AFF">
        <w:rPr>
          <w:rFonts w:asciiTheme="majorBidi" w:hAnsiTheme="majorBidi" w:cstheme="majorBidi"/>
        </w:rPr>
        <w:t>ERIC Digest.</w:t>
      </w:r>
      <w:bookmarkEnd w:id="301"/>
    </w:p>
    <w:p w14:paraId="5D8C1D5B" w14:textId="77777777" w:rsidR="00345650" w:rsidRPr="00C31AF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rPr>
      </w:pPr>
      <w:bookmarkStart w:id="302" w:name="_Toc200486121"/>
      <w:r w:rsidRPr="00670BBF">
        <w:rPr>
          <w:rFonts w:asciiTheme="majorBidi" w:hAnsiTheme="majorBidi" w:cstheme="majorBidi"/>
          <w:lang w:val="en-US"/>
        </w:rPr>
        <w:t>Cole, D. J. (2000). </w:t>
      </w:r>
      <w:r w:rsidRPr="00670BBF">
        <w:rPr>
          <w:rFonts w:asciiTheme="majorBidi" w:hAnsiTheme="majorBidi" w:cstheme="majorBidi"/>
          <w:i/>
          <w:iCs/>
          <w:lang w:val="en-US"/>
        </w:rPr>
        <w:t>Portfolios across the curriculum and beyond</w:t>
      </w:r>
      <w:r w:rsidRPr="00670BBF">
        <w:rPr>
          <w:rFonts w:asciiTheme="majorBidi" w:hAnsiTheme="majorBidi" w:cstheme="majorBidi"/>
          <w:lang w:val="en-US"/>
        </w:rPr>
        <w:t xml:space="preserve">. </w:t>
      </w:r>
      <w:proofErr w:type="spellStart"/>
      <w:r w:rsidRPr="00C31AFF">
        <w:rPr>
          <w:rFonts w:asciiTheme="majorBidi" w:hAnsiTheme="majorBidi" w:cstheme="majorBidi"/>
        </w:rPr>
        <w:t>Corwin</w:t>
      </w:r>
      <w:proofErr w:type="spellEnd"/>
      <w:r w:rsidRPr="00C31AFF">
        <w:rPr>
          <w:rFonts w:asciiTheme="majorBidi" w:hAnsiTheme="majorBidi" w:cstheme="majorBidi"/>
        </w:rPr>
        <w:t xml:space="preserve"> </w:t>
      </w:r>
      <w:proofErr w:type="spellStart"/>
      <w:r w:rsidRPr="00C31AFF">
        <w:rPr>
          <w:rFonts w:asciiTheme="majorBidi" w:hAnsiTheme="majorBidi" w:cstheme="majorBidi"/>
        </w:rPr>
        <w:t>Press</w:t>
      </w:r>
      <w:proofErr w:type="spellEnd"/>
      <w:r w:rsidRPr="00C31AFF">
        <w:rPr>
          <w:rFonts w:asciiTheme="majorBidi" w:hAnsiTheme="majorBidi" w:cstheme="majorBidi"/>
        </w:rPr>
        <w:t>.</w:t>
      </w:r>
      <w:bookmarkEnd w:id="302"/>
    </w:p>
    <w:p w14:paraId="634F0A04" w14:textId="77777777" w:rsidR="00345650" w:rsidRPr="00670BB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lang w:val="en-US"/>
        </w:rPr>
      </w:pPr>
      <w:bookmarkStart w:id="303" w:name="_Toc200486122"/>
      <w:proofErr w:type="spellStart"/>
      <w:r w:rsidRPr="00670BBF">
        <w:rPr>
          <w:rFonts w:asciiTheme="majorBidi" w:hAnsiTheme="majorBidi" w:cstheme="majorBidi"/>
          <w:lang w:val="en-US"/>
        </w:rPr>
        <w:t>Gümüş</w:t>
      </w:r>
      <w:proofErr w:type="spellEnd"/>
      <w:r w:rsidRPr="00670BBF">
        <w:rPr>
          <w:rFonts w:asciiTheme="majorBidi" w:hAnsiTheme="majorBidi" w:cstheme="majorBidi"/>
          <w:lang w:val="en-US"/>
        </w:rPr>
        <w:t>, S. N. (2019). </w:t>
      </w:r>
      <w:r w:rsidRPr="00670BBF">
        <w:rPr>
          <w:rFonts w:asciiTheme="majorBidi" w:hAnsiTheme="majorBidi" w:cstheme="majorBidi"/>
          <w:i/>
          <w:iCs/>
          <w:lang w:val="en-US"/>
        </w:rPr>
        <w:t xml:space="preserve">The effect of portfolio keeping on young learners’ writing achievement and their motivation towards writing skills in </w:t>
      </w:r>
      <w:proofErr w:type="spellStart"/>
      <w:proofErr w:type="gramStart"/>
      <w:r w:rsidRPr="00670BBF">
        <w:rPr>
          <w:rFonts w:asciiTheme="majorBidi" w:hAnsiTheme="majorBidi" w:cstheme="majorBidi"/>
          <w:i/>
          <w:iCs/>
          <w:lang w:val="en-US"/>
        </w:rPr>
        <w:t>english</w:t>
      </w:r>
      <w:proofErr w:type="spellEnd"/>
      <w:proofErr w:type="gramEnd"/>
      <w:r w:rsidRPr="00670BBF">
        <w:rPr>
          <w:rFonts w:asciiTheme="majorBidi" w:hAnsiTheme="majorBidi" w:cstheme="majorBidi"/>
          <w:i/>
          <w:iCs/>
          <w:lang w:val="en-US"/>
        </w:rPr>
        <w:t xml:space="preserve"> as a foreign language</w:t>
      </w:r>
      <w:r w:rsidRPr="00670BBF">
        <w:rPr>
          <w:rFonts w:asciiTheme="majorBidi" w:hAnsiTheme="majorBidi" w:cstheme="majorBidi"/>
          <w:lang w:val="en-US"/>
        </w:rPr>
        <w:t xml:space="preserve"> (Master's thesis, </w:t>
      </w:r>
      <w:proofErr w:type="spellStart"/>
      <w:r w:rsidRPr="00670BBF">
        <w:rPr>
          <w:rFonts w:asciiTheme="majorBidi" w:hAnsiTheme="majorBidi" w:cstheme="majorBidi"/>
          <w:lang w:val="en-US"/>
        </w:rPr>
        <w:t>Pamukkale</w:t>
      </w:r>
      <w:proofErr w:type="spellEnd"/>
      <w:r w:rsidRPr="00670BBF">
        <w:rPr>
          <w:rFonts w:asciiTheme="majorBidi" w:hAnsiTheme="majorBidi" w:cstheme="majorBidi"/>
          <w:lang w:val="en-US"/>
        </w:rPr>
        <w:t xml:space="preserve"> </w:t>
      </w:r>
      <w:proofErr w:type="spellStart"/>
      <w:r w:rsidRPr="00670BBF">
        <w:rPr>
          <w:rFonts w:asciiTheme="majorBidi" w:hAnsiTheme="majorBidi" w:cstheme="majorBidi"/>
          <w:lang w:val="en-US"/>
        </w:rPr>
        <w:t>Üniversitesi</w:t>
      </w:r>
      <w:proofErr w:type="spellEnd"/>
      <w:r w:rsidRPr="00670BBF">
        <w:rPr>
          <w:rFonts w:asciiTheme="majorBidi" w:hAnsiTheme="majorBidi" w:cstheme="majorBidi"/>
          <w:lang w:val="en-US"/>
        </w:rPr>
        <w:t xml:space="preserve"> </w:t>
      </w:r>
      <w:proofErr w:type="spellStart"/>
      <w:r w:rsidRPr="00670BBF">
        <w:rPr>
          <w:rFonts w:asciiTheme="majorBidi" w:hAnsiTheme="majorBidi" w:cstheme="majorBidi"/>
          <w:lang w:val="en-US"/>
        </w:rPr>
        <w:t>Eğitim</w:t>
      </w:r>
      <w:proofErr w:type="spellEnd"/>
      <w:r w:rsidRPr="00670BBF">
        <w:rPr>
          <w:rFonts w:asciiTheme="majorBidi" w:hAnsiTheme="majorBidi" w:cstheme="majorBidi"/>
          <w:lang w:val="en-US"/>
        </w:rPr>
        <w:t xml:space="preserve"> </w:t>
      </w:r>
      <w:proofErr w:type="spellStart"/>
      <w:r w:rsidRPr="00670BBF">
        <w:rPr>
          <w:rFonts w:asciiTheme="majorBidi" w:hAnsiTheme="majorBidi" w:cstheme="majorBidi"/>
          <w:lang w:val="en-US"/>
        </w:rPr>
        <w:t>Bilimleri</w:t>
      </w:r>
      <w:proofErr w:type="spellEnd"/>
      <w:r w:rsidRPr="00670BBF">
        <w:rPr>
          <w:rFonts w:asciiTheme="majorBidi" w:hAnsiTheme="majorBidi" w:cstheme="majorBidi"/>
          <w:lang w:val="en-US"/>
        </w:rPr>
        <w:t xml:space="preserve"> </w:t>
      </w:r>
      <w:proofErr w:type="spellStart"/>
      <w:r w:rsidRPr="00670BBF">
        <w:rPr>
          <w:rFonts w:asciiTheme="majorBidi" w:hAnsiTheme="majorBidi" w:cstheme="majorBidi"/>
          <w:lang w:val="en-US"/>
        </w:rPr>
        <w:t>Enstitüsü</w:t>
      </w:r>
      <w:proofErr w:type="spellEnd"/>
      <w:r w:rsidRPr="00670BBF">
        <w:rPr>
          <w:rFonts w:asciiTheme="majorBidi" w:hAnsiTheme="majorBidi" w:cstheme="majorBidi"/>
          <w:lang w:val="en-US"/>
        </w:rPr>
        <w:t>).</w:t>
      </w:r>
      <w:bookmarkEnd w:id="303"/>
    </w:p>
    <w:p w14:paraId="6A40331D" w14:textId="77777777" w:rsidR="00345650" w:rsidRPr="00C31AF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rPr>
      </w:pPr>
      <w:bookmarkStart w:id="304" w:name="_Toc200486123"/>
      <w:r w:rsidRPr="00670BBF">
        <w:rPr>
          <w:rFonts w:asciiTheme="majorBidi" w:hAnsiTheme="majorBidi" w:cstheme="majorBidi"/>
          <w:lang w:val="en-US"/>
        </w:rPr>
        <w:t xml:space="preserve">Calfee, R. C., &amp; </w:t>
      </w:r>
      <w:proofErr w:type="spellStart"/>
      <w:r w:rsidRPr="00670BBF">
        <w:rPr>
          <w:rFonts w:asciiTheme="majorBidi" w:hAnsiTheme="majorBidi" w:cstheme="majorBidi"/>
          <w:lang w:val="en-US"/>
        </w:rPr>
        <w:t>Perfumo</w:t>
      </w:r>
      <w:proofErr w:type="spellEnd"/>
      <w:r w:rsidRPr="00670BBF">
        <w:rPr>
          <w:rFonts w:asciiTheme="majorBidi" w:hAnsiTheme="majorBidi" w:cstheme="majorBidi"/>
          <w:lang w:val="en-US"/>
        </w:rPr>
        <w:t xml:space="preserve">, P. (2012). A national survey of writing portfolio practice: </w:t>
      </w:r>
      <w:proofErr w:type="gramStart"/>
      <w:r w:rsidRPr="00670BBF">
        <w:rPr>
          <w:rFonts w:asciiTheme="majorBidi" w:hAnsiTheme="majorBidi" w:cstheme="majorBidi"/>
          <w:lang w:val="en-US"/>
        </w:rPr>
        <w:t>What we learned and what</w:t>
      </w:r>
      <w:proofErr w:type="gramEnd"/>
      <w:r w:rsidRPr="00670BBF">
        <w:rPr>
          <w:rFonts w:asciiTheme="majorBidi" w:hAnsiTheme="majorBidi" w:cstheme="majorBidi"/>
          <w:lang w:val="en-US"/>
        </w:rPr>
        <w:t xml:space="preserve"> it means. </w:t>
      </w:r>
      <w:proofErr w:type="spellStart"/>
      <w:r w:rsidRPr="00C31AFF">
        <w:rPr>
          <w:rFonts w:asciiTheme="majorBidi" w:hAnsiTheme="majorBidi" w:cstheme="majorBidi"/>
          <w:i/>
          <w:iCs/>
        </w:rPr>
        <w:t>Writing</w:t>
      </w:r>
      <w:proofErr w:type="spellEnd"/>
      <w:r w:rsidRPr="00C31AFF">
        <w:rPr>
          <w:rFonts w:asciiTheme="majorBidi" w:hAnsiTheme="majorBidi" w:cstheme="majorBidi"/>
          <w:i/>
          <w:iCs/>
        </w:rPr>
        <w:t xml:space="preserve"> portfolios in the </w:t>
      </w:r>
      <w:proofErr w:type="spellStart"/>
      <w:r w:rsidRPr="00C31AFF">
        <w:rPr>
          <w:rFonts w:asciiTheme="majorBidi" w:hAnsiTheme="majorBidi" w:cstheme="majorBidi"/>
          <w:i/>
          <w:iCs/>
        </w:rPr>
        <w:t>classroom</w:t>
      </w:r>
      <w:proofErr w:type="spellEnd"/>
      <w:r w:rsidRPr="00C31AFF">
        <w:rPr>
          <w:rFonts w:asciiTheme="majorBidi" w:hAnsiTheme="majorBidi" w:cstheme="majorBidi"/>
        </w:rPr>
        <w:t>, 63-81.</w:t>
      </w:r>
      <w:bookmarkEnd w:id="304"/>
    </w:p>
    <w:p w14:paraId="3BF5BC72" w14:textId="77777777" w:rsidR="00345650" w:rsidRPr="00670BB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lang w:val="en-US"/>
        </w:rPr>
      </w:pPr>
      <w:bookmarkStart w:id="305" w:name="_Toc200486124"/>
      <w:proofErr w:type="spellStart"/>
      <w:r w:rsidRPr="00670BBF">
        <w:rPr>
          <w:rFonts w:asciiTheme="majorBidi" w:hAnsiTheme="majorBidi" w:cstheme="majorBidi"/>
          <w:lang w:val="en-US"/>
        </w:rPr>
        <w:t>Sivenbring</w:t>
      </w:r>
      <w:proofErr w:type="spellEnd"/>
      <w:r w:rsidRPr="00670BBF">
        <w:rPr>
          <w:rFonts w:asciiTheme="majorBidi" w:hAnsiTheme="majorBidi" w:cstheme="majorBidi"/>
          <w:lang w:val="en-US"/>
        </w:rPr>
        <w:t>, J. (2019). Making sense and use of assessments. </w:t>
      </w:r>
      <w:r w:rsidRPr="00670BBF">
        <w:rPr>
          <w:rFonts w:asciiTheme="majorBidi" w:hAnsiTheme="majorBidi" w:cstheme="majorBidi"/>
          <w:i/>
          <w:iCs/>
          <w:lang w:val="en-US"/>
        </w:rPr>
        <w:t>Scandinavian Journal of Educational Research</w:t>
      </w:r>
      <w:r w:rsidRPr="00670BBF">
        <w:rPr>
          <w:rFonts w:asciiTheme="majorBidi" w:hAnsiTheme="majorBidi" w:cstheme="majorBidi"/>
          <w:lang w:val="en-US"/>
        </w:rPr>
        <w:t>, </w:t>
      </w:r>
      <w:r w:rsidRPr="00670BBF">
        <w:rPr>
          <w:rFonts w:asciiTheme="majorBidi" w:hAnsiTheme="majorBidi" w:cstheme="majorBidi"/>
          <w:i/>
          <w:iCs/>
          <w:lang w:val="en-US"/>
        </w:rPr>
        <w:t>63</w:t>
      </w:r>
      <w:r w:rsidRPr="00670BBF">
        <w:rPr>
          <w:rFonts w:asciiTheme="majorBidi" w:hAnsiTheme="majorBidi" w:cstheme="majorBidi"/>
          <w:lang w:val="en-US"/>
        </w:rPr>
        <w:t>(5), 759-770.</w:t>
      </w:r>
      <w:bookmarkEnd w:id="305"/>
    </w:p>
    <w:p w14:paraId="5D4B443E" w14:textId="77777777" w:rsidR="00345650" w:rsidRPr="00C31AF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rPr>
      </w:pPr>
      <w:bookmarkStart w:id="306" w:name="_Toc200486125"/>
      <w:r w:rsidRPr="00670BBF">
        <w:rPr>
          <w:rFonts w:asciiTheme="majorBidi" w:hAnsiTheme="majorBidi" w:cstheme="majorBidi"/>
          <w:lang w:val="en-US"/>
        </w:rPr>
        <w:t>Dann, R. (2012). </w:t>
      </w:r>
      <w:r w:rsidRPr="00670BBF">
        <w:rPr>
          <w:rFonts w:asciiTheme="majorBidi" w:hAnsiTheme="majorBidi" w:cstheme="majorBidi"/>
          <w:i/>
          <w:iCs/>
          <w:lang w:val="en-US"/>
        </w:rPr>
        <w:t>Promoting assessment as learning: Improving the learning process</w:t>
      </w:r>
      <w:r w:rsidRPr="00670BBF">
        <w:rPr>
          <w:rFonts w:asciiTheme="majorBidi" w:hAnsiTheme="majorBidi" w:cstheme="majorBidi"/>
          <w:lang w:val="en-US"/>
        </w:rPr>
        <w:t xml:space="preserve">. </w:t>
      </w:r>
      <w:proofErr w:type="spellStart"/>
      <w:r w:rsidRPr="00C31AFF">
        <w:rPr>
          <w:rFonts w:asciiTheme="majorBidi" w:hAnsiTheme="majorBidi" w:cstheme="majorBidi"/>
        </w:rPr>
        <w:t>Routledge</w:t>
      </w:r>
      <w:proofErr w:type="spellEnd"/>
      <w:r w:rsidRPr="00C31AFF">
        <w:rPr>
          <w:rFonts w:asciiTheme="majorBidi" w:hAnsiTheme="majorBidi" w:cstheme="majorBidi"/>
        </w:rPr>
        <w:t>.</w:t>
      </w:r>
      <w:bookmarkEnd w:id="306"/>
    </w:p>
    <w:p w14:paraId="2B85EEC5" w14:textId="77777777" w:rsidR="00345650" w:rsidRPr="00C31AF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rPr>
      </w:pPr>
      <w:bookmarkStart w:id="307" w:name="_Toc200486126"/>
      <w:proofErr w:type="spellStart"/>
      <w:r w:rsidRPr="00670BBF">
        <w:rPr>
          <w:rFonts w:asciiTheme="majorBidi" w:hAnsiTheme="majorBidi" w:cstheme="majorBidi"/>
          <w:lang w:val="en-US"/>
        </w:rPr>
        <w:t>Guskey</w:t>
      </w:r>
      <w:proofErr w:type="spellEnd"/>
      <w:r w:rsidRPr="00670BBF">
        <w:rPr>
          <w:rFonts w:asciiTheme="majorBidi" w:hAnsiTheme="majorBidi" w:cstheme="majorBidi"/>
          <w:lang w:val="en-US"/>
        </w:rPr>
        <w:t>, T. R., &amp; Link, L. J. (2019). Exploring the factors teachers consider in determining students’ grades. </w:t>
      </w:r>
      <w:proofErr w:type="spellStart"/>
      <w:r w:rsidRPr="00C31AFF">
        <w:rPr>
          <w:rFonts w:asciiTheme="majorBidi" w:hAnsiTheme="majorBidi" w:cstheme="majorBidi"/>
          <w:i/>
          <w:iCs/>
        </w:rPr>
        <w:t>Assessment</w:t>
      </w:r>
      <w:proofErr w:type="spellEnd"/>
      <w:r w:rsidRPr="00C31AFF">
        <w:rPr>
          <w:rFonts w:asciiTheme="majorBidi" w:hAnsiTheme="majorBidi" w:cstheme="majorBidi"/>
          <w:i/>
          <w:iCs/>
        </w:rPr>
        <w:t xml:space="preserve"> in </w:t>
      </w:r>
      <w:proofErr w:type="gramStart"/>
      <w:r w:rsidRPr="00C31AFF">
        <w:rPr>
          <w:rFonts w:asciiTheme="majorBidi" w:hAnsiTheme="majorBidi" w:cstheme="majorBidi"/>
          <w:i/>
          <w:iCs/>
        </w:rPr>
        <w:t>Education:</w:t>
      </w:r>
      <w:proofErr w:type="gramEnd"/>
      <w:r w:rsidRPr="00C31AFF">
        <w:rPr>
          <w:rFonts w:asciiTheme="majorBidi" w:hAnsiTheme="majorBidi" w:cstheme="majorBidi"/>
          <w:i/>
          <w:iCs/>
        </w:rPr>
        <w:t xml:space="preserve"> </w:t>
      </w:r>
      <w:proofErr w:type="spellStart"/>
      <w:r w:rsidRPr="00C31AFF">
        <w:rPr>
          <w:rFonts w:asciiTheme="majorBidi" w:hAnsiTheme="majorBidi" w:cstheme="majorBidi"/>
          <w:i/>
          <w:iCs/>
        </w:rPr>
        <w:t>Principles</w:t>
      </w:r>
      <w:proofErr w:type="spellEnd"/>
      <w:r w:rsidRPr="00C31AFF">
        <w:rPr>
          <w:rFonts w:asciiTheme="majorBidi" w:hAnsiTheme="majorBidi" w:cstheme="majorBidi"/>
          <w:i/>
          <w:iCs/>
        </w:rPr>
        <w:t>, Policy &amp; Practice</w:t>
      </w:r>
      <w:r w:rsidRPr="00C31AFF">
        <w:rPr>
          <w:rFonts w:asciiTheme="majorBidi" w:hAnsiTheme="majorBidi" w:cstheme="majorBidi"/>
        </w:rPr>
        <w:t>, </w:t>
      </w:r>
      <w:r w:rsidRPr="00C31AFF">
        <w:rPr>
          <w:rFonts w:asciiTheme="majorBidi" w:hAnsiTheme="majorBidi" w:cstheme="majorBidi"/>
          <w:i/>
          <w:iCs/>
        </w:rPr>
        <w:t>26</w:t>
      </w:r>
      <w:r w:rsidRPr="00C31AFF">
        <w:rPr>
          <w:rFonts w:asciiTheme="majorBidi" w:hAnsiTheme="majorBidi" w:cstheme="majorBidi"/>
        </w:rPr>
        <w:t>(3), 303-320.</w:t>
      </w:r>
      <w:bookmarkEnd w:id="307"/>
    </w:p>
    <w:p w14:paraId="4C25B2CA" w14:textId="77777777" w:rsidR="00345650" w:rsidRPr="00C31AF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rPr>
      </w:pPr>
      <w:bookmarkStart w:id="308" w:name="_Toc200486127"/>
      <w:proofErr w:type="spellStart"/>
      <w:r w:rsidRPr="00670BBF">
        <w:rPr>
          <w:rFonts w:asciiTheme="majorBidi" w:hAnsiTheme="majorBidi" w:cstheme="majorBidi"/>
          <w:lang w:val="en-US"/>
        </w:rPr>
        <w:t>Guskey</w:t>
      </w:r>
      <w:proofErr w:type="spellEnd"/>
      <w:r w:rsidRPr="00670BBF">
        <w:rPr>
          <w:rFonts w:asciiTheme="majorBidi" w:hAnsiTheme="majorBidi" w:cstheme="majorBidi"/>
          <w:lang w:val="en-US"/>
        </w:rPr>
        <w:t>, T. R. (2000). </w:t>
      </w:r>
      <w:r w:rsidRPr="00670BBF">
        <w:rPr>
          <w:rFonts w:asciiTheme="majorBidi" w:hAnsiTheme="majorBidi" w:cstheme="majorBidi"/>
          <w:i/>
          <w:iCs/>
          <w:lang w:val="en-US"/>
        </w:rPr>
        <w:t>Evaluating professional development</w:t>
      </w:r>
      <w:r w:rsidRPr="00670BBF">
        <w:rPr>
          <w:rFonts w:asciiTheme="majorBidi" w:hAnsiTheme="majorBidi" w:cstheme="majorBidi"/>
          <w:lang w:val="en-US"/>
        </w:rPr>
        <w:t xml:space="preserve"> (Vol. 1). </w:t>
      </w:r>
      <w:proofErr w:type="spellStart"/>
      <w:r w:rsidRPr="00C31AFF">
        <w:rPr>
          <w:rFonts w:asciiTheme="majorBidi" w:hAnsiTheme="majorBidi" w:cstheme="majorBidi"/>
        </w:rPr>
        <w:t>Corwin</w:t>
      </w:r>
      <w:proofErr w:type="spellEnd"/>
      <w:r w:rsidRPr="00C31AFF">
        <w:rPr>
          <w:rFonts w:asciiTheme="majorBidi" w:hAnsiTheme="majorBidi" w:cstheme="majorBidi"/>
        </w:rPr>
        <w:t xml:space="preserve"> </w:t>
      </w:r>
      <w:proofErr w:type="spellStart"/>
      <w:r w:rsidRPr="00C31AFF">
        <w:rPr>
          <w:rFonts w:asciiTheme="majorBidi" w:hAnsiTheme="majorBidi" w:cstheme="majorBidi"/>
        </w:rPr>
        <w:t>press</w:t>
      </w:r>
      <w:proofErr w:type="spellEnd"/>
      <w:r w:rsidRPr="00C31AFF">
        <w:rPr>
          <w:rFonts w:asciiTheme="majorBidi" w:hAnsiTheme="majorBidi" w:cstheme="majorBidi"/>
        </w:rPr>
        <w:t>.</w:t>
      </w:r>
      <w:bookmarkEnd w:id="308"/>
    </w:p>
    <w:p w14:paraId="5D48C433" w14:textId="77777777" w:rsidR="00345650" w:rsidRPr="00C31AF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rPr>
      </w:pPr>
      <w:bookmarkStart w:id="309" w:name="_Toc200486128"/>
      <w:proofErr w:type="spellStart"/>
      <w:r w:rsidRPr="00670BBF">
        <w:rPr>
          <w:rFonts w:asciiTheme="majorBidi" w:hAnsiTheme="majorBidi" w:cstheme="majorBidi"/>
          <w:lang w:val="en-US"/>
        </w:rPr>
        <w:t>Popham</w:t>
      </w:r>
      <w:proofErr w:type="spellEnd"/>
      <w:r w:rsidRPr="00670BBF">
        <w:rPr>
          <w:rFonts w:asciiTheme="majorBidi" w:hAnsiTheme="majorBidi" w:cstheme="majorBidi"/>
          <w:lang w:val="en-US"/>
        </w:rPr>
        <w:t>, W. J. (2009). Assessment literacy for teachers: Faddish or fundamental? </w:t>
      </w:r>
      <w:r w:rsidRPr="00C31AFF">
        <w:rPr>
          <w:rFonts w:asciiTheme="majorBidi" w:hAnsiTheme="majorBidi" w:cstheme="majorBidi"/>
          <w:i/>
          <w:iCs/>
        </w:rPr>
        <w:t xml:space="preserve">Theory </w:t>
      </w:r>
      <w:proofErr w:type="spellStart"/>
      <w:r w:rsidRPr="00C31AFF">
        <w:rPr>
          <w:rFonts w:asciiTheme="majorBidi" w:hAnsiTheme="majorBidi" w:cstheme="majorBidi"/>
          <w:i/>
          <w:iCs/>
        </w:rPr>
        <w:t>into</w:t>
      </w:r>
      <w:proofErr w:type="spellEnd"/>
      <w:r w:rsidRPr="00C31AFF">
        <w:rPr>
          <w:rFonts w:asciiTheme="majorBidi" w:hAnsiTheme="majorBidi" w:cstheme="majorBidi"/>
          <w:i/>
          <w:iCs/>
        </w:rPr>
        <w:t xml:space="preserve"> practice</w:t>
      </w:r>
      <w:r w:rsidRPr="00C31AFF">
        <w:rPr>
          <w:rFonts w:asciiTheme="majorBidi" w:hAnsiTheme="majorBidi" w:cstheme="majorBidi"/>
        </w:rPr>
        <w:t>, </w:t>
      </w:r>
      <w:r w:rsidRPr="00C31AFF">
        <w:rPr>
          <w:rFonts w:asciiTheme="majorBidi" w:hAnsiTheme="majorBidi" w:cstheme="majorBidi"/>
          <w:i/>
          <w:iCs/>
        </w:rPr>
        <w:t>48</w:t>
      </w:r>
      <w:r w:rsidRPr="00C31AFF">
        <w:rPr>
          <w:rFonts w:asciiTheme="majorBidi" w:hAnsiTheme="majorBidi" w:cstheme="majorBidi"/>
        </w:rPr>
        <w:t>(1), 4-11.</w:t>
      </w:r>
      <w:bookmarkEnd w:id="309"/>
    </w:p>
    <w:p w14:paraId="4B9BCA0B" w14:textId="77777777" w:rsidR="00345650" w:rsidRPr="00670BB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lang w:val="en-US"/>
        </w:rPr>
      </w:pPr>
      <w:bookmarkStart w:id="310" w:name="_Toc200486129"/>
      <w:proofErr w:type="spellStart"/>
      <w:r w:rsidRPr="00670BBF">
        <w:rPr>
          <w:rFonts w:asciiTheme="majorBidi" w:hAnsiTheme="majorBidi" w:cstheme="majorBidi"/>
          <w:lang w:val="en-US"/>
        </w:rPr>
        <w:t>Mertler</w:t>
      </w:r>
      <w:proofErr w:type="spellEnd"/>
      <w:r w:rsidRPr="00670BBF">
        <w:rPr>
          <w:rFonts w:asciiTheme="majorBidi" w:hAnsiTheme="majorBidi" w:cstheme="majorBidi"/>
          <w:lang w:val="en-US"/>
        </w:rPr>
        <w:t xml:space="preserve">, C. A. (2003). Preservice Versus </w:t>
      </w:r>
      <w:proofErr w:type="spellStart"/>
      <w:r w:rsidRPr="00670BBF">
        <w:rPr>
          <w:rFonts w:asciiTheme="majorBidi" w:hAnsiTheme="majorBidi" w:cstheme="majorBidi"/>
          <w:lang w:val="en-US"/>
        </w:rPr>
        <w:t>Inservice</w:t>
      </w:r>
      <w:proofErr w:type="spellEnd"/>
      <w:r w:rsidRPr="00670BBF">
        <w:rPr>
          <w:rFonts w:asciiTheme="majorBidi" w:hAnsiTheme="majorBidi" w:cstheme="majorBidi"/>
          <w:lang w:val="en-US"/>
        </w:rPr>
        <w:t xml:space="preserve"> Teachers' Assessment Literacy: Does Classroom Experience Make a Difference?</w:t>
      </w:r>
      <w:bookmarkEnd w:id="310"/>
    </w:p>
    <w:p w14:paraId="32A2E8F4" w14:textId="77777777" w:rsidR="00345650" w:rsidRPr="008A5BC3" w:rsidRDefault="00345650" w:rsidP="00FE6499">
      <w:pPr>
        <w:pStyle w:val="Paragraphedeliste"/>
        <w:numPr>
          <w:ilvl w:val="0"/>
          <w:numId w:val="13"/>
        </w:numPr>
        <w:spacing w:before="100" w:beforeAutospacing="1" w:after="100" w:afterAutospacing="1"/>
        <w:ind w:hanging="720"/>
        <w:contextualSpacing w:val="0"/>
      </w:pPr>
      <w:bookmarkStart w:id="311" w:name="_Toc200486130"/>
      <w:proofErr w:type="spellStart"/>
      <w:r w:rsidRPr="00670BBF">
        <w:rPr>
          <w:lang w:val="en-US"/>
        </w:rPr>
        <w:t>Stiggins</w:t>
      </w:r>
      <w:proofErr w:type="spellEnd"/>
      <w:r w:rsidRPr="00670BBF">
        <w:rPr>
          <w:lang w:val="en-US"/>
        </w:rPr>
        <w:t xml:space="preserve">, Richard J. “Assessment, Student Confidence, and School Success.” </w:t>
      </w:r>
      <w:r w:rsidRPr="00670BBF">
        <w:rPr>
          <w:i/>
          <w:iCs/>
          <w:lang w:val="en-US"/>
        </w:rPr>
        <w:t xml:space="preserve">The Phi Delta </w:t>
      </w:r>
      <w:proofErr w:type="spellStart"/>
      <w:r w:rsidRPr="00670BBF">
        <w:rPr>
          <w:i/>
          <w:iCs/>
          <w:lang w:val="en-US"/>
        </w:rPr>
        <w:t>Kappan</w:t>
      </w:r>
      <w:proofErr w:type="spellEnd"/>
      <w:r w:rsidRPr="00670BBF">
        <w:rPr>
          <w:lang w:val="en-US"/>
        </w:rPr>
        <w:t xml:space="preserve">, vol. 81, no. 3, 1999, pp. 191–98. </w:t>
      </w:r>
      <w:r w:rsidRPr="00670BBF">
        <w:rPr>
          <w:i/>
          <w:iCs/>
          <w:lang w:val="en-US"/>
        </w:rPr>
        <w:t>JSTOR</w:t>
      </w:r>
      <w:r w:rsidRPr="00670BBF">
        <w:rPr>
          <w:lang w:val="en-US"/>
        </w:rPr>
        <w:t xml:space="preserve">, </w:t>
      </w:r>
      <w:hyperlink r:id="rId80" w:history="1">
        <w:r w:rsidRPr="00670BBF">
          <w:rPr>
            <w:rStyle w:val="Lienhypertexte"/>
            <w:lang w:val="en-US"/>
          </w:rPr>
          <w:t xml:space="preserve">http://www.jstor.org/stable/20439619. </w:t>
        </w:r>
        <w:proofErr w:type="spellStart"/>
        <w:r w:rsidRPr="008A5BC3">
          <w:rPr>
            <w:rStyle w:val="Lienhypertexte"/>
          </w:rPr>
          <w:t>Accessed</w:t>
        </w:r>
        <w:proofErr w:type="spellEnd"/>
        <w:r w:rsidRPr="008A5BC3">
          <w:rPr>
            <w:rStyle w:val="Lienhypertexte"/>
          </w:rPr>
          <w:t xml:space="preserve"> 5 Apr. 2025</w:t>
        </w:r>
      </w:hyperlink>
      <w:r w:rsidRPr="008A5BC3">
        <w:t>.</w:t>
      </w:r>
      <w:bookmarkEnd w:id="311"/>
    </w:p>
    <w:p w14:paraId="713E2782" w14:textId="6FC77D88" w:rsidR="00345650" w:rsidRPr="008A5BC3" w:rsidRDefault="00345650" w:rsidP="003A7AA4">
      <w:pPr>
        <w:pStyle w:val="Paragraphedeliste"/>
        <w:numPr>
          <w:ilvl w:val="0"/>
          <w:numId w:val="13"/>
        </w:numPr>
        <w:spacing w:before="100" w:beforeAutospacing="1" w:after="100" w:afterAutospacing="1"/>
        <w:ind w:hanging="720"/>
        <w:contextualSpacing w:val="0"/>
      </w:pPr>
      <w:bookmarkStart w:id="312" w:name="_Toc200486131"/>
      <w:r w:rsidRPr="00670BBF">
        <w:rPr>
          <w:lang w:val="en-US"/>
        </w:rPr>
        <w:t xml:space="preserve">Apostol, Enrique &amp; </w:t>
      </w:r>
      <w:proofErr w:type="spellStart"/>
      <w:r w:rsidRPr="00670BBF">
        <w:rPr>
          <w:lang w:val="en-US"/>
        </w:rPr>
        <w:t>Sereño</w:t>
      </w:r>
      <w:proofErr w:type="spellEnd"/>
      <w:r w:rsidRPr="00670BBF">
        <w:rPr>
          <w:lang w:val="en-US"/>
        </w:rPr>
        <w:t xml:space="preserve">, </w:t>
      </w:r>
      <w:proofErr w:type="spellStart"/>
      <w:r w:rsidRPr="00670BBF">
        <w:rPr>
          <w:lang w:val="en-US"/>
        </w:rPr>
        <w:t>Raiza</w:t>
      </w:r>
      <w:proofErr w:type="spellEnd"/>
      <w:r w:rsidRPr="00670BBF">
        <w:rPr>
          <w:lang w:val="en-US"/>
        </w:rPr>
        <w:t xml:space="preserve"> Rhea &amp; Cuevas, Gloria &amp; </w:t>
      </w:r>
      <w:proofErr w:type="spellStart"/>
      <w:r w:rsidRPr="00670BBF">
        <w:rPr>
          <w:lang w:val="en-US"/>
        </w:rPr>
        <w:t>Sumicad</w:t>
      </w:r>
      <w:proofErr w:type="spellEnd"/>
      <w:r w:rsidRPr="00670BBF">
        <w:rPr>
          <w:lang w:val="en-US"/>
        </w:rPr>
        <w:t xml:space="preserve">, </w:t>
      </w:r>
      <w:proofErr w:type="spellStart"/>
      <w:r w:rsidRPr="00670BBF">
        <w:rPr>
          <w:lang w:val="en-US"/>
        </w:rPr>
        <w:t>Rulthan</w:t>
      </w:r>
      <w:proofErr w:type="spellEnd"/>
      <w:r w:rsidRPr="00670BBF">
        <w:rPr>
          <w:lang w:val="en-US"/>
        </w:rPr>
        <w:t xml:space="preserve"> &amp; </w:t>
      </w:r>
      <w:proofErr w:type="spellStart"/>
      <w:r w:rsidRPr="00670BBF">
        <w:rPr>
          <w:lang w:val="en-US"/>
        </w:rPr>
        <w:t>Pinatil</w:t>
      </w:r>
      <w:proofErr w:type="spellEnd"/>
      <w:r w:rsidRPr="00670BBF">
        <w:rPr>
          <w:lang w:val="en-US"/>
        </w:rPr>
        <w:t xml:space="preserve">, </w:t>
      </w:r>
      <w:proofErr w:type="spellStart"/>
      <w:r w:rsidRPr="00670BBF">
        <w:rPr>
          <w:lang w:val="en-US"/>
        </w:rPr>
        <w:t>Milphene</w:t>
      </w:r>
      <w:proofErr w:type="spellEnd"/>
      <w:r w:rsidRPr="00670BBF">
        <w:rPr>
          <w:lang w:val="en-US"/>
        </w:rPr>
        <w:t xml:space="preserve">. (2023). Evaluating Educators: A Comprehensive Study of Teachers' Assessment Skills and Practices. </w:t>
      </w:r>
      <w:r w:rsidRPr="008A5BC3">
        <w:t xml:space="preserve">Journal of World </w:t>
      </w:r>
      <w:proofErr w:type="spellStart"/>
      <w:r w:rsidRPr="008A5BC3">
        <w:t>Englishes</w:t>
      </w:r>
      <w:proofErr w:type="spellEnd"/>
      <w:r w:rsidRPr="008A5BC3">
        <w:t xml:space="preserve"> and </w:t>
      </w:r>
      <w:proofErr w:type="spellStart"/>
      <w:r w:rsidRPr="008A5BC3">
        <w:t>Educational</w:t>
      </w:r>
      <w:proofErr w:type="spellEnd"/>
      <w:r w:rsidRPr="008A5BC3">
        <w:t xml:space="preserve"> Practices. 5. 56-69. 10.32996/jweep.2023.5.3.5.</w:t>
      </w:r>
      <w:bookmarkEnd w:id="312"/>
    </w:p>
    <w:p w14:paraId="787E980A" w14:textId="77777777" w:rsidR="00345650" w:rsidRPr="00C31AF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rPr>
      </w:pPr>
      <w:bookmarkStart w:id="313" w:name="_Toc200486132"/>
      <w:proofErr w:type="spellStart"/>
      <w:r w:rsidRPr="00670BBF">
        <w:rPr>
          <w:rFonts w:asciiTheme="majorBidi" w:hAnsiTheme="majorBidi" w:cstheme="majorBidi"/>
          <w:lang w:val="en-US"/>
        </w:rPr>
        <w:t>Popham</w:t>
      </w:r>
      <w:proofErr w:type="spellEnd"/>
      <w:r w:rsidRPr="00670BBF">
        <w:rPr>
          <w:rFonts w:asciiTheme="majorBidi" w:hAnsiTheme="majorBidi" w:cstheme="majorBidi"/>
          <w:lang w:val="en-US"/>
        </w:rPr>
        <w:t>, W. J. (2001). </w:t>
      </w:r>
      <w:r w:rsidRPr="00670BBF">
        <w:rPr>
          <w:rFonts w:asciiTheme="majorBidi" w:hAnsiTheme="majorBidi" w:cstheme="majorBidi"/>
          <w:i/>
          <w:iCs/>
          <w:lang w:val="en-US"/>
        </w:rPr>
        <w:t>The truth about testing: An educator's call to action</w:t>
      </w:r>
      <w:r w:rsidRPr="00670BBF">
        <w:rPr>
          <w:rFonts w:asciiTheme="majorBidi" w:hAnsiTheme="majorBidi" w:cstheme="majorBidi"/>
          <w:lang w:val="en-US"/>
        </w:rPr>
        <w:t xml:space="preserve">. </w:t>
      </w:r>
      <w:r w:rsidRPr="00C31AFF">
        <w:rPr>
          <w:rFonts w:asciiTheme="majorBidi" w:hAnsiTheme="majorBidi" w:cstheme="majorBidi"/>
        </w:rPr>
        <w:t>ASCD.</w:t>
      </w:r>
      <w:bookmarkEnd w:id="313"/>
    </w:p>
    <w:p w14:paraId="2B9BB48A" w14:textId="77777777" w:rsidR="00345650" w:rsidRPr="00C31AF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rPr>
      </w:pPr>
      <w:bookmarkStart w:id="314" w:name="_Toc200486133"/>
      <w:r w:rsidRPr="00670BBF">
        <w:rPr>
          <w:rFonts w:asciiTheme="majorBidi" w:hAnsiTheme="majorBidi" w:cstheme="majorBidi"/>
          <w:lang w:val="en-US"/>
        </w:rPr>
        <w:t xml:space="preserve">Pearce, R. </w:t>
      </w:r>
      <w:bookmarkStart w:id="315" w:name="_Hlk195364478"/>
      <w:r w:rsidRPr="00670BBF">
        <w:rPr>
          <w:rFonts w:asciiTheme="majorBidi" w:hAnsiTheme="majorBidi" w:cstheme="majorBidi"/>
          <w:lang w:val="en-US"/>
        </w:rPr>
        <w:t>(2003). </w:t>
      </w:r>
      <w:bookmarkEnd w:id="315"/>
      <w:r w:rsidRPr="00670BBF">
        <w:rPr>
          <w:rFonts w:asciiTheme="majorBidi" w:hAnsiTheme="majorBidi" w:cstheme="majorBidi"/>
          <w:i/>
          <w:iCs/>
          <w:lang w:val="en-US"/>
        </w:rPr>
        <w:t>Profiles and portfolios of evidence</w:t>
      </w:r>
      <w:r w:rsidRPr="00670BBF">
        <w:rPr>
          <w:rFonts w:asciiTheme="majorBidi" w:hAnsiTheme="majorBidi" w:cstheme="majorBidi"/>
          <w:lang w:val="en-US"/>
        </w:rPr>
        <w:t xml:space="preserve">. </w:t>
      </w:r>
      <w:r w:rsidRPr="00C31AFF">
        <w:rPr>
          <w:rFonts w:asciiTheme="majorBidi" w:hAnsiTheme="majorBidi" w:cstheme="majorBidi"/>
        </w:rPr>
        <w:t xml:space="preserve">Nelson </w:t>
      </w:r>
      <w:proofErr w:type="spellStart"/>
      <w:r w:rsidRPr="00C31AFF">
        <w:rPr>
          <w:rFonts w:asciiTheme="majorBidi" w:hAnsiTheme="majorBidi" w:cstheme="majorBidi"/>
        </w:rPr>
        <w:t>Thornes</w:t>
      </w:r>
      <w:proofErr w:type="spellEnd"/>
      <w:r w:rsidRPr="00C31AFF">
        <w:rPr>
          <w:rFonts w:asciiTheme="majorBidi" w:hAnsiTheme="majorBidi" w:cstheme="majorBidi"/>
        </w:rPr>
        <w:t>.</w:t>
      </w:r>
      <w:bookmarkEnd w:id="314"/>
    </w:p>
    <w:p w14:paraId="0F69E42F" w14:textId="77777777" w:rsidR="00345650" w:rsidRPr="00C31AF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rPr>
      </w:pPr>
      <w:bookmarkStart w:id="316" w:name="_Toc200486134"/>
      <w:r w:rsidRPr="00670BBF">
        <w:rPr>
          <w:rFonts w:asciiTheme="majorBidi" w:hAnsiTheme="majorBidi" w:cstheme="majorBidi"/>
          <w:lang w:val="en-US"/>
        </w:rPr>
        <w:t>Graham Gibbs (1988). Learning by doing: a guide to teaching and learning methods.</w:t>
      </w:r>
      <w:r w:rsidRPr="00670BBF">
        <w:rPr>
          <w:rFonts w:ascii="inherit" w:hAnsi="inherit" w:cs="Open Sans"/>
          <w:color w:val="222222"/>
          <w:sz w:val="21"/>
          <w:szCs w:val="21"/>
          <w:bdr w:val="none" w:sz="0" w:space="0" w:color="auto" w:frame="1"/>
          <w:lang w:val="en-US"/>
        </w:rPr>
        <w:t xml:space="preserve"> </w:t>
      </w:r>
      <w:r w:rsidRPr="00C31AFF">
        <w:rPr>
          <w:rFonts w:asciiTheme="majorBidi" w:hAnsiTheme="majorBidi" w:cstheme="majorBidi"/>
        </w:rPr>
        <w:t xml:space="preserve">Oxford Centre for Staff and Learning </w:t>
      </w:r>
      <w:proofErr w:type="spellStart"/>
      <w:r w:rsidRPr="00C31AFF">
        <w:rPr>
          <w:rFonts w:asciiTheme="majorBidi" w:hAnsiTheme="majorBidi" w:cstheme="majorBidi"/>
        </w:rPr>
        <w:t>Development</w:t>
      </w:r>
      <w:proofErr w:type="spellEnd"/>
      <w:r w:rsidRPr="00C31AFF">
        <w:rPr>
          <w:rFonts w:asciiTheme="majorBidi" w:hAnsiTheme="majorBidi" w:cstheme="majorBidi"/>
        </w:rPr>
        <w:t>, 1988</w:t>
      </w:r>
      <w:bookmarkEnd w:id="316"/>
    </w:p>
    <w:p w14:paraId="6C638E94" w14:textId="77777777" w:rsidR="00345650" w:rsidRPr="00C31AF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vanish/>
        </w:rPr>
      </w:pPr>
      <w:r w:rsidRPr="00C31AFF">
        <w:rPr>
          <w:rFonts w:asciiTheme="majorBidi" w:hAnsiTheme="majorBidi" w:cstheme="majorBidi"/>
          <w:vanish/>
        </w:rPr>
        <w:t>Top of Form</w:t>
      </w:r>
    </w:p>
    <w:p w14:paraId="4261A3C0" w14:textId="77777777" w:rsidR="00345650" w:rsidRPr="00C31AF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rPr>
      </w:pPr>
      <w:bookmarkStart w:id="317" w:name="_Toc200486135"/>
      <w:r w:rsidRPr="00670BBF">
        <w:rPr>
          <w:rFonts w:asciiTheme="majorBidi" w:hAnsiTheme="majorBidi" w:cstheme="majorBidi"/>
          <w:lang w:val="en-US"/>
        </w:rPr>
        <w:t>Gibbs, G. (2010). </w:t>
      </w:r>
      <w:r w:rsidRPr="00670BBF">
        <w:rPr>
          <w:rFonts w:asciiTheme="majorBidi" w:hAnsiTheme="majorBidi" w:cstheme="majorBidi"/>
          <w:i/>
          <w:iCs/>
          <w:lang w:val="en-US"/>
        </w:rPr>
        <w:t>Using assessment to support student learning</w:t>
      </w:r>
      <w:r w:rsidRPr="00670BBF">
        <w:rPr>
          <w:rFonts w:asciiTheme="majorBidi" w:hAnsiTheme="majorBidi" w:cstheme="majorBidi"/>
          <w:lang w:val="en-US"/>
        </w:rPr>
        <w:t xml:space="preserve">. </w:t>
      </w:r>
      <w:r w:rsidRPr="00C31AFF">
        <w:rPr>
          <w:rFonts w:asciiTheme="majorBidi" w:hAnsiTheme="majorBidi" w:cstheme="majorBidi"/>
        </w:rPr>
        <w:t xml:space="preserve">Leeds Met </w:t>
      </w:r>
      <w:proofErr w:type="spellStart"/>
      <w:r w:rsidRPr="00C31AFF">
        <w:rPr>
          <w:rFonts w:asciiTheme="majorBidi" w:hAnsiTheme="majorBidi" w:cstheme="majorBidi"/>
        </w:rPr>
        <w:t>Press</w:t>
      </w:r>
      <w:proofErr w:type="spellEnd"/>
      <w:r w:rsidRPr="00C31AFF">
        <w:rPr>
          <w:rFonts w:asciiTheme="majorBidi" w:hAnsiTheme="majorBidi" w:cstheme="majorBidi"/>
        </w:rPr>
        <w:t>.</w:t>
      </w:r>
      <w:bookmarkEnd w:id="317"/>
    </w:p>
    <w:p w14:paraId="36D3CA74" w14:textId="77777777" w:rsidR="00345650" w:rsidRPr="00C31AF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rPr>
      </w:pPr>
      <w:bookmarkStart w:id="318" w:name="_Hlk195015877"/>
      <w:bookmarkStart w:id="319" w:name="_Toc200486136"/>
      <w:proofErr w:type="spellStart"/>
      <w:r w:rsidRPr="00670BBF">
        <w:rPr>
          <w:rFonts w:asciiTheme="majorBidi" w:hAnsiTheme="majorBidi" w:cstheme="majorBidi"/>
          <w:lang w:val="en-US"/>
        </w:rPr>
        <w:t>Tulgar</w:t>
      </w:r>
      <w:proofErr w:type="spellEnd"/>
      <w:r w:rsidRPr="00670BBF">
        <w:rPr>
          <w:rFonts w:asciiTheme="majorBidi" w:hAnsiTheme="majorBidi" w:cstheme="majorBidi"/>
          <w:lang w:val="en-US"/>
        </w:rPr>
        <w:t>, A. T. (2019). Four Shades of Feedback: The Effects of Feedback in Practice Teaching on Self-Reflection and Self-Regulation</w:t>
      </w:r>
      <w:bookmarkEnd w:id="318"/>
      <w:r w:rsidRPr="00670BBF">
        <w:rPr>
          <w:rFonts w:asciiTheme="majorBidi" w:hAnsiTheme="majorBidi" w:cstheme="majorBidi"/>
          <w:lang w:val="en-US"/>
        </w:rPr>
        <w:t>. </w:t>
      </w:r>
      <w:r w:rsidRPr="00C31AFF">
        <w:rPr>
          <w:rFonts w:asciiTheme="majorBidi" w:hAnsiTheme="majorBidi" w:cstheme="majorBidi"/>
          <w:i/>
          <w:iCs/>
        </w:rPr>
        <w:t xml:space="preserve">Alberta Journal of </w:t>
      </w:r>
      <w:proofErr w:type="spellStart"/>
      <w:r w:rsidRPr="00C31AFF">
        <w:rPr>
          <w:rFonts w:asciiTheme="majorBidi" w:hAnsiTheme="majorBidi" w:cstheme="majorBidi"/>
          <w:i/>
          <w:iCs/>
        </w:rPr>
        <w:t>Educational</w:t>
      </w:r>
      <w:proofErr w:type="spellEnd"/>
      <w:r w:rsidRPr="00C31AFF">
        <w:rPr>
          <w:rFonts w:asciiTheme="majorBidi" w:hAnsiTheme="majorBidi" w:cstheme="majorBidi"/>
          <w:i/>
          <w:iCs/>
        </w:rPr>
        <w:t xml:space="preserve"> </w:t>
      </w:r>
      <w:proofErr w:type="spellStart"/>
      <w:r w:rsidRPr="00C31AFF">
        <w:rPr>
          <w:rFonts w:asciiTheme="majorBidi" w:hAnsiTheme="majorBidi" w:cstheme="majorBidi"/>
          <w:i/>
          <w:iCs/>
        </w:rPr>
        <w:t>Research</w:t>
      </w:r>
      <w:proofErr w:type="spellEnd"/>
      <w:r w:rsidRPr="00C31AFF">
        <w:rPr>
          <w:rFonts w:asciiTheme="majorBidi" w:hAnsiTheme="majorBidi" w:cstheme="majorBidi"/>
        </w:rPr>
        <w:t>, </w:t>
      </w:r>
      <w:r w:rsidRPr="00C31AFF">
        <w:rPr>
          <w:rFonts w:asciiTheme="majorBidi" w:hAnsiTheme="majorBidi" w:cstheme="majorBidi"/>
          <w:i/>
          <w:iCs/>
        </w:rPr>
        <w:t>65</w:t>
      </w:r>
      <w:r w:rsidRPr="00C31AFF">
        <w:rPr>
          <w:rFonts w:asciiTheme="majorBidi" w:hAnsiTheme="majorBidi" w:cstheme="majorBidi"/>
        </w:rPr>
        <w:t>(3).</w:t>
      </w:r>
      <w:bookmarkEnd w:id="319"/>
    </w:p>
    <w:p w14:paraId="760A857A" w14:textId="77777777" w:rsidR="00345650" w:rsidRPr="00670BB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lang w:val="en-US"/>
        </w:rPr>
      </w:pPr>
      <w:bookmarkStart w:id="320" w:name="_Toc200486137"/>
      <w:r w:rsidRPr="00670BBF">
        <w:rPr>
          <w:rFonts w:asciiTheme="majorBidi" w:hAnsiTheme="majorBidi" w:cstheme="majorBidi"/>
          <w:lang w:val="en-US"/>
        </w:rPr>
        <w:t>Feedback. (</w:t>
      </w:r>
      <w:proofErr w:type="spellStart"/>
      <w:r w:rsidRPr="00670BBF">
        <w:rPr>
          <w:rFonts w:asciiTheme="majorBidi" w:hAnsiTheme="majorBidi" w:cstheme="majorBidi"/>
          <w:lang w:val="en-US"/>
        </w:rPr>
        <w:t>n.d</w:t>
      </w:r>
      <w:proofErr w:type="spellEnd"/>
      <w:r w:rsidRPr="00670BBF">
        <w:rPr>
          <w:rFonts w:asciiTheme="majorBidi" w:hAnsiTheme="majorBidi" w:cstheme="majorBidi"/>
          <w:lang w:val="en-US"/>
        </w:rPr>
        <w:t xml:space="preserve">). In Merriam -Webster.com dictionary. Retrieved April 9, 2025 from </w:t>
      </w:r>
      <w:hyperlink r:id="rId81" w:history="1">
        <w:r w:rsidRPr="00670BBF">
          <w:rPr>
            <w:rStyle w:val="Lienhypertexte"/>
            <w:rFonts w:asciiTheme="majorBidi" w:hAnsiTheme="majorBidi" w:cstheme="majorBidi"/>
            <w:lang w:val="en-US"/>
          </w:rPr>
          <w:t>https://www.merriam-webster.com/dictionary/feedback</w:t>
        </w:r>
        <w:bookmarkEnd w:id="320"/>
      </w:hyperlink>
    </w:p>
    <w:p w14:paraId="0CAF8226" w14:textId="77777777" w:rsidR="00345650" w:rsidRPr="00670BB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lang w:val="en-US"/>
        </w:rPr>
      </w:pPr>
      <w:bookmarkStart w:id="321" w:name="_Toc200486138"/>
      <w:r w:rsidRPr="00670BBF">
        <w:rPr>
          <w:rFonts w:asciiTheme="majorBidi" w:hAnsiTheme="majorBidi" w:cstheme="majorBidi"/>
          <w:lang w:val="en-US"/>
        </w:rPr>
        <w:t>Oxford University Press. (</w:t>
      </w:r>
      <w:proofErr w:type="spellStart"/>
      <w:r w:rsidRPr="00670BBF">
        <w:rPr>
          <w:rFonts w:asciiTheme="majorBidi" w:hAnsiTheme="majorBidi" w:cstheme="majorBidi"/>
          <w:lang w:val="en-US"/>
        </w:rPr>
        <w:t>n.d</w:t>
      </w:r>
      <w:proofErr w:type="spellEnd"/>
      <w:r w:rsidRPr="00670BBF">
        <w:rPr>
          <w:rFonts w:asciiTheme="majorBidi" w:hAnsiTheme="majorBidi" w:cstheme="majorBidi"/>
          <w:lang w:val="en-US"/>
        </w:rPr>
        <w:t xml:space="preserve">). Oxford Learner’s Dictionary. Retrieved April 9, 2025 from </w:t>
      </w:r>
      <w:hyperlink r:id="rId82" w:history="1">
        <w:r w:rsidRPr="00670BBF">
          <w:rPr>
            <w:rStyle w:val="Lienhypertexte"/>
            <w:rFonts w:asciiTheme="majorBidi" w:hAnsiTheme="majorBidi" w:cstheme="majorBidi"/>
            <w:lang w:val="en-US"/>
          </w:rPr>
          <w:t>feedback noun - Definition, pictures, pronunciation and usage notes | Oxford Advanced Learner's Dictionary at OxfordLearnersDictionaries.com</w:t>
        </w:r>
        <w:bookmarkEnd w:id="321"/>
      </w:hyperlink>
    </w:p>
    <w:p w14:paraId="4420A3C7" w14:textId="77777777" w:rsidR="00345650" w:rsidRPr="00C31AF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rPr>
      </w:pPr>
      <w:bookmarkStart w:id="322" w:name="_Toc200486139"/>
      <w:proofErr w:type="spellStart"/>
      <w:r w:rsidRPr="00670BBF">
        <w:rPr>
          <w:rFonts w:asciiTheme="majorBidi" w:hAnsiTheme="majorBidi" w:cstheme="majorBidi"/>
          <w:lang w:val="en-US"/>
        </w:rPr>
        <w:t>Wiliam</w:t>
      </w:r>
      <w:proofErr w:type="spellEnd"/>
      <w:r w:rsidRPr="00670BBF">
        <w:rPr>
          <w:rFonts w:asciiTheme="majorBidi" w:hAnsiTheme="majorBidi" w:cstheme="majorBidi"/>
          <w:lang w:val="en-US"/>
        </w:rPr>
        <w:t xml:space="preserve">, D. </w:t>
      </w:r>
      <w:bookmarkStart w:id="323" w:name="_Hlk195092244"/>
      <w:r w:rsidRPr="00670BBF">
        <w:rPr>
          <w:rFonts w:asciiTheme="majorBidi" w:hAnsiTheme="majorBidi" w:cstheme="majorBidi"/>
          <w:lang w:val="en-US"/>
        </w:rPr>
        <w:t>(2013)</w:t>
      </w:r>
      <w:bookmarkEnd w:id="323"/>
      <w:r w:rsidRPr="00670BBF">
        <w:rPr>
          <w:rFonts w:asciiTheme="majorBidi" w:hAnsiTheme="majorBidi" w:cstheme="majorBidi"/>
          <w:lang w:val="en-US"/>
        </w:rPr>
        <w:t>. Feedback and instructional correctives. In </w:t>
      </w:r>
      <w:r w:rsidRPr="00670BBF">
        <w:rPr>
          <w:rFonts w:asciiTheme="majorBidi" w:hAnsiTheme="majorBidi" w:cstheme="majorBidi"/>
          <w:i/>
          <w:iCs/>
          <w:lang w:val="en-US"/>
        </w:rPr>
        <w:t>SAGE handbook of research on classroom assessment</w:t>
      </w:r>
      <w:r w:rsidRPr="00670BBF">
        <w:rPr>
          <w:rFonts w:asciiTheme="majorBidi" w:hAnsiTheme="majorBidi" w:cstheme="majorBidi"/>
          <w:lang w:val="en-US"/>
        </w:rPr>
        <w:t xml:space="preserve"> (pp. 196-214). </w:t>
      </w:r>
      <w:r w:rsidRPr="00C31AFF">
        <w:rPr>
          <w:rFonts w:asciiTheme="majorBidi" w:hAnsiTheme="majorBidi" w:cstheme="majorBidi"/>
        </w:rPr>
        <w:t>SAGE Publications, Inc</w:t>
      </w:r>
      <w:proofErr w:type="gramStart"/>
      <w:r w:rsidRPr="00C31AFF">
        <w:rPr>
          <w:rFonts w:asciiTheme="majorBidi" w:hAnsiTheme="majorBidi" w:cstheme="majorBidi"/>
        </w:rPr>
        <w:t>..</w:t>
      </w:r>
      <w:bookmarkEnd w:id="322"/>
      <w:proofErr w:type="gramEnd"/>
    </w:p>
    <w:p w14:paraId="3337D712" w14:textId="77777777" w:rsidR="00345650" w:rsidRPr="00C31AF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rPr>
      </w:pPr>
      <w:bookmarkStart w:id="324" w:name="_Toc200486140"/>
      <w:r w:rsidRPr="00670BBF">
        <w:rPr>
          <w:rFonts w:asciiTheme="majorBidi" w:hAnsiTheme="majorBidi" w:cstheme="majorBidi"/>
          <w:lang w:val="en-US"/>
        </w:rPr>
        <w:t>Gibbs, G. (1988). Learning by doing: A guide to teaching and learning methods. </w:t>
      </w:r>
      <w:proofErr w:type="spellStart"/>
      <w:r w:rsidRPr="00C31AFF">
        <w:rPr>
          <w:rFonts w:asciiTheme="majorBidi" w:hAnsiTheme="majorBidi" w:cstheme="majorBidi"/>
          <w:i/>
          <w:iCs/>
        </w:rPr>
        <w:t>Further</w:t>
      </w:r>
      <w:proofErr w:type="spellEnd"/>
      <w:r w:rsidRPr="00C31AFF">
        <w:rPr>
          <w:rFonts w:asciiTheme="majorBidi" w:hAnsiTheme="majorBidi" w:cstheme="majorBidi"/>
          <w:i/>
          <w:iCs/>
        </w:rPr>
        <w:t xml:space="preserve"> Education Unit</w:t>
      </w:r>
      <w:r w:rsidRPr="00C31AFF">
        <w:rPr>
          <w:rFonts w:asciiTheme="majorBidi" w:hAnsiTheme="majorBidi" w:cstheme="majorBidi"/>
        </w:rPr>
        <w:t>.</w:t>
      </w:r>
      <w:bookmarkEnd w:id="324"/>
    </w:p>
    <w:p w14:paraId="004295D9" w14:textId="77777777" w:rsidR="00345650" w:rsidRPr="00C31AF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rPr>
      </w:pPr>
      <w:bookmarkStart w:id="325" w:name="_Hlk195027408"/>
      <w:bookmarkStart w:id="326" w:name="_Toc200486141"/>
      <w:r w:rsidRPr="00670BBF">
        <w:rPr>
          <w:rFonts w:asciiTheme="majorBidi" w:hAnsiTheme="majorBidi" w:cstheme="majorBidi"/>
          <w:lang w:val="en-US"/>
        </w:rPr>
        <w:t xml:space="preserve">Hattie, J., &amp; Timperley, H. </w:t>
      </w:r>
      <w:bookmarkEnd w:id="325"/>
      <w:r w:rsidRPr="00670BBF">
        <w:rPr>
          <w:rFonts w:asciiTheme="majorBidi" w:hAnsiTheme="majorBidi" w:cstheme="majorBidi"/>
          <w:lang w:val="en-US"/>
        </w:rPr>
        <w:t>(2007). The power of feedback. </w:t>
      </w:r>
      <w:proofErr w:type="spellStart"/>
      <w:r w:rsidRPr="00C31AFF">
        <w:rPr>
          <w:rFonts w:asciiTheme="majorBidi" w:hAnsiTheme="majorBidi" w:cstheme="majorBidi"/>
          <w:i/>
          <w:iCs/>
        </w:rPr>
        <w:t>Review</w:t>
      </w:r>
      <w:proofErr w:type="spellEnd"/>
      <w:r w:rsidRPr="00C31AFF">
        <w:rPr>
          <w:rFonts w:asciiTheme="majorBidi" w:hAnsiTheme="majorBidi" w:cstheme="majorBidi"/>
          <w:i/>
          <w:iCs/>
        </w:rPr>
        <w:t xml:space="preserve"> of </w:t>
      </w:r>
      <w:proofErr w:type="spellStart"/>
      <w:r w:rsidRPr="00C31AFF">
        <w:rPr>
          <w:rFonts w:asciiTheme="majorBidi" w:hAnsiTheme="majorBidi" w:cstheme="majorBidi"/>
          <w:i/>
          <w:iCs/>
        </w:rPr>
        <w:t>educational</w:t>
      </w:r>
      <w:proofErr w:type="spellEnd"/>
      <w:r w:rsidRPr="00C31AFF">
        <w:rPr>
          <w:rFonts w:asciiTheme="majorBidi" w:hAnsiTheme="majorBidi" w:cstheme="majorBidi"/>
          <w:i/>
          <w:iCs/>
        </w:rPr>
        <w:t xml:space="preserve"> </w:t>
      </w:r>
      <w:proofErr w:type="spellStart"/>
      <w:r w:rsidRPr="00C31AFF">
        <w:rPr>
          <w:rFonts w:asciiTheme="majorBidi" w:hAnsiTheme="majorBidi" w:cstheme="majorBidi"/>
          <w:i/>
          <w:iCs/>
        </w:rPr>
        <w:t>research</w:t>
      </w:r>
      <w:proofErr w:type="spellEnd"/>
      <w:r w:rsidRPr="00C31AFF">
        <w:rPr>
          <w:rFonts w:asciiTheme="majorBidi" w:hAnsiTheme="majorBidi" w:cstheme="majorBidi"/>
        </w:rPr>
        <w:t>, </w:t>
      </w:r>
      <w:r w:rsidRPr="00C31AFF">
        <w:rPr>
          <w:rFonts w:asciiTheme="majorBidi" w:hAnsiTheme="majorBidi" w:cstheme="majorBidi"/>
          <w:i/>
          <w:iCs/>
        </w:rPr>
        <w:t>77</w:t>
      </w:r>
      <w:r w:rsidRPr="00C31AFF">
        <w:rPr>
          <w:rFonts w:asciiTheme="majorBidi" w:hAnsiTheme="majorBidi" w:cstheme="majorBidi"/>
        </w:rPr>
        <w:t>(1), 81-112.</w:t>
      </w:r>
      <w:bookmarkEnd w:id="326"/>
    </w:p>
    <w:p w14:paraId="157B642D" w14:textId="77777777" w:rsidR="00345650" w:rsidRPr="00C31AF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rPr>
      </w:pPr>
      <w:bookmarkStart w:id="327" w:name="_Toc200486142"/>
      <w:r w:rsidRPr="00670BBF">
        <w:rPr>
          <w:rFonts w:asciiTheme="majorBidi" w:hAnsiTheme="majorBidi" w:cstheme="majorBidi"/>
          <w:lang w:val="en-US"/>
        </w:rPr>
        <w:lastRenderedPageBreak/>
        <w:t>Richards, J. C., &amp; Lockhart, C. (1994). </w:t>
      </w:r>
      <w:r w:rsidRPr="00670BBF">
        <w:rPr>
          <w:rFonts w:asciiTheme="majorBidi" w:hAnsiTheme="majorBidi" w:cstheme="majorBidi"/>
          <w:i/>
          <w:iCs/>
          <w:lang w:val="en-US"/>
        </w:rPr>
        <w:t>Reflective teaching in second language classrooms</w:t>
      </w:r>
      <w:r w:rsidRPr="00670BBF">
        <w:rPr>
          <w:rFonts w:asciiTheme="majorBidi" w:hAnsiTheme="majorBidi" w:cstheme="majorBidi"/>
          <w:lang w:val="en-US"/>
        </w:rPr>
        <w:t xml:space="preserve">. </w:t>
      </w:r>
      <w:r w:rsidRPr="00C31AFF">
        <w:rPr>
          <w:rFonts w:asciiTheme="majorBidi" w:hAnsiTheme="majorBidi" w:cstheme="majorBidi"/>
        </w:rPr>
        <w:t xml:space="preserve">Cambridge </w:t>
      </w:r>
      <w:proofErr w:type="spellStart"/>
      <w:r w:rsidRPr="00C31AFF">
        <w:rPr>
          <w:rFonts w:asciiTheme="majorBidi" w:hAnsiTheme="majorBidi" w:cstheme="majorBidi"/>
        </w:rPr>
        <w:t>university</w:t>
      </w:r>
      <w:proofErr w:type="spellEnd"/>
      <w:r w:rsidRPr="00C31AFF">
        <w:rPr>
          <w:rFonts w:asciiTheme="majorBidi" w:hAnsiTheme="majorBidi" w:cstheme="majorBidi"/>
        </w:rPr>
        <w:t xml:space="preserve"> </w:t>
      </w:r>
      <w:proofErr w:type="spellStart"/>
      <w:r w:rsidRPr="00C31AFF">
        <w:rPr>
          <w:rFonts w:asciiTheme="majorBidi" w:hAnsiTheme="majorBidi" w:cstheme="majorBidi"/>
        </w:rPr>
        <w:t>press</w:t>
      </w:r>
      <w:proofErr w:type="spellEnd"/>
      <w:r w:rsidRPr="00C31AFF">
        <w:rPr>
          <w:rFonts w:asciiTheme="majorBidi" w:hAnsiTheme="majorBidi" w:cstheme="majorBidi"/>
        </w:rPr>
        <w:t>.</w:t>
      </w:r>
      <w:bookmarkEnd w:id="327"/>
    </w:p>
    <w:p w14:paraId="39BECA9F" w14:textId="77777777" w:rsidR="00345650" w:rsidRPr="00C31AF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rPr>
      </w:pPr>
      <w:bookmarkStart w:id="328" w:name="_Hlk195073487"/>
      <w:bookmarkStart w:id="329" w:name="_Toc200486143"/>
      <w:r w:rsidRPr="00670BBF">
        <w:rPr>
          <w:rFonts w:asciiTheme="majorBidi" w:hAnsiTheme="majorBidi" w:cstheme="majorBidi"/>
          <w:lang w:val="en-US"/>
        </w:rPr>
        <w:t>Hattie, J. (2012)</w:t>
      </w:r>
      <w:bookmarkEnd w:id="328"/>
      <w:r w:rsidRPr="00670BBF">
        <w:rPr>
          <w:rFonts w:asciiTheme="majorBidi" w:hAnsiTheme="majorBidi" w:cstheme="majorBidi"/>
          <w:lang w:val="en-US"/>
        </w:rPr>
        <w:t>. </w:t>
      </w:r>
      <w:r w:rsidRPr="00670BBF">
        <w:rPr>
          <w:rFonts w:asciiTheme="majorBidi" w:hAnsiTheme="majorBidi" w:cstheme="majorBidi"/>
          <w:i/>
          <w:iCs/>
          <w:lang w:val="en-US"/>
        </w:rPr>
        <w:t>Visible learning for teachers: Maximizing impact on learning</w:t>
      </w:r>
      <w:r w:rsidRPr="00670BBF">
        <w:rPr>
          <w:rFonts w:asciiTheme="majorBidi" w:hAnsiTheme="majorBidi" w:cstheme="majorBidi"/>
          <w:lang w:val="en-US"/>
        </w:rPr>
        <w:t xml:space="preserve">. </w:t>
      </w:r>
      <w:proofErr w:type="spellStart"/>
      <w:r w:rsidRPr="00C31AFF">
        <w:rPr>
          <w:rFonts w:asciiTheme="majorBidi" w:hAnsiTheme="majorBidi" w:cstheme="majorBidi"/>
        </w:rPr>
        <w:t>Routledge</w:t>
      </w:r>
      <w:proofErr w:type="spellEnd"/>
      <w:r w:rsidRPr="00C31AFF">
        <w:rPr>
          <w:rFonts w:asciiTheme="majorBidi" w:hAnsiTheme="majorBidi" w:cstheme="majorBidi"/>
        </w:rPr>
        <w:t>.</w:t>
      </w:r>
      <w:bookmarkEnd w:id="329"/>
    </w:p>
    <w:p w14:paraId="6770076A" w14:textId="77777777" w:rsidR="00345650" w:rsidRPr="00C31AF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rPr>
      </w:pPr>
      <w:bookmarkStart w:id="330" w:name="_Hlk195075702"/>
      <w:bookmarkStart w:id="331" w:name="_Toc200486144"/>
      <w:proofErr w:type="spellStart"/>
      <w:r w:rsidRPr="00670BBF">
        <w:rPr>
          <w:rFonts w:asciiTheme="majorBidi" w:hAnsiTheme="majorBidi" w:cstheme="majorBidi"/>
          <w:lang w:val="en-US"/>
        </w:rPr>
        <w:t>Adeyanju</w:t>
      </w:r>
      <w:proofErr w:type="spellEnd"/>
      <w:r w:rsidRPr="00670BBF">
        <w:rPr>
          <w:rFonts w:asciiTheme="majorBidi" w:hAnsiTheme="majorBidi" w:cstheme="majorBidi"/>
          <w:lang w:val="en-US"/>
        </w:rPr>
        <w:t>, A. S. A., Samuel</w:t>
      </w:r>
      <w:bookmarkEnd w:id="330"/>
      <w:r w:rsidRPr="00670BBF">
        <w:rPr>
          <w:rFonts w:asciiTheme="majorBidi" w:hAnsiTheme="majorBidi" w:cstheme="majorBidi"/>
          <w:lang w:val="en-US"/>
        </w:rPr>
        <w:t xml:space="preserve">, A., </w:t>
      </w:r>
      <w:proofErr w:type="spellStart"/>
      <w:r w:rsidRPr="00670BBF">
        <w:rPr>
          <w:rFonts w:asciiTheme="majorBidi" w:hAnsiTheme="majorBidi" w:cstheme="majorBidi"/>
          <w:lang w:val="en-US"/>
        </w:rPr>
        <w:t>Aderibigbe</w:t>
      </w:r>
      <w:proofErr w:type="spellEnd"/>
      <w:r w:rsidRPr="00670BBF">
        <w:rPr>
          <w:rFonts w:asciiTheme="majorBidi" w:hAnsiTheme="majorBidi" w:cstheme="majorBidi"/>
          <w:lang w:val="en-US"/>
        </w:rPr>
        <w:t>, A. E. A., &amp; Elizabeth, A. (2024). A REVIEW OF THE ROLE OF SHARED LESSON OBJECTIVES IN SHAPING THE ACADEMIC ACHIEVEMENTS OF SENIOR SECONDARY SCHOOL STUDENTS. </w:t>
      </w:r>
      <w:proofErr w:type="gramStart"/>
      <w:r w:rsidRPr="00C31AFF">
        <w:rPr>
          <w:rFonts w:asciiTheme="majorBidi" w:hAnsiTheme="majorBidi" w:cstheme="majorBidi"/>
          <w:i/>
          <w:iCs/>
        </w:rPr>
        <w:t>LAJOCSE:</w:t>
      </w:r>
      <w:proofErr w:type="gramEnd"/>
      <w:r w:rsidRPr="00C31AFF">
        <w:rPr>
          <w:rFonts w:asciiTheme="majorBidi" w:hAnsiTheme="majorBidi" w:cstheme="majorBidi"/>
          <w:i/>
          <w:iCs/>
        </w:rPr>
        <w:t xml:space="preserve"> LAGOS JOURNAL OF CONTEMPORARY STUDIES IN EDUCATION</w:t>
      </w:r>
      <w:r w:rsidRPr="00C31AFF">
        <w:rPr>
          <w:rFonts w:asciiTheme="majorBidi" w:hAnsiTheme="majorBidi" w:cstheme="majorBidi"/>
        </w:rPr>
        <w:t>, </w:t>
      </w:r>
      <w:r w:rsidRPr="00C31AFF">
        <w:rPr>
          <w:rFonts w:asciiTheme="majorBidi" w:hAnsiTheme="majorBidi" w:cstheme="majorBidi"/>
          <w:i/>
          <w:iCs/>
        </w:rPr>
        <w:t>2</w:t>
      </w:r>
      <w:r w:rsidRPr="00C31AFF">
        <w:rPr>
          <w:rFonts w:asciiTheme="majorBidi" w:hAnsiTheme="majorBidi" w:cstheme="majorBidi"/>
        </w:rPr>
        <w:t>(2).</w:t>
      </w:r>
      <w:bookmarkEnd w:id="331"/>
    </w:p>
    <w:p w14:paraId="4FD94EC4" w14:textId="77777777" w:rsidR="00345650" w:rsidRPr="00C31AF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rPr>
      </w:pPr>
      <w:bookmarkStart w:id="332" w:name="_Hlk195077542"/>
      <w:bookmarkStart w:id="333" w:name="_Toc200486145"/>
      <w:r w:rsidRPr="00670BBF">
        <w:rPr>
          <w:rFonts w:asciiTheme="majorBidi" w:hAnsiTheme="majorBidi" w:cstheme="majorBidi"/>
          <w:lang w:val="en-US"/>
        </w:rPr>
        <w:t>Ellis, R. (1995)</w:t>
      </w:r>
      <w:bookmarkEnd w:id="332"/>
      <w:r w:rsidRPr="00670BBF">
        <w:rPr>
          <w:rFonts w:asciiTheme="majorBidi" w:hAnsiTheme="majorBidi" w:cstheme="majorBidi"/>
          <w:lang w:val="en-US"/>
        </w:rPr>
        <w:t>. Interpretation tasks for grammar teaching. </w:t>
      </w:r>
      <w:proofErr w:type="spellStart"/>
      <w:r w:rsidRPr="00C31AFF">
        <w:rPr>
          <w:rFonts w:asciiTheme="majorBidi" w:hAnsiTheme="majorBidi" w:cstheme="majorBidi"/>
          <w:i/>
          <w:iCs/>
        </w:rPr>
        <w:t>Tesol</w:t>
      </w:r>
      <w:proofErr w:type="spellEnd"/>
      <w:r w:rsidRPr="00C31AFF">
        <w:rPr>
          <w:rFonts w:asciiTheme="majorBidi" w:hAnsiTheme="majorBidi" w:cstheme="majorBidi"/>
          <w:i/>
          <w:iCs/>
        </w:rPr>
        <w:t xml:space="preserve"> </w:t>
      </w:r>
      <w:proofErr w:type="spellStart"/>
      <w:r w:rsidRPr="00C31AFF">
        <w:rPr>
          <w:rFonts w:asciiTheme="majorBidi" w:hAnsiTheme="majorBidi" w:cstheme="majorBidi"/>
          <w:i/>
          <w:iCs/>
        </w:rPr>
        <w:t>Quarterly</w:t>
      </w:r>
      <w:proofErr w:type="spellEnd"/>
      <w:r w:rsidRPr="00C31AFF">
        <w:rPr>
          <w:rFonts w:asciiTheme="majorBidi" w:hAnsiTheme="majorBidi" w:cstheme="majorBidi"/>
        </w:rPr>
        <w:t>, </w:t>
      </w:r>
      <w:r w:rsidRPr="00C31AFF">
        <w:rPr>
          <w:rFonts w:asciiTheme="majorBidi" w:hAnsiTheme="majorBidi" w:cstheme="majorBidi"/>
          <w:i/>
          <w:iCs/>
        </w:rPr>
        <w:t>29</w:t>
      </w:r>
      <w:r w:rsidRPr="00C31AFF">
        <w:rPr>
          <w:rFonts w:asciiTheme="majorBidi" w:hAnsiTheme="majorBidi" w:cstheme="majorBidi"/>
        </w:rPr>
        <w:t>(1), 87-105.\</w:t>
      </w:r>
      <w:bookmarkEnd w:id="333"/>
    </w:p>
    <w:p w14:paraId="5EAF8633" w14:textId="77777777" w:rsidR="00345650" w:rsidRPr="00C31AF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rPr>
      </w:pPr>
      <w:bookmarkStart w:id="334" w:name="_Hlk195078199"/>
      <w:bookmarkStart w:id="335" w:name="_Toc200486146"/>
      <w:proofErr w:type="spellStart"/>
      <w:r w:rsidRPr="00670BBF">
        <w:rPr>
          <w:rFonts w:asciiTheme="majorBidi" w:hAnsiTheme="majorBidi" w:cstheme="majorBidi"/>
          <w:lang w:val="en-US"/>
        </w:rPr>
        <w:t>Schunk</w:t>
      </w:r>
      <w:proofErr w:type="spellEnd"/>
      <w:r w:rsidRPr="00670BBF">
        <w:rPr>
          <w:rFonts w:asciiTheme="majorBidi" w:hAnsiTheme="majorBidi" w:cstheme="majorBidi"/>
          <w:lang w:val="en-US"/>
        </w:rPr>
        <w:t>, D. H., &amp; Zimmerman, B. (Eds.). (2011)</w:t>
      </w:r>
      <w:bookmarkEnd w:id="334"/>
      <w:r w:rsidRPr="00670BBF">
        <w:rPr>
          <w:rFonts w:asciiTheme="majorBidi" w:hAnsiTheme="majorBidi" w:cstheme="majorBidi"/>
          <w:lang w:val="en-US"/>
        </w:rPr>
        <w:t>. </w:t>
      </w:r>
      <w:r w:rsidRPr="00670BBF">
        <w:rPr>
          <w:rFonts w:asciiTheme="majorBidi" w:hAnsiTheme="majorBidi" w:cstheme="majorBidi"/>
          <w:i/>
          <w:iCs/>
          <w:lang w:val="en-US"/>
        </w:rPr>
        <w:t>Handbook of self-regulation of learning and performance</w:t>
      </w:r>
      <w:r w:rsidRPr="00670BBF">
        <w:rPr>
          <w:rFonts w:asciiTheme="majorBidi" w:hAnsiTheme="majorBidi" w:cstheme="majorBidi"/>
          <w:lang w:val="en-US"/>
        </w:rPr>
        <w:t xml:space="preserve">. </w:t>
      </w:r>
      <w:r w:rsidRPr="00C31AFF">
        <w:rPr>
          <w:rFonts w:asciiTheme="majorBidi" w:hAnsiTheme="majorBidi" w:cstheme="majorBidi"/>
        </w:rPr>
        <w:t>Taylor &amp; Francis.</w:t>
      </w:r>
      <w:bookmarkEnd w:id="335"/>
    </w:p>
    <w:p w14:paraId="0EBC39EF" w14:textId="77777777" w:rsidR="00345650" w:rsidRPr="00C31AF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rPr>
      </w:pPr>
      <w:bookmarkStart w:id="336" w:name="_Hlk195156387"/>
      <w:bookmarkStart w:id="337" w:name="_Toc200486147"/>
      <w:r w:rsidRPr="00C31AFF">
        <w:rPr>
          <w:rFonts w:asciiTheme="majorBidi" w:hAnsiTheme="majorBidi" w:cstheme="majorBidi"/>
        </w:rPr>
        <w:t>Esterhazy, R</w:t>
      </w:r>
      <w:bookmarkEnd w:id="336"/>
      <w:r w:rsidRPr="00C31AFF">
        <w:rPr>
          <w:rFonts w:asciiTheme="majorBidi" w:hAnsiTheme="majorBidi" w:cstheme="majorBidi"/>
        </w:rPr>
        <w:t xml:space="preserve">., de Lange, T., &amp; </w:t>
      </w:r>
      <w:proofErr w:type="spellStart"/>
      <w:r w:rsidRPr="00C31AFF">
        <w:rPr>
          <w:rFonts w:asciiTheme="majorBidi" w:hAnsiTheme="majorBidi" w:cstheme="majorBidi"/>
        </w:rPr>
        <w:t>Damşa</w:t>
      </w:r>
      <w:proofErr w:type="spellEnd"/>
      <w:r w:rsidRPr="00C31AFF">
        <w:rPr>
          <w:rFonts w:asciiTheme="majorBidi" w:hAnsiTheme="majorBidi" w:cstheme="majorBidi"/>
        </w:rPr>
        <w:t xml:space="preserve">, C. (2023). </w:t>
      </w:r>
      <w:r w:rsidRPr="00670BBF">
        <w:rPr>
          <w:rFonts w:asciiTheme="majorBidi" w:hAnsiTheme="majorBidi" w:cstheme="majorBidi"/>
          <w:lang w:val="en-US"/>
        </w:rPr>
        <w:t>Performing teacher feedback literacy in peer mentoring meetings. </w:t>
      </w:r>
      <w:proofErr w:type="spellStart"/>
      <w:r w:rsidRPr="00C31AFF">
        <w:rPr>
          <w:rFonts w:asciiTheme="majorBidi" w:hAnsiTheme="majorBidi" w:cstheme="majorBidi"/>
          <w:i/>
          <w:iCs/>
        </w:rPr>
        <w:t>Assessment</w:t>
      </w:r>
      <w:proofErr w:type="spellEnd"/>
      <w:r w:rsidRPr="00C31AFF">
        <w:rPr>
          <w:rFonts w:asciiTheme="majorBidi" w:hAnsiTheme="majorBidi" w:cstheme="majorBidi"/>
          <w:i/>
          <w:iCs/>
        </w:rPr>
        <w:t xml:space="preserve"> &amp; Evaluation in </w:t>
      </w:r>
      <w:proofErr w:type="spellStart"/>
      <w:r w:rsidRPr="00C31AFF">
        <w:rPr>
          <w:rFonts w:asciiTheme="majorBidi" w:hAnsiTheme="majorBidi" w:cstheme="majorBidi"/>
          <w:i/>
          <w:iCs/>
        </w:rPr>
        <w:t>Higher</w:t>
      </w:r>
      <w:proofErr w:type="spellEnd"/>
      <w:r w:rsidRPr="00C31AFF">
        <w:rPr>
          <w:rFonts w:asciiTheme="majorBidi" w:hAnsiTheme="majorBidi" w:cstheme="majorBidi"/>
          <w:i/>
          <w:iCs/>
        </w:rPr>
        <w:t xml:space="preserve"> Education</w:t>
      </w:r>
      <w:r w:rsidRPr="00C31AFF">
        <w:rPr>
          <w:rFonts w:asciiTheme="majorBidi" w:hAnsiTheme="majorBidi" w:cstheme="majorBidi"/>
        </w:rPr>
        <w:t>, </w:t>
      </w:r>
      <w:r w:rsidRPr="00C31AFF">
        <w:rPr>
          <w:rFonts w:asciiTheme="majorBidi" w:hAnsiTheme="majorBidi" w:cstheme="majorBidi"/>
          <w:i/>
          <w:iCs/>
        </w:rPr>
        <w:t>48</w:t>
      </w:r>
      <w:r w:rsidRPr="00C31AFF">
        <w:rPr>
          <w:rFonts w:asciiTheme="majorBidi" w:hAnsiTheme="majorBidi" w:cstheme="majorBidi"/>
        </w:rPr>
        <w:t>(2), 227-240.</w:t>
      </w:r>
      <w:bookmarkEnd w:id="337"/>
    </w:p>
    <w:p w14:paraId="66072C69" w14:textId="77777777" w:rsidR="00345650" w:rsidRPr="00C31AF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rPr>
      </w:pPr>
      <w:bookmarkStart w:id="338" w:name="_Hlk195158284"/>
      <w:bookmarkStart w:id="339" w:name="_Toc200486148"/>
      <w:r w:rsidRPr="00670BBF">
        <w:rPr>
          <w:rFonts w:asciiTheme="majorBidi" w:hAnsiTheme="majorBidi" w:cstheme="majorBidi"/>
          <w:lang w:val="en-US"/>
        </w:rPr>
        <w:t>Wexler, L. J. (2020)</w:t>
      </w:r>
      <w:bookmarkEnd w:id="338"/>
      <w:r w:rsidRPr="00670BBF">
        <w:rPr>
          <w:rFonts w:asciiTheme="majorBidi" w:hAnsiTheme="majorBidi" w:cstheme="majorBidi"/>
          <w:lang w:val="en-US"/>
        </w:rPr>
        <w:t>. How feedback from mentor teachers sustained student teachers through their first year of teaching. </w:t>
      </w:r>
      <w:r w:rsidRPr="00C31AFF">
        <w:rPr>
          <w:rFonts w:asciiTheme="majorBidi" w:hAnsiTheme="majorBidi" w:cstheme="majorBidi"/>
          <w:i/>
          <w:iCs/>
        </w:rPr>
        <w:t>Action in Teacher Education</w:t>
      </w:r>
      <w:r w:rsidRPr="00C31AFF">
        <w:rPr>
          <w:rFonts w:asciiTheme="majorBidi" w:hAnsiTheme="majorBidi" w:cstheme="majorBidi"/>
        </w:rPr>
        <w:t>, </w:t>
      </w:r>
      <w:r w:rsidRPr="00C31AFF">
        <w:rPr>
          <w:rFonts w:asciiTheme="majorBidi" w:hAnsiTheme="majorBidi" w:cstheme="majorBidi"/>
          <w:i/>
          <w:iCs/>
        </w:rPr>
        <w:t>42</w:t>
      </w:r>
      <w:r w:rsidRPr="00C31AFF">
        <w:rPr>
          <w:rFonts w:asciiTheme="majorBidi" w:hAnsiTheme="majorBidi" w:cstheme="majorBidi"/>
        </w:rPr>
        <w:t>(2), 167-185.</w:t>
      </w:r>
      <w:bookmarkEnd w:id="339"/>
    </w:p>
    <w:p w14:paraId="3C3FA6E4" w14:textId="77777777" w:rsidR="00345650" w:rsidRPr="00C31AF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rPr>
      </w:pPr>
      <w:bookmarkStart w:id="340" w:name="_Toc200486149"/>
      <w:r w:rsidRPr="00670BBF">
        <w:rPr>
          <w:rFonts w:asciiTheme="majorBidi" w:hAnsiTheme="majorBidi" w:cstheme="majorBidi"/>
          <w:lang w:val="en-US"/>
        </w:rPr>
        <w:t xml:space="preserve">Hobson, A. J., Ashby, P., </w:t>
      </w:r>
      <w:proofErr w:type="spellStart"/>
      <w:r w:rsidRPr="00670BBF">
        <w:rPr>
          <w:rFonts w:asciiTheme="majorBidi" w:hAnsiTheme="majorBidi" w:cstheme="majorBidi"/>
          <w:lang w:val="en-US"/>
        </w:rPr>
        <w:t>Malderez</w:t>
      </w:r>
      <w:proofErr w:type="spellEnd"/>
      <w:r w:rsidRPr="00670BBF">
        <w:rPr>
          <w:rFonts w:asciiTheme="majorBidi" w:hAnsiTheme="majorBidi" w:cstheme="majorBidi"/>
          <w:lang w:val="en-US"/>
        </w:rPr>
        <w:t xml:space="preserve">, A., &amp; Tomlinson, P. D. (2009). Mentoring beginning teachers: What we know and what we </w:t>
      </w:r>
      <w:proofErr w:type="gramStart"/>
      <w:r w:rsidRPr="00670BBF">
        <w:rPr>
          <w:rFonts w:asciiTheme="majorBidi" w:hAnsiTheme="majorBidi" w:cstheme="majorBidi"/>
          <w:lang w:val="en-US"/>
        </w:rPr>
        <w:t>don't</w:t>
      </w:r>
      <w:proofErr w:type="gramEnd"/>
      <w:r w:rsidRPr="00670BBF">
        <w:rPr>
          <w:rFonts w:asciiTheme="majorBidi" w:hAnsiTheme="majorBidi" w:cstheme="majorBidi"/>
          <w:lang w:val="en-US"/>
        </w:rPr>
        <w:t>. </w:t>
      </w:r>
      <w:proofErr w:type="spellStart"/>
      <w:r w:rsidRPr="00C31AFF">
        <w:rPr>
          <w:rFonts w:asciiTheme="majorBidi" w:hAnsiTheme="majorBidi" w:cstheme="majorBidi"/>
          <w:i/>
          <w:iCs/>
        </w:rPr>
        <w:t>Teaching</w:t>
      </w:r>
      <w:proofErr w:type="spellEnd"/>
      <w:r w:rsidRPr="00C31AFF">
        <w:rPr>
          <w:rFonts w:asciiTheme="majorBidi" w:hAnsiTheme="majorBidi" w:cstheme="majorBidi"/>
          <w:i/>
          <w:iCs/>
        </w:rPr>
        <w:t xml:space="preserve"> and </w:t>
      </w:r>
      <w:proofErr w:type="spellStart"/>
      <w:r w:rsidRPr="00C31AFF">
        <w:rPr>
          <w:rFonts w:asciiTheme="majorBidi" w:hAnsiTheme="majorBidi" w:cstheme="majorBidi"/>
          <w:i/>
          <w:iCs/>
        </w:rPr>
        <w:t>teacher</w:t>
      </w:r>
      <w:proofErr w:type="spellEnd"/>
      <w:r w:rsidRPr="00C31AFF">
        <w:rPr>
          <w:rFonts w:asciiTheme="majorBidi" w:hAnsiTheme="majorBidi" w:cstheme="majorBidi"/>
          <w:i/>
          <w:iCs/>
        </w:rPr>
        <w:t xml:space="preserve"> </w:t>
      </w:r>
      <w:proofErr w:type="spellStart"/>
      <w:r w:rsidRPr="00C31AFF">
        <w:rPr>
          <w:rFonts w:asciiTheme="majorBidi" w:hAnsiTheme="majorBidi" w:cstheme="majorBidi"/>
          <w:i/>
          <w:iCs/>
        </w:rPr>
        <w:t>education</w:t>
      </w:r>
      <w:proofErr w:type="spellEnd"/>
      <w:r w:rsidRPr="00C31AFF">
        <w:rPr>
          <w:rFonts w:asciiTheme="majorBidi" w:hAnsiTheme="majorBidi" w:cstheme="majorBidi"/>
        </w:rPr>
        <w:t>, </w:t>
      </w:r>
      <w:r w:rsidRPr="00C31AFF">
        <w:rPr>
          <w:rFonts w:asciiTheme="majorBidi" w:hAnsiTheme="majorBidi" w:cstheme="majorBidi"/>
          <w:i/>
          <w:iCs/>
        </w:rPr>
        <w:t>25</w:t>
      </w:r>
      <w:r w:rsidRPr="00C31AFF">
        <w:rPr>
          <w:rFonts w:asciiTheme="majorBidi" w:hAnsiTheme="majorBidi" w:cstheme="majorBidi"/>
        </w:rPr>
        <w:t>(1), 207-216.</w:t>
      </w:r>
      <w:bookmarkEnd w:id="340"/>
    </w:p>
    <w:p w14:paraId="70F23E22" w14:textId="77777777" w:rsidR="00345650" w:rsidRPr="00C31AF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rPr>
      </w:pPr>
      <w:bookmarkStart w:id="341" w:name="_Hlk195276326"/>
      <w:bookmarkStart w:id="342" w:name="_Toc200486150"/>
      <w:r w:rsidRPr="00670BBF">
        <w:rPr>
          <w:rFonts w:asciiTheme="majorBidi" w:hAnsiTheme="majorBidi" w:cstheme="majorBidi"/>
          <w:lang w:val="en-US"/>
        </w:rPr>
        <w:t xml:space="preserve">Omer, A., &amp; </w:t>
      </w:r>
      <w:proofErr w:type="spellStart"/>
      <w:r w:rsidRPr="00670BBF">
        <w:rPr>
          <w:rFonts w:asciiTheme="majorBidi" w:hAnsiTheme="majorBidi" w:cstheme="majorBidi"/>
          <w:lang w:val="en-US"/>
        </w:rPr>
        <w:t>Abdularhim</w:t>
      </w:r>
      <w:proofErr w:type="spellEnd"/>
      <w:r w:rsidRPr="00670BBF">
        <w:rPr>
          <w:rFonts w:asciiTheme="majorBidi" w:hAnsiTheme="majorBidi" w:cstheme="majorBidi"/>
          <w:lang w:val="en-US"/>
        </w:rPr>
        <w:t>, M. (2017)</w:t>
      </w:r>
      <w:bookmarkEnd w:id="341"/>
      <w:r w:rsidRPr="00670BBF">
        <w:rPr>
          <w:rFonts w:asciiTheme="majorBidi" w:hAnsiTheme="majorBidi" w:cstheme="majorBidi"/>
          <w:lang w:val="en-US"/>
        </w:rPr>
        <w:t>. The criteria of constructive feedback: The feedback that counts. </w:t>
      </w:r>
      <w:r w:rsidRPr="00C31AFF">
        <w:rPr>
          <w:rFonts w:asciiTheme="majorBidi" w:hAnsiTheme="majorBidi" w:cstheme="majorBidi"/>
          <w:i/>
          <w:iCs/>
        </w:rPr>
        <w:t xml:space="preserve">Journal of </w:t>
      </w:r>
      <w:proofErr w:type="spellStart"/>
      <w:r w:rsidRPr="00C31AFF">
        <w:rPr>
          <w:rFonts w:asciiTheme="majorBidi" w:hAnsiTheme="majorBidi" w:cstheme="majorBidi"/>
          <w:i/>
          <w:iCs/>
        </w:rPr>
        <w:t>Health</w:t>
      </w:r>
      <w:proofErr w:type="spellEnd"/>
      <w:r w:rsidRPr="00C31AFF">
        <w:rPr>
          <w:rFonts w:asciiTheme="majorBidi" w:hAnsiTheme="majorBidi" w:cstheme="majorBidi"/>
          <w:i/>
          <w:iCs/>
        </w:rPr>
        <w:t xml:space="preserve"> </w:t>
      </w:r>
      <w:proofErr w:type="spellStart"/>
      <w:r w:rsidRPr="00C31AFF">
        <w:rPr>
          <w:rFonts w:asciiTheme="majorBidi" w:hAnsiTheme="majorBidi" w:cstheme="majorBidi"/>
          <w:i/>
          <w:iCs/>
        </w:rPr>
        <w:t>Specialties</w:t>
      </w:r>
      <w:proofErr w:type="spellEnd"/>
      <w:r w:rsidRPr="00C31AFF">
        <w:rPr>
          <w:rFonts w:asciiTheme="majorBidi" w:hAnsiTheme="majorBidi" w:cstheme="majorBidi"/>
        </w:rPr>
        <w:t>, </w:t>
      </w:r>
      <w:r w:rsidRPr="00C31AFF">
        <w:rPr>
          <w:rFonts w:asciiTheme="majorBidi" w:hAnsiTheme="majorBidi" w:cstheme="majorBidi"/>
          <w:i/>
          <w:iCs/>
        </w:rPr>
        <w:t>5</w:t>
      </w:r>
      <w:r w:rsidRPr="00C31AFF">
        <w:rPr>
          <w:rFonts w:asciiTheme="majorBidi" w:hAnsiTheme="majorBidi" w:cstheme="majorBidi"/>
        </w:rPr>
        <w:t>(1), 45-45.</w:t>
      </w:r>
      <w:bookmarkEnd w:id="342"/>
    </w:p>
    <w:p w14:paraId="18469F3B" w14:textId="77777777" w:rsidR="00345650" w:rsidRPr="00C31AF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rPr>
      </w:pPr>
      <w:bookmarkStart w:id="343" w:name="_Toc200486151"/>
      <w:proofErr w:type="spellStart"/>
      <w:r w:rsidRPr="00670BBF">
        <w:rPr>
          <w:rFonts w:asciiTheme="majorBidi" w:hAnsiTheme="majorBidi" w:cstheme="majorBidi"/>
          <w:lang w:val="en-US"/>
        </w:rPr>
        <w:t>Kuvaas</w:t>
      </w:r>
      <w:proofErr w:type="spellEnd"/>
      <w:r w:rsidRPr="00670BBF">
        <w:rPr>
          <w:rFonts w:asciiTheme="majorBidi" w:hAnsiTheme="majorBidi" w:cstheme="majorBidi"/>
          <w:lang w:val="en-US"/>
        </w:rPr>
        <w:t xml:space="preserve">, B., </w:t>
      </w:r>
      <w:proofErr w:type="spellStart"/>
      <w:r w:rsidRPr="00670BBF">
        <w:rPr>
          <w:rFonts w:asciiTheme="majorBidi" w:hAnsiTheme="majorBidi" w:cstheme="majorBidi"/>
          <w:lang w:val="en-US"/>
        </w:rPr>
        <w:t>Buch</w:t>
      </w:r>
      <w:proofErr w:type="spellEnd"/>
      <w:r w:rsidRPr="00670BBF">
        <w:rPr>
          <w:rFonts w:asciiTheme="majorBidi" w:hAnsiTheme="majorBidi" w:cstheme="majorBidi"/>
          <w:lang w:val="en-US"/>
        </w:rPr>
        <w:t xml:space="preserve">, R., &amp; </w:t>
      </w:r>
      <w:proofErr w:type="spellStart"/>
      <w:r w:rsidRPr="00670BBF">
        <w:rPr>
          <w:rFonts w:asciiTheme="majorBidi" w:hAnsiTheme="majorBidi" w:cstheme="majorBidi"/>
          <w:lang w:val="en-US"/>
        </w:rPr>
        <w:t>Dysvik</w:t>
      </w:r>
      <w:proofErr w:type="spellEnd"/>
      <w:r w:rsidRPr="00670BBF">
        <w:rPr>
          <w:rFonts w:asciiTheme="majorBidi" w:hAnsiTheme="majorBidi" w:cstheme="majorBidi"/>
          <w:lang w:val="en-US"/>
        </w:rPr>
        <w:t>, A. (2017). Constructive supervisor feedback is not sufficient: Immediacy and frequency is essential. </w:t>
      </w:r>
      <w:proofErr w:type="spellStart"/>
      <w:r w:rsidRPr="00C31AFF">
        <w:rPr>
          <w:rFonts w:asciiTheme="majorBidi" w:hAnsiTheme="majorBidi" w:cstheme="majorBidi"/>
          <w:i/>
          <w:iCs/>
        </w:rPr>
        <w:t>Human</w:t>
      </w:r>
      <w:proofErr w:type="spellEnd"/>
      <w:r w:rsidRPr="00C31AFF">
        <w:rPr>
          <w:rFonts w:asciiTheme="majorBidi" w:hAnsiTheme="majorBidi" w:cstheme="majorBidi"/>
          <w:i/>
          <w:iCs/>
        </w:rPr>
        <w:t xml:space="preserve"> Resource Management</w:t>
      </w:r>
      <w:r w:rsidRPr="00C31AFF">
        <w:rPr>
          <w:rFonts w:asciiTheme="majorBidi" w:hAnsiTheme="majorBidi" w:cstheme="majorBidi"/>
        </w:rPr>
        <w:t>, </w:t>
      </w:r>
      <w:r w:rsidRPr="00C31AFF">
        <w:rPr>
          <w:rFonts w:asciiTheme="majorBidi" w:hAnsiTheme="majorBidi" w:cstheme="majorBidi"/>
          <w:i/>
          <w:iCs/>
        </w:rPr>
        <w:t>56</w:t>
      </w:r>
      <w:r w:rsidRPr="00C31AFF">
        <w:rPr>
          <w:rFonts w:asciiTheme="majorBidi" w:hAnsiTheme="majorBidi" w:cstheme="majorBidi"/>
        </w:rPr>
        <w:t>(3), 519-531.</w:t>
      </w:r>
      <w:bookmarkEnd w:id="343"/>
    </w:p>
    <w:p w14:paraId="68575E17" w14:textId="77777777" w:rsidR="00345650" w:rsidRPr="00C31AF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rPr>
      </w:pPr>
      <w:bookmarkStart w:id="344" w:name="_Toc200486152"/>
      <w:r w:rsidRPr="00670BBF">
        <w:rPr>
          <w:rFonts w:asciiTheme="majorBidi" w:hAnsiTheme="majorBidi" w:cstheme="majorBidi"/>
          <w:lang w:val="en-US"/>
        </w:rPr>
        <w:t xml:space="preserve">Sadler, I., </w:t>
      </w:r>
      <w:proofErr w:type="spellStart"/>
      <w:r w:rsidRPr="00670BBF">
        <w:rPr>
          <w:rFonts w:asciiTheme="majorBidi" w:hAnsiTheme="majorBidi" w:cstheme="majorBidi"/>
          <w:lang w:val="en-US"/>
        </w:rPr>
        <w:t>Reimann</w:t>
      </w:r>
      <w:proofErr w:type="spellEnd"/>
      <w:r w:rsidRPr="00670BBF">
        <w:rPr>
          <w:rFonts w:asciiTheme="majorBidi" w:hAnsiTheme="majorBidi" w:cstheme="majorBidi"/>
          <w:lang w:val="en-US"/>
        </w:rPr>
        <w:t>, N., &amp; Sambell, K. (2023). Feedforward practices: a systematic review of the literature. </w:t>
      </w:r>
      <w:proofErr w:type="spellStart"/>
      <w:r w:rsidRPr="00C31AFF">
        <w:rPr>
          <w:rFonts w:asciiTheme="majorBidi" w:hAnsiTheme="majorBidi" w:cstheme="majorBidi"/>
          <w:i/>
          <w:iCs/>
        </w:rPr>
        <w:t>Assessment</w:t>
      </w:r>
      <w:proofErr w:type="spellEnd"/>
      <w:r w:rsidRPr="00C31AFF">
        <w:rPr>
          <w:rFonts w:asciiTheme="majorBidi" w:hAnsiTheme="majorBidi" w:cstheme="majorBidi"/>
          <w:i/>
          <w:iCs/>
        </w:rPr>
        <w:t xml:space="preserve"> &amp; Evaluation in </w:t>
      </w:r>
      <w:proofErr w:type="spellStart"/>
      <w:r w:rsidRPr="00C31AFF">
        <w:rPr>
          <w:rFonts w:asciiTheme="majorBidi" w:hAnsiTheme="majorBidi" w:cstheme="majorBidi"/>
          <w:i/>
          <w:iCs/>
        </w:rPr>
        <w:t>Higher</w:t>
      </w:r>
      <w:proofErr w:type="spellEnd"/>
      <w:r w:rsidRPr="00C31AFF">
        <w:rPr>
          <w:rFonts w:asciiTheme="majorBidi" w:hAnsiTheme="majorBidi" w:cstheme="majorBidi"/>
          <w:i/>
          <w:iCs/>
        </w:rPr>
        <w:t xml:space="preserve"> Education</w:t>
      </w:r>
      <w:r w:rsidRPr="00C31AFF">
        <w:rPr>
          <w:rFonts w:asciiTheme="majorBidi" w:hAnsiTheme="majorBidi" w:cstheme="majorBidi"/>
        </w:rPr>
        <w:t>, </w:t>
      </w:r>
      <w:r w:rsidRPr="00C31AFF">
        <w:rPr>
          <w:rFonts w:asciiTheme="majorBidi" w:hAnsiTheme="majorBidi" w:cstheme="majorBidi"/>
          <w:i/>
          <w:iCs/>
        </w:rPr>
        <w:t>48</w:t>
      </w:r>
      <w:r w:rsidRPr="00C31AFF">
        <w:rPr>
          <w:rFonts w:asciiTheme="majorBidi" w:hAnsiTheme="majorBidi" w:cstheme="majorBidi"/>
        </w:rPr>
        <w:t>(3), 305-320.</w:t>
      </w:r>
      <w:bookmarkEnd w:id="344"/>
    </w:p>
    <w:p w14:paraId="7AC19961" w14:textId="77777777" w:rsidR="00345650" w:rsidRPr="00C31AF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rPr>
      </w:pPr>
      <w:bookmarkStart w:id="345" w:name="_Toc200486153"/>
      <w:r w:rsidRPr="00670BBF">
        <w:rPr>
          <w:rFonts w:asciiTheme="majorBidi" w:hAnsiTheme="majorBidi" w:cstheme="majorBidi"/>
          <w:lang w:val="en-US"/>
        </w:rPr>
        <w:t>Lu, X., Sales, A., &amp; Heffernan, N. T. (2021). Immediate versus delayed feedback on learning: Do people’s instincts really conflict with reality. </w:t>
      </w:r>
      <w:r w:rsidRPr="00C31AFF">
        <w:rPr>
          <w:rFonts w:asciiTheme="majorBidi" w:hAnsiTheme="majorBidi" w:cstheme="majorBidi"/>
          <w:i/>
          <w:iCs/>
        </w:rPr>
        <w:t xml:space="preserve">Journal of </w:t>
      </w:r>
      <w:proofErr w:type="spellStart"/>
      <w:r w:rsidRPr="00C31AFF">
        <w:rPr>
          <w:rFonts w:asciiTheme="majorBidi" w:hAnsiTheme="majorBidi" w:cstheme="majorBidi"/>
          <w:i/>
          <w:iCs/>
        </w:rPr>
        <w:t>higher</w:t>
      </w:r>
      <w:proofErr w:type="spellEnd"/>
      <w:r w:rsidRPr="00C31AFF">
        <w:rPr>
          <w:rFonts w:asciiTheme="majorBidi" w:hAnsiTheme="majorBidi" w:cstheme="majorBidi"/>
          <w:i/>
          <w:iCs/>
        </w:rPr>
        <w:t xml:space="preserve"> </w:t>
      </w:r>
      <w:proofErr w:type="spellStart"/>
      <w:r w:rsidRPr="00C31AFF">
        <w:rPr>
          <w:rFonts w:asciiTheme="majorBidi" w:hAnsiTheme="majorBidi" w:cstheme="majorBidi"/>
          <w:i/>
          <w:iCs/>
        </w:rPr>
        <w:t>education</w:t>
      </w:r>
      <w:proofErr w:type="spellEnd"/>
      <w:r w:rsidRPr="00C31AFF">
        <w:rPr>
          <w:rFonts w:asciiTheme="majorBidi" w:hAnsiTheme="majorBidi" w:cstheme="majorBidi"/>
          <w:i/>
          <w:iCs/>
        </w:rPr>
        <w:t xml:space="preserve"> </w:t>
      </w:r>
      <w:proofErr w:type="spellStart"/>
      <w:r w:rsidRPr="00C31AFF">
        <w:rPr>
          <w:rFonts w:asciiTheme="majorBidi" w:hAnsiTheme="majorBidi" w:cstheme="majorBidi"/>
          <w:i/>
          <w:iCs/>
        </w:rPr>
        <w:t>theory</w:t>
      </w:r>
      <w:proofErr w:type="spellEnd"/>
      <w:r w:rsidRPr="00C31AFF">
        <w:rPr>
          <w:rFonts w:asciiTheme="majorBidi" w:hAnsiTheme="majorBidi" w:cstheme="majorBidi"/>
          <w:i/>
          <w:iCs/>
        </w:rPr>
        <w:t xml:space="preserve"> and practice</w:t>
      </w:r>
      <w:r w:rsidRPr="00C31AFF">
        <w:rPr>
          <w:rFonts w:asciiTheme="majorBidi" w:hAnsiTheme="majorBidi" w:cstheme="majorBidi"/>
        </w:rPr>
        <w:t>, </w:t>
      </w:r>
      <w:r w:rsidRPr="00C31AFF">
        <w:rPr>
          <w:rFonts w:asciiTheme="majorBidi" w:hAnsiTheme="majorBidi" w:cstheme="majorBidi"/>
          <w:i/>
          <w:iCs/>
        </w:rPr>
        <w:t>21</w:t>
      </w:r>
      <w:r w:rsidRPr="00C31AFF">
        <w:rPr>
          <w:rFonts w:asciiTheme="majorBidi" w:hAnsiTheme="majorBidi" w:cstheme="majorBidi"/>
        </w:rPr>
        <w:t>(16), 188-198.</w:t>
      </w:r>
      <w:bookmarkEnd w:id="345"/>
    </w:p>
    <w:p w14:paraId="70261632" w14:textId="77777777" w:rsidR="00345650" w:rsidRPr="00C31AF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rPr>
      </w:pPr>
      <w:bookmarkStart w:id="346" w:name="_Toc200486154"/>
      <w:r w:rsidRPr="00670BBF">
        <w:rPr>
          <w:rFonts w:asciiTheme="majorBidi" w:hAnsiTheme="majorBidi" w:cstheme="majorBidi"/>
          <w:lang w:val="en-US"/>
        </w:rPr>
        <w:t xml:space="preserve">Metcalfe, J., </w:t>
      </w:r>
      <w:proofErr w:type="spellStart"/>
      <w:r w:rsidRPr="00670BBF">
        <w:rPr>
          <w:rFonts w:asciiTheme="majorBidi" w:hAnsiTheme="majorBidi" w:cstheme="majorBidi"/>
          <w:lang w:val="en-US"/>
        </w:rPr>
        <w:t>Kornell</w:t>
      </w:r>
      <w:proofErr w:type="spellEnd"/>
      <w:r w:rsidRPr="00670BBF">
        <w:rPr>
          <w:rFonts w:asciiTheme="majorBidi" w:hAnsiTheme="majorBidi" w:cstheme="majorBidi"/>
          <w:lang w:val="en-US"/>
        </w:rPr>
        <w:t xml:space="preserve">, N., &amp; Finn, B. (2009). Delayed versus immediate feedback in </w:t>
      </w:r>
      <w:proofErr w:type="gramStart"/>
      <w:r w:rsidRPr="00670BBF">
        <w:rPr>
          <w:rFonts w:asciiTheme="majorBidi" w:hAnsiTheme="majorBidi" w:cstheme="majorBidi"/>
          <w:lang w:val="en-US"/>
        </w:rPr>
        <w:t>children’s</w:t>
      </w:r>
      <w:proofErr w:type="gramEnd"/>
      <w:r w:rsidRPr="00670BBF">
        <w:rPr>
          <w:rFonts w:asciiTheme="majorBidi" w:hAnsiTheme="majorBidi" w:cstheme="majorBidi"/>
          <w:lang w:val="en-US"/>
        </w:rPr>
        <w:t xml:space="preserve"> and adults’ vocabulary learning. </w:t>
      </w:r>
      <w:r w:rsidRPr="00C31AFF">
        <w:rPr>
          <w:rFonts w:asciiTheme="majorBidi" w:hAnsiTheme="majorBidi" w:cstheme="majorBidi"/>
          <w:i/>
          <w:iCs/>
        </w:rPr>
        <w:t>Memory &amp; cognition</w:t>
      </w:r>
      <w:r w:rsidRPr="00C31AFF">
        <w:rPr>
          <w:rFonts w:asciiTheme="majorBidi" w:hAnsiTheme="majorBidi" w:cstheme="majorBidi"/>
        </w:rPr>
        <w:t>, </w:t>
      </w:r>
      <w:r w:rsidRPr="00C31AFF">
        <w:rPr>
          <w:rFonts w:asciiTheme="majorBidi" w:hAnsiTheme="majorBidi" w:cstheme="majorBidi"/>
          <w:i/>
          <w:iCs/>
        </w:rPr>
        <w:t>37</w:t>
      </w:r>
      <w:r w:rsidRPr="00C31AFF">
        <w:rPr>
          <w:rFonts w:asciiTheme="majorBidi" w:hAnsiTheme="majorBidi" w:cstheme="majorBidi"/>
        </w:rPr>
        <w:t>(8), 1077-1087.</w:t>
      </w:r>
      <w:bookmarkEnd w:id="346"/>
    </w:p>
    <w:p w14:paraId="002E7507" w14:textId="77777777" w:rsidR="00345650" w:rsidRPr="00670BB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lang w:val="en-US"/>
        </w:rPr>
      </w:pPr>
      <w:bookmarkStart w:id="347" w:name="_Toc200486155"/>
      <w:r w:rsidRPr="00670BBF">
        <w:rPr>
          <w:rFonts w:asciiTheme="majorBidi" w:hAnsiTheme="majorBidi" w:cstheme="majorBidi"/>
          <w:lang w:val="en-US"/>
        </w:rPr>
        <w:t>Masada, T. S. Y. (2017). Immediate versus delayed feedback in promoting student teachers skills for lesson plan implementation. </w:t>
      </w:r>
      <w:proofErr w:type="spellStart"/>
      <w:r w:rsidRPr="00670BBF">
        <w:rPr>
          <w:rFonts w:asciiTheme="majorBidi" w:hAnsiTheme="majorBidi" w:cstheme="majorBidi"/>
          <w:i/>
          <w:iCs/>
          <w:lang w:val="en-US"/>
        </w:rPr>
        <w:t>Thouqan</w:t>
      </w:r>
      <w:proofErr w:type="spellEnd"/>
      <w:r w:rsidRPr="00670BBF">
        <w:rPr>
          <w:rFonts w:asciiTheme="majorBidi" w:hAnsiTheme="majorBidi" w:cstheme="majorBidi"/>
          <w:i/>
          <w:iCs/>
          <w:lang w:val="en-US"/>
        </w:rPr>
        <w:t xml:space="preserve"> </w:t>
      </w:r>
      <w:proofErr w:type="spellStart"/>
      <w:r w:rsidRPr="00670BBF">
        <w:rPr>
          <w:rFonts w:asciiTheme="majorBidi" w:hAnsiTheme="majorBidi" w:cstheme="majorBidi"/>
          <w:i/>
          <w:iCs/>
          <w:lang w:val="en-US"/>
        </w:rPr>
        <w:t>Saleem</w:t>
      </w:r>
      <w:proofErr w:type="spellEnd"/>
      <w:r w:rsidRPr="00670BBF">
        <w:rPr>
          <w:rFonts w:asciiTheme="majorBidi" w:hAnsiTheme="majorBidi" w:cstheme="majorBidi"/>
          <w:i/>
          <w:iCs/>
          <w:lang w:val="en-US"/>
        </w:rPr>
        <w:t xml:space="preserve"> </w:t>
      </w:r>
      <w:proofErr w:type="spellStart"/>
      <w:r w:rsidRPr="00670BBF">
        <w:rPr>
          <w:rFonts w:asciiTheme="majorBidi" w:hAnsiTheme="majorBidi" w:cstheme="majorBidi"/>
          <w:i/>
          <w:iCs/>
          <w:lang w:val="en-US"/>
        </w:rPr>
        <w:t>Yakoub</w:t>
      </w:r>
      <w:proofErr w:type="spellEnd"/>
      <w:r w:rsidRPr="00670BBF">
        <w:rPr>
          <w:rFonts w:asciiTheme="majorBidi" w:hAnsiTheme="majorBidi" w:cstheme="majorBidi"/>
          <w:i/>
          <w:iCs/>
          <w:lang w:val="en-US"/>
        </w:rPr>
        <w:t xml:space="preserve"> </w:t>
      </w:r>
      <w:proofErr w:type="spellStart"/>
      <w:r w:rsidRPr="00670BBF">
        <w:rPr>
          <w:rFonts w:asciiTheme="majorBidi" w:hAnsiTheme="majorBidi" w:cstheme="majorBidi"/>
          <w:i/>
          <w:iCs/>
          <w:lang w:val="en-US"/>
        </w:rPr>
        <w:t>Masadeh</w:t>
      </w:r>
      <w:proofErr w:type="spellEnd"/>
      <w:r w:rsidRPr="00670BBF">
        <w:rPr>
          <w:rFonts w:asciiTheme="majorBidi" w:hAnsiTheme="majorBidi" w:cstheme="majorBidi"/>
          <w:i/>
          <w:iCs/>
          <w:lang w:val="en-US"/>
        </w:rPr>
        <w:t xml:space="preserve"> and </w:t>
      </w:r>
      <w:proofErr w:type="spellStart"/>
      <w:r w:rsidRPr="00670BBF">
        <w:rPr>
          <w:rFonts w:asciiTheme="majorBidi" w:hAnsiTheme="majorBidi" w:cstheme="majorBidi"/>
          <w:i/>
          <w:iCs/>
          <w:lang w:val="en-US"/>
        </w:rPr>
        <w:t>Abdellah</w:t>
      </w:r>
      <w:proofErr w:type="spellEnd"/>
      <w:r w:rsidRPr="00670BBF">
        <w:rPr>
          <w:rFonts w:asciiTheme="majorBidi" w:hAnsiTheme="majorBidi" w:cstheme="majorBidi"/>
          <w:i/>
          <w:iCs/>
          <w:lang w:val="en-US"/>
        </w:rPr>
        <w:t xml:space="preserve"> Ibrahim Mohammed </w:t>
      </w:r>
      <w:proofErr w:type="spellStart"/>
      <w:r w:rsidRPr="00670BBF">
        <w:rPr>
          <w:rFonts w:asciiTheme="majorBidi" w:hAnsiTheme="majorBidi" w:cstheme="majorBidi"/>
          <w:i/>
          <w:iCs/>
          <w:lang w:val="en-US"/>
        </w:rPr>
        <w:t>Elfeky</w:t>
      </w:r>
      <w:proofErr w:type="spellEnd"/>
      <w:r w:rsidRPr="00670BBF">
        <w:rPr>
          <w:rFonts w:asciiTheme="majorBidi" w:hAnsiTheme="majorBidi" w:cstheme="majorBidi"/>
          <w:i/>
          <w:iCs/>
          <w:lang w:val="en-US"/>
        </w:rPr>
        <w:t xml:space="preserve"> (2017) Immediate Versus Delayed Feedback in Promoting Student Teachers Skills for Lesson Plan Implementation, British Journal of Education</w:t>
      </w:r>
      <w:r w:rsidRPr="00670BBF">
        <w:rPr>
          <w:rFonts w:asciiTheme="majorBidi" w:hAnsiTheme="majorBidi" w:cstheme="majorBidi"/>
          <w:lang w:val="en-US"/>
        </w:rPr>
        <w:t>, </w:t>
      </w:r>
      <w:r w:rsidRPr="00670BBF">
        <w:rPr>
          <w:rFonts w:asciiTheme="majorBidi" w:hAnsiTheme="majorBidi" w:cstheme="majorBidi"/>
          <w:i/>
          <w:iCs/>
          <w:lang w:val="en-US"/>
        </w:rPr>
        <w:t>5</w:t>
      </w:r>
      <w:r w:rsidRPr="00670BBF">
        <w:rPr>
          <w:rFonts w:asciiTheme="majorBidi" w:hAnsiTheme="majorBidi" w:cstheme="majorBidi"/>
          <w:lang w:val="en-US"/>
        </w:rPr>
        <w:t>(8), 43-58.</w:t>
      </w:r>
      <w:bookmarkEnd w:id="347"/>
    </w:p>
    <w:p w14:paraId="114C4093" w14:textId="77777777" w:rsidR="00345650" w:rsidRPr="00C31AF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rPr>
      </w:pPr>
      <w:bookmarkStart w:id="348" w:name="_Toc200486156"/>
      <w:r w:rsidRPr="00670BBF">
        <w:rPr>
          <w:rFonts w:asciiTheme="majorBidi" w:hAnsiTheme="majorBidi" w:cstheme="majorBidi"/>
          <w:lang w:val="en-US"/>
        </w:rPr>
        <w:t>Richards, J. C., &amp; Farrell, T. S. (2005). </w:t>
      </w:r>
      <w:r w:rsidRPr="00670BBF">
        <w:rPr>
          <w:rFonts w:asciiTheme="majorBidi" w:hAnsiTheme="majorBidi" w:cstheme="majorBidi"/>
          <w:i/>
          <w:iCs/>
          <w:lang w:val="en-US"/>
        </w:rPr>
        <w:t>Professional development for language teachers: Strategies for teacher learning</w:t>
      </w:r>
      <w:r w:rsidRPr="00670BBF">
        <w:rPr>
          <w:rFonts w:asciiTheme="majorBidi" w:hAnsiTheme="majorBidi" w:cstheme="majorBidi"/>
          <w:lang w:val="en-US"/>
        </w:rPr>
        <w:t xml:space="preserve">. </w:t>
      </w:r>
      <w:r w:rsidRPr="00C31AFF">
        <w:rPr>
          <w:rFonts w:asciiTheme="majorBidi" w:hAnsiTheme="majorBidi" w:cstheme="majorBidi"/>
        </w:rPr>
        <w:t xml:space="preserve">Cambridge </w:t>
      </w:r>
      <w:proofErr w:type="spellStart"/>
      <w:r w:rsidRPr="00C31AFF">
        <w:rPr>
          <w:rFonts w:asciiTheme="majorBidi" w:hAnsiTheme="majorBidi" w:cstheme="majorBidi"/>
        </w:rPr>
        <w:t>University</w:t>
      </w:r>
      <w:proofErr w:type="spellEnd"/>
      <w:r w:rsidRPr="00C31AFF">
        <w:rPr>
          <w:rFonts w:asciiTheme="majorBidi" w:hAnsiTheme="majorBidi" w:cstheme="majorBidi"/>
        </w:rPr>
        <w:t xml:space="preserve"> </w:t>
      </w:r>
      <w:proofErr w:type="spellStart"/>
      <w:r w:rsidRPr="00C31AFF">
        <w:rPr>
          <w:rFonts w:asciiTheme="majorBidi" w:hAnsiTheme="majorBidi" w:cstheme="majorBidi"/>
        </w:rPr>
        <w:t>Press</w:t>
      </w:r>
      <w:proofErr w:type="spellEnd"/>
      <w:r w:rsidRPr="00C31AFF">
        <w:rPr>
          <w:rFonts w:asciiTheme="majorBidi" w:hAnsiTheme="majorBidi" w:cstheme="majorBidi"/>
        </w:rPr>
        <w:t>.</w:t>
      </w:r>
      <w:bookmarkEnd w:id="348"/>
    </w:p>
    <w:p w14:paraId="3555EF44" w14:textId="77777777" w:rsidR="00345650" w:rsidRPr="00C31AF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rPr>
      </w:pPr>
      <w:bookmarkStart w:id="349" w:name="_Toc200486157"/>
      <w:r w:rsidRPr="00670BBF">
        <w:rPr>
          <w:rFonts w:asciiTheme="majorBidi" w:hAnsiTheme="majorBidi" w:cstheme="majorBidi"/>
          <w:lang w:val="en-US"/>
        </w:rPr>
        <w:t xml:space="preserve">Freeman, D. (1989). Teacher training, development, and </w:t>
      </w:r>
      <w:proofErr w:type="gramStart"/>
      <w:r w:rsidRPr="00670BBF">
        <w:rPr>
          <w:rFonts w:asciiTheme="majorBidi" w:hAnsiTheme="majorBidi" w:cstheme="majorBidi"/>
          <w:lang w:val="en-US"/>
        </w:rPr>
        <w:t>decision making</w:t>
      </w:r>
      <w:proofErr w:type="gramEnd"/>
      <w:r w:rsidRPr="00670BBF">
        <w:rPr>
          <w:rFonts w:asciiTheme="majorBidi" w:hAnsiTheme="majorBidi" w:cstheme="majorBidi"/>
          <w:lang w:val="en-US"/>
        </w:rPr>
        <w:t>: A model of teaching and related strategies for language teacher education. </w:t>
      </w:r>
      <w:r w:rsidRPr="00C31AFF">
        <w:rPr>
          <w:rFonts w:asciiTheme="majorBidi" w:hAnsiTheme="majorBidi" w:cstheme="majorBidi"/>
          <w:i/>
          <w:iCs/>
        </w:rPr>
        <w:t xml:space="preserve">TESOL </w:t>
      </w:r>
      <w:proofErr w:type="spellStart"/>
      <w:r w:rsidRPr="00C31AFF">
        <w:rPr>
          <w:rFonts w:asciiTheme="majorBidi" w:hAnsiTheme="majorBidi" w:cstheme="majorBidi"/>
          <w:i/>
          <w:iCs/>
        </w:rPr>
        <w:t>quarterly</w:t>
      </w:r>
      <w:proofErr w:type="spellEnd"/>
      <w:r w:rsidRPr="00C31AFF">
        <w:rPr>
          <w:rFonts w:asciiTheme="majorBidi" w:hAnsiTheme="majorBidi" w:cstheme="majorBidi"/>
        </w:rPr>
        <w:t>, </w:t>
      </w:r>
      <w:r w:rsidRPr="00C31AFF">
        <w:rPr>
          <w:rFonts w:asciiTheme="majorBidi" w:hAnsiTheme="majorBidi" w:cstheme="majorBidi"/>
          <w:i/>
          <w:iCs/>
        </w:rPr>
        <w:t>23</w:t>
      </w:r>
      <w:r w:rsidRPr="00C31AFF">
        <w:rPr>
          <w:rFonts w:asciiTheme="majorBidi" w:hAnsiTheme="majorBidi" w:cstheme="majorBidi"/>
        </w:rPr>
        <w:t>(1), 27-45.</w:t>
      </w:r>
      <w:bookmarkEnd w:id="349"/>
    </w:p>
    <w:p w14:paraId="3CC8DDD3" w14:textId="77777777" w:rsidR="00345650" w:rsidRPr="00C31AF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rPr>
      </w:pPr>
      <w:bookmarkStart w:id="350" w:name="_Toc200486158"/>
      <w:r w:rsidRPr="00670BBF">
        <w:rPr>
          <w:rFonts w:asciiTheme="majorBidi" w:hAnsiTheme="majorBidi" w:cstheme="majorBidi"/>
          <w:lang w:val="en-US"/>
        </w:rPr>
        <w:t>Freeman, D. (2023). </w:t>
      </w:r>
      <w:r w:rsidRPr="00670BBF">
        <w:rPr>
          <w:rFonts w:asciiTheme="majorBidi" w:hAnsiTheme="majorBidi" w:cstheme="majorBidi"/>
          <w:i/>
          <w:iCs/>
          <w:lang w:val="en-US"/>
        </w:rPr>
        <w:t>Rethinking teacher professional development: Designing and researching how teachers learn</w:t>
      </w:r>
      <w:r w:rsidRPr="00670BBF">
        <w:rPr>
          <w:rFonts w:asciiTheme="majorBidi" w:hAnsiTheme="majorBidi" w:cstheme="majorBidi"/>
          <w:lang w:val="en-US"/>
        </w:rPr>
        <w:t xml:space="preserve">. </w:t>
      </w:r>
      <w:proofErr w:type="spellStart"/>
      <w:r w:rsidRPr="00C31AFF">
        <w:rPr>
          <w:rFonts w:asciiTheme="majorBidi" w:hAnsiTheme="majorBidi" w:cstheme="majorBidi"/>
        </w:rPr>
        <w:t>Routledge</w:t>
      </w:r>
      <w:proofErr w:type="spellEnd"/>
      <w:r w:rsidRPr="00C31AFF">
        <w:rPr>
          <w:rFonts w:asciiTheme="majorBidi" w:hAnsiTheme="majorBidi" w:cstheme="majorBidi"/>
        </w:rPr>
        <w:t>.</w:t>
      </w:r>
      <w:bookmarkEnd w:id="350"/>
    </w:p>
    <w:p w14:paraId="00F2B6B5" w14:textId="77777777" w:rsidR="00345650" w:rsidRPr="00C31AF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rPr>
      </w:pPr>
      <w:bookmarkStart w:id="351" w:name="_Toc200486159"/>
      <w:r w:rsidRPr="00670BBF">
        <w:rPr>
          <w:rFonts w:asciiTheme="majorBidi" w:hAnsiTheme="majorBidi" w:cstheme="majorBidi"/>
          <w:lang w:val="en-US"/>
        </w:rPr>
        <w:t>Orchard, J., &amp; Winch, C. (2015). What training do teachers need</w:t>
      </w:r>
      <w:proofErr w:type="gramStart"/>
      <w:r w:rsidRPr="00670BBF">
        <w:rPr>
          <w:rFonts w:asciiTheme="majorBidi" w:hAnsiTheme="majorBidi" w:cstheme="majorBidi"/>
          <w:lang w:val="en-US"/>
        </w:rPr>
        <w:t>?:</w:t>
      </w:r>
      <w:proofErr w:type="gramEnd"/>
      <w:r w:rsidRPr="00670BBF">
        <w:rPr>
          <w:rFonts w:asciiTheme="majorBidi" w:hAnsiTheme="majorBidi" w:cstheme="majorBidi"/>
          <w:lang w:val="en-US"/>
        </w:rPr>
        <w:t xml:space="preserve"> Why theory is necessary to good teaching. </w:t>
      </w:r>
      <w:r w:rsidRPr="00C31AFF">
        <w:rPr>
          <w:rFonts w:asciiTheme="majorBidi" w:hAnsiTheme="majorBidi" w:cstheme="majorBidi"/>
          <w:i/>
          <w:iCs/>
        </w:rPr>
        <w:t>Impact</w:t>
      </w:r>
      <w:r w:rsidRPr="00C31AFF">
        <w:rPr>
          <w:rFonts w:asciiTheme="majorBidi" w:hAnsiTheme="majorBidi" w:cstheme="majorBidi"/>
        </w:rPr>
        <w:t>, </w:t>
      </w:r>
      <w:r w:rsidRPr="00C31AFF">
        <w:rPr>
          <w:rFonts w:asciiTheme="majorBidi" w:hAnsiTheme="majorBidi" w:cstheme="majorBidi"/>
          <w:i/>
          <w:iCs/>
        </w:rPr>
        <w:t>2015</w:t>
      </w:r>
      <w:r w:rsidRPr="00C31AFF">
        <w:rPr>
          <w:rFonts w:asciiTheme="majorBidi" w:hAnsiTheme="majorBidi" w:cstheme="majorBidi"/>
        </w:rPr>
        <w:t>(22), 1-43.</w:t>
      </w:r>
      <w:bookmarkEnd w:id="351"/>
    </w:p>
    <w:p w14:paraId="7A57E311" w14:textId="77777777" w:rsidR="00345650" w:rsidRPr="00670BB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lang w:val="en-US"/>
        </w:rPr>
      </w:pPr>
      <w:bookmarkStart w:id="352" w:name="_Toc200486160"/>
      <w:proofErr w:type="spellStart"/>
      <w:r w:rsidRPr="00670BBF">
        <w:rPr>
          <w:rFonts w:asciiTheme="majorBidi" w:hAnsiTheme="majorBidi" w:cstheme="majorBidi"/>
          <w:lang w:val="en-US"/>
        </w:rPr>
        <w:t>Shukshina</w:t>
      </w:r>
      <w:proofErr w:type="spellEnd"/>
      <w:r w:rsidRPr="00670BBF">
        <w:rPr>
          <w:rFonts w:asciiTheme="majorBidi" w:hAnsiTheme="majorBidi" w:cstheme="majorBidi"/>
          <w:lang w:val="en-US"/>
        </w:rPr>
        <w:t xml:space="preserve">, T. I., </w:t>
      </w:r>
      <w:proofErr w:type="spellStart"/>
      <w:r w:rsidRPr="00670BBF">
        <w:rPr>
          <w:rFonts w:asciiTheme="majorBidi" w:hAnsiTheme="majorBidi" w:cstheme="majorBidi"/>
          <w:lang w:val="en-US"/>
        </w:rPr>
        <w:t>Gorshenina</w:t>
      </w:r>
      <w:proofErr w:type="spellEnd"/>
      <w:r w:rsidRPr="00670BBF">
        <w:rPr>
          <w:rFonts w:asciiTheme="majorBidi" w:hAnsiTheme="majorBidi" w:cstheme="majorBidi"/>
          <w:lang w:val="en-US"/>
        </w:rPr>
        <w:t xml:space="preserve">, S. N., </w:t>
      </w:r>
      <w:proofErr w:type="spellStart"/>
      <w:r w:rsidRPr="00670BBF">
        <w:rPr>
          <w:rFonts w:asciiTheme="majorBidi" w:hAnsiTheme="majorBidi" w:cstheme="majorBidi"/>
          <w:lang w:val="en-US"/>
        </w:rPr>
        <w:t>Buyanova</w:t>
      </w:r>
      <w:proofErr w:type="spellEnd"/>
      <w:r w:rsidRPr="00670BBF">
        <w:rPr>
          <w:rFonts w:asciiTheme="majorBidi" w:hAnsiTheme="majorBidi" w:cstheme="majorBidi"/>
          <w:lang w:val="en-US"/>
        </w:rPr>
        <w:t xml:space="preserve">, I. B., &amp; </w:t>
      </w:r>
      <w:proofErr w:type="spellStart"/>
      <w:r w:rsidRPr="00670BBF">
        <w:rPr>
          <w:rFonts w:asciiTheme="majorBidi" w:hAnsiTheme="majorBidi" w:cstheme="majorBidi"/>
          <w:lang w:val="en-US"/>
        </w:rPr>
        <w:t>Neyasova</w:t>
      </w:r>
      <w:proofErr w:type="spellEnd"/>
      <w:r w:rsidRPr="00670BBF">
        <w:rPr>
          <w:rFonts w:asciiTheme="majorBidi" w:hAnsiTheme="majorBidi" w:cstheme="majorBidi"/>
          <w:lang w:val="en-US"/>
        </w:rPr>
        <w:t>, I. A. (2016). Practice-Oriented Teachers' Training: Innovative Approach. </w:t>
      </w:r>
      <w:r w:rsidRPr="00670BBF">
        <w:rPr>
          <w:rFonts w:asciiTheme="majorBidi" w:hAnsiTheme="majorBidi" w:cstheme="majorBidi"/>
          <w:i/>
          <w:iCs/>
          <w:lang w:val="en-US"/>
        </w:rPr>
        <w:t>International journal of environmental and science education</w:t>
      </w:r>
      <w:r w:rsidRPr="00670BBF">
        <w:rPr>
          <w:rFonts w:asciiTheme="majorBidi" w:hAnsiTheme="majorBidi" w:cstheme="majorBidi"/>
          <w:lang w:val="en-US"/>
        </w:rPr>
        <w:t>, </w:t>
      </w:r>
      <w:r w:rsidRPr="00670BBF">
        <w:rPr>
          <w:rFonts w:asciiTheme="majorBidi" w:hAnsiTheme="majorBidi" w:cstheme="majorBidi"/>
          <w:i/>
          <w:iCs/>
          <w:lang w:val="en-US"/>
        </w:rPr>
        <w:t>11</w:t>
      </w:r>
      <w:r w:rsidRPr="00670BBF">
        <w:rPr>
          <w:rFonts w:asciiTheme="majorBidi" w:hAnsiTheme="majorBidi" w:cstheme="majorBidi"/>
          <w:lang w:val="en-US"/>
        </w:rPr>
        <w:t>(16), 9125-9135.</w:t>
      </w:r>
      <w:bookmarkEnd w:id="352"/>
    </w:p>
    <w:p w14:paraId="18AEEE8D" w14:textId="77777777" w:rsidR="00345650" w:rsidRPr="008A5BC3" w:rsidRDefault="00345650" w:rsidP="00FE6499">
      <w:pPr>
        <w:pStyle w:val="Paragraphedeliste"/>
        <w:numPr>
          <w:ilvl w:val="0"/>
          <w:numId w:val="13"/>
        </w:numPr>
        <w:spacing w:before="100" w:beforeAutospacing="1" w:after="100" w:afterAutospacing="1"/>
        <w:ind w:hanging="720"/>
        <w:contextualSpacing w:val="0"/>
      </w:pPr>
      <w:bookmarkStart w:id="353" w:name="_Toc200486161"/>
      <w:proofErr w:type="spellStart"/>
      <w:r w:rsidRPr="00C31AFF">
        <w:t>Vernez</w:t>
      </w:r>
      <w:proofErr w:type="spellEnd"/>
      <w:r w:rsidRPr="00C31AFF">
        <w:t xml:space="preserve">, G., </w:t>
      </w:r>
      <w:proofErr w:type="spellStart"/>
      <w:r w:rsidRPr="00C31AFF">
        <w:t>Culbertson</w:t>
      </w:r>
      <w:proofErr w:type="spellEnd"/>
      <w:r w:rsidRPr="00C31AFF">
        <w:t xml:space="preserve">, S., Constant, L., &amp; Karam, R. (2016). </w:t>
      </w:r>
      <w:r w:rsidRPr="00670BBF">
        <w:rPr>
          <w:lang w:val="en-US"/>
        </w:rPr>
        <w:t xml:space="preserve">Assessing Teacher Training. In </w:t>
      </w:r>
      <w:r w:rsidRPr="00670BBF">
        <w:rPr>
          <w:i/>
          <w:iCs/>
          <w:lang w:val="en-US"/>
        </w:rPr>
        <w:t>Initiatives to Improve Quality of Education in the Kurdistan Region—Iraq: Administration, School Monitoring, Private School Policies, and Teacher Training</w:t>
      </w:r>
      <w:r w:rsidRPr="00670BBF">
        <w:rPr>
          <w:lang w:val="en-US"/>
        </w:rPr>
        <w:t xml:space="preserve"> (pp. 69–82). </w:t>
      </w:r>
      <w:r w:rsidRPr="008A5BC3">
        <w:t xml:space="preserve">RAND Corporation. </w:t>
      </w:r>
      <w:hyperlink r:id="rId83" w:history="1">
        <w:r w:rsidRPr="008A5BC3">
          <w:rPr>
            <w:rStyle w:val="Lienhypertexte"/>
          </w:rPr>
          <w:t>http://www.jstor.org/stable/10.7249/j.ctt1b67wq3.13</w:t>
        </w:r>
        <w:bookmarkEnd w:id="353"/>
      </w:hyperlink>
    </w:p>
    <w:p w14:paraId="0A02617B" w14:textId="77777777" w:rsidR="00345650" w:rsidRPr="00C26111" w:rsidRDefault="00345650" w:rsidP="00FE6499">
      <w:pPr>
        <w:spacing w:before="100" w:beforeAutospacing="1" w:after="100" w:afterAutospacing="1"/>
        <w:ind w:left="720" w:hanging="720"/>
      </w:pPr>
    </w:p>
    <w:p w14:paraId="18625F63" w14:textId="77777777" w:rsidR="00345650" w:rsidRPr="00670BB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lang w:val="en-US"/>
        </w:rPr>
      </w:pPr>
      <w:bookmarkStart w:id="354" w:name="_Toc200486162"/>
      <w:r w:rsidRPr="00670BBF">
        <w:rPr>
          <w:rFonts w:asciiTheme="majorBidi" w:hAnsiTheme="majorBidi" w:cstheme="majorBidi"/>
          <w:lang w:val="en-US"/>
        </w:rPr>
        <w:t xml:space="preserve">Collin, K., Van der </w:t>
      </w:r>
      <w:proofErr w:type="spellStart"/>
      <w:r w:rsidRPr="00670BBF">
        <w:rPr>
          <w:rFonts w:asciiTheme="majorBidi" w:hAnsiTheme="majorBidi" w:cstheme="majorBidi"/>
          <w:lang w:val="en-US"/>
        </w:rPr>
        <w:t>Heijden</w:t>
      </w:r>
      <w:proofErr w:type="spellEnd"/>
      <w:r w:rsidRPr="00670BBF">
        <w:rPr>
          <w:rFonts w:asciiTheme="majorBidi" w:hAnsiTheme="majorBidi" w:cstheme="majorBidi"/>
          <w:lang w:val="en-US"/>
        </w:rPr>
        <w:t>, B., &amp; Lewis, P. (2012). Continuing professional development. </w:t>
      </w:r>
      <w:r w:rsidRPr="00670BBF">
        <w:rPr>
          <w:rFonts w:asciiTheme="majorBidi" w:hAnsiTheme="majorBidi" w:cstheme="majorBidi"/>
          <w:i/>
          <w:iCs/>
          <w:lang w:val="en-US"/>
        </w:rPr>
        <w:t>International journal of training and development</w:t>
      </w:r>
      <w:r w:rsidRPr="00670BBF">
        <w:rPr>
          <w:rFonts w:asciiTheme="majorBidi" w:hAnsiTheme="majorBidi" w:cstheme="majorBidi"/>
          <w:lang w:val="en-US"/>
        </w:rPr>
        <w:t>, </w:t>
      </w:r>
      <w:r w:rsidRPr="00670BBF">
        <w:rPr>
          <w:rFonts w:asciiTheme="majorBidi" w:hAnsiTheme="majorBidi" w:cstheme="majorBidi"/>
          <w:i/>
          <w:iCs/>
          <w:lang w:val="en-US"/>
        </w:rPr>
        <w:t>16</w:t>
      </w:r>
      <w:r w:rsidRPr="00670BBF">
        <w:rPr>
          <w:rFonts w:asciiTheme="majorBidi" w:hAnsiTheme="majorBidi" w:cstheme="majorBidi"/>
          <w:lang w:val="en-US"/>
        </w:rPr>
        <w:t>(3), 155-163.</w:t>
      </w:r>
      <w:bookmarkEnd w:id="354"/>
    </w:p>
    <w:p w14:paraId="10F2192E" w14:textId="77777777" w:rsidR="00345650" w:rsidRPr="00C31AF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rPr>
      </w:pPr>
      <w:bookmarkStart w:id="355" w:name="_Toc200486163"/>
      <w:r w:rsidRPr="00670BBF">
        <w:rPr>
          <w:rFonts w:asciiTheme="majorBidi" w:hAnsiTheme="majorBidi" w:cstheme="majorBidi"/>
          <w:lang w:val="en-US"/>
        </w:rPr>
        <w:t>Kaufman, R. A., &amp; English, F. W. (1979). </w:t>
      </w:r>
      <w:r w:rsidRPr="00670BBF">
        <w:rPr>
          <w:rFonts w:asciiTheme="majorBidi" w:hAnsiTheme="majorBidi" w:cstheme="majorBidi"/>
          <w:i/>
          <w:iCs/>
          <w:lang w:val="en-US"/>
        </w:rPr>
        <w:t>Needs assessment: Concept and application</w:t>
      </w:r>
      <w:r w:rsidRPr="00670BBF">
        <w:rPr>
          <w:rFonts w:asciiTheme="majorBidi" w:hAnsiTheme="majorBidi" w:cstheme="majorBidi"/>
          <w:lang w:val="en-US"/>
        </w:rPr>
        <w:t xml:space="preserve">. </w:t>
      </w:r>
      <w:proofErr w:type="spellStart"/>
      <w:r w:rsidRPr="00C31AFF">
        <w:rPr>
          <w:rFonts w:asciiTheme="majorBidi" w:hAnsiTheme="majorBidi" w:cstheme="majorBidi"/>
        </w:rPr>
        <w:t>Educational</w:t>
      </w:r>
      <w:proofErr w:type="spellEnd"/>
      <w:r w:rsidRPr="00C31AFF">
        <w:rPr>
          <w:rFonts w:asciiTheme="majorBidi" w:hAnsiTheme="majorBidi" w:cstheme="majorBidi"/>
        </w:rPr>
        <w:t xml:space="preserve"> </w:t>
      </w:r>
      <w:proofErr w:type="spellStart"/>
      <w:r w:rsidRPr="00C31AFF">
        <w:rPr>
          <w:rFonts w:asciiTheme="majorBidi" w:hAnsiTheme="majorBidi" w:cstheme="majorBidi"/>
        </w:rPr>
        <w:t>Technology</w:t>
      </w:r>
      <w:proofErr w:type="spellEnd"/>
      <w:r w:rsidRPr="00C31AFF">
        <w:rPr>
          <w:rFonts w:asciiTheme="majorBidi" w:hAnsiTheme="majorBidi" w:cstheme="majorBidi"/>
        </w:rPr>
        <w:t>.</w:t>
      </w:r>
      <w:bookmarkEnd w:id="355"/>
    </w:p>
    <w:p w14:paraId="32BCC6BD" w14:textId="77777777" w:rsidR="00345650" w:rsidRPr="00C31AF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rPr>
      </w:pPr>
      <w:bookmarkStart w:id="356" w:name="_Hlk195677488"/>
      <w:bookmarkStart w:id="357" w:name="_Toc200486164"/>
      <w:r w:rsidRPr="00670BBF">
        <w:rPr>
          <w:rFonts w:asciiTheme="majorBidi" w:hAnsiTheme="majorBidi" w:cstheme="majorBidi"/>
          <w:lang w:val="en-US"/>
        </w:rPr>
        <w:t>Kennedy, A. (2005)</w:t>
      </w:r>
      <w:bookmarkEnd w:id="356"/>
      <w:r w:rsidRPr="00670BBF">
        <w:rPr>
          <w:rFonts w:asciiTheme="majorBidi" w:hAnsiTheme="majorBidi" w:cstheme="majorBidi"/>
          <w:lang w:val="en-US"/>
        </w:rPr>
        <w:t>. Models of continuing professional development: A framework for analysis. </w:t>
      </w:r>
      <w:r w:rsidRPr="00C31AFF">
        <w:rPr>
          <w:rFonts w:asciiTheme="majorBidi" w:hAnsiTheme="majorBidi" w:cstheme="majorBidi"/>
          <w:i/>
          <w:iCs/>
        </w:rPr>
        <w:t xml:space="preserve">Journal of in-service </w:t>
      </w:r>
      <w:proofErr w:type="spellStart"/>
      <w:r w:rsidRPr="00C31AFF">
        <w:rPr>
          <w:rFonts w:asciiTheme="majorBidi" w:hAnsiTheme="majorBidi" w:cstheme="majorBidi"/>
          <w:i/>
          <w:iCs/>
        </w:rPr>
        <w:t>education</w:t>
      </w:r>
      <w:proofErr w:type="spellEnd"/>
      <w:r w:rsidRPr="00C31AFF">
        <w:rPr>
          <w:rFonts w:asciiTheme="majorBidi" w:hAnsiTheme="majorBidi" w:cstheme="majorBidi"/>
        </w:rPr>
        <w:t>, </w:t>
      </w:r>
      <w:r w:rsidRPr="00C31AFF">
        <w:rPr>
          <w:rFonts w:asciiTheme="majorBidi" w:hAnsiTheme="majorBidi" w:cstheme="majorBidi"/>
          <w:i/>
          <w:iCs/>
        </w:rPr>
        <w:t>31</w:t>
      </w:r>
      <w:r w:rsidRPr="00C31AFF">
        <w:rPr>
          <w:rFonts w:asciiTheme="majorBidi" w:hAnsiTheme="majorBidi" w:cstheme="majorBidi"/>
        </w:rPr>
        <w:t>(2), 235-250.</w:t>
      </w:r>
      <w:bookmarkEnd w:id="357"/>
    </w:p>
    <w:p w14:paraId="0F211003" w14:textId="77777777" w:rsidR="00345650" w:rsidRPr="00C31AF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rPr>
      </w:pPr>
      <w:bookmarkStart w:id="358" w:name="_Hlk195674087"/>
      <w:bookmarkStart w:id="359" w:name="_Toc200486165"/>
      <w:r w:rsidRPr="00670BBF">
        <w:rPr>
          <w:rFonts w:asciiTheme="majorBidi" w:hAnsiTheme="majorBidi" w:cstheme="majorBidi"/>
          <w:lang w:val="en-US"/>
        </w:rPr>
        <w:t xml:space="preserve">Hustler, D., </w:t>
      </w:r>
      <w:bookmarkEnd w:id="358"/>
      <w:r w:rsidRPr="00670BBF">
        <w:rPr>
          <w:rFonts w:asciiTheme="majorBidi" w:hAnsiTheme="majorBidi" w:cstheme="majorBidi"/>
          <w:lang w:val="en-US"/>
        </w:rPr>
        <w:t xml:space="preserve">McNamara, O., Jarvis, J., </w:t>
      </w:r>
      <w:proofErr w:type="spellStart"/>
      <w:r w:rsidRPr="00670BBF">
        <w:rPr>
          <w:rFonts w:asciiTheme="majorBidi" w:hAnsiTheme="majorBidi" w:cstheme="majorBidi"/>
          <w:lang w:val="en-US"/>
        </w:rPr>
        <w:t>Londra</w:t>
      </w:r>
      <w:proofErr w:type="spellEnd"/>
      <w:r w:rsidRPr="00670BBF">
        <w:rPr>
          <w:rFonts w:asciiTheme="majorBidi" w:hAnsiTheme="majorBidi" w:cstheme="majorBidi"/>
          <w:lang w:val="en-US"/>
        </w:rPr>
        <w:t>, M., Campbell, A., &amp; Howson, J. (2003). </w:t>
      </w:r>
      <w:r w:rsidRPr="00670BBF">
        <w:rPr>
          <w:rFonts w:asciiTheme="majorBidi" w:hAnsiTheme="majorBidi" w:cstheme="majorBidi"/>
          <w:i/>
          <w:iCs/>
          <w:lang w:val="en-US"/>
        </w:rPr>
        <w:t>Teachers' perceptions of continuing professional development</w:t>
      </w:r>
      <w:r w:rsidRPr="00670BBF">
        <w:rPr>
          <w:rFonts w:asciiTheme="majorBidi" w:hAnsiTheme="majorBidi" w:cstheme="majorBidi"/>
          <w:lang w:val="en-US"/>
        </w:rPr>
        <w:t xml:space="preserve">. </w:t>
      </w:r>
      <w:proofErr w:type="gramStart"/>
      <w:r w:rsidRPr="00C31AFF">
        <w:rPr>
          <w:rFonts w:asciiTheme="majorBidi" w:hAnsiTheme="majorBidi" w:cstheme="majorBidi"/>
        </w:rPr>
        <w:t>London:</w:t>
      </w:r>
      <w:proofErr w:type="gramEnd"/>
      <w:r w:rsidRPr="00C31AFF">
        <w:rPr>
          <w:rFonts w:asciiTheme="majorBidi" w:hAnsiTheme="majorBidi" w:cstheme="majorBidi"/>
        </w:rPr>
        <w:t xml:space="preserve"> </w:t>
      </w:r>
      <w:proofErr w:type="spellStart"/>
      <w:r w:rsidRPr="00C31AFF">
        <w:rPr>
          <w:rFonts w:asciiTheme="majorBidi" w:hAnsiTheme="majorBidi" w:cstheme="majorBidi"/>
        </w:rPr>
        <w:t>Department</w:t>
      </w:r>
      <w:proofErr w:type="spellEnd"/>
      <w:r w:rsidRPr="00C31AFF">
        <w:rPr>
          <w:rFonts w:asciiTheme="majorBidi" w:hAnsiTheme="majorBidi" w:cstheme="majorBidi"/>
        </w:rPr>
        <w:t xml:space="preserve"> for Education and </w:t>
      </w:r>
      <w:proofErr w:type="spellStart"/>
      <w:r w:rsidRPr="00C31AFF">
        <w:rPr>
          <w:rFonts w:asciiTheme="majorBidi" w:hAnsiTheme="majorBidi" w:cstheme="majorBidi"/>
        </w:rPr>
        <w:t>Skills</w:t>
      </w:r>
      <w:proofErr w:type="spellEnd"/>
      <w:r w:rsidRPr="00C31AFF">
        <w:rPr>
          <w:rFonts w:asciiTheme="majorBidi" w:hAnsiTheme="majorBidi" w:cstheme="majorBidi"/>
        </w:rPr>
        <w:t>.</w:t>
      </w:r>
      <w:bookmarkEnd w:id="359"/>
    </w:p>
    <w:p w14:paraId="02700448" w14:textId="77777777" w:rsidR="00345650" w:rsidRPr="00C31AF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rPr>
      </w:pPr>
      <w:bookmarkStart w:id="360" w:name="_Toc200486166"/>
      <w:proofErr w:type="spellStart"/>
      <w:r w:rsidRPr="00670BBF">
        <w:rPr>
          <w:rFonts w:asciiTheme="majorBidi" w:hAnsiTheme="majorBidi" w:cstheme="majorBidi"/>
          <w:lang w:val="en-US"/>
        </w:rPr>
        <w:t>Srinivasacharlu</w:t>
      </w:r>
      <w:proofErr w:type="spellEnd"/>
      <w:r w:rsidRPr="00670BBF">
        <w:rPr>
          <w:rFonts w:asciiTheme="majorBidi" w:hAnsiTheme="majorBidi" w:cstheme="majorBidi"/>
          <w:lang w:val="en-US"/>
        </w:rPr>
        <w:t>, A. (2019). Continuing Professional Development (CPD) of Teacher Educators in 21st Century. </w:t>
      </w:r>
      <w:proofErr w:type="spellStart"/>
      <w:r w:rsidRPr="00C31AFF">
        <w:rPr>
          <w:rFonts w:asciiTheme="majorBidi" w:hAnsiTheme="majorBidi" w:cstheme="majorBidi"/>
          <w:i/>
          <w:iCs/>
        </w:rPr>
        <w:t>Shanlax</w:t>
      </w:r>
      <w:proofErr w:type="spellEnd"/>
      <w:r w:rsidRPr="00C31AFF">
        <w:rPr>
          <w:rFonts w:asciiTheme="majorBidi" w:hAnsiTheme="majorBidi" w:cstheme="majorBidi"/>
          <w:i/>
          <w:iCs/>
        </w:rPr>
        <w:t xml:space="preserve"> International Journal of Education</w:t>
      </w:r>
      <w:r w:rsidRPr="00C31AFF">
        <w:rPr>
          <w:rFonts w:asciiTheme="majorBidi" w:hAnsiTheme="majorBidi" w:cstheme="majorBidi"/>
        </w:rPr>
        <w:t>, </w:t>
      </w:r>
      <w:r w:rsidRPr="00C31AFF">
        <w:rPr>
          <w:rFonts w:asciiTheme="majorBidi" w:hAnsiTheme="majorBidi" w:cstheme="majorBidi"/>
          <w:i/>
          <w:iCs/>
        </w:rPr>
        <w:t>7</w:t>
      </w:r>
      <w:r w:rsidRPr="00C31AFF">
        <w:rPr>
          <w:rFonts w:asciiTheme="majorBidi" w:hAnsiTheme="majorBidi" w:cstheme="majorBidi"/>
        </w:rPr>
        <w:t>(4), 29-33.</w:t>
      </w:r>
      <w:bookmarkEnd w:id="360"/>
    </w:p>
    <w:p w14:paraId="1E60F2AF" w14:textId="77777777" w:rsidR="00345650" w:rsidRPr="00C31AF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rPr>
      </w:pPr>
      <w:bookmarkStart w:id="361" w:name="_Toc200486167"/>
      <w:r w:rsidRPr="00670BBF">
        <w:rPr>
          <w:rFonts w:asciiTheme="majorBidi" w:hAnsiTheme="majorBidi" w:cstheme="majorBidi"/>
          <w:lang w:val="en-US"/>
        </w:rPr>
        <w:t>Lessing, A., &amp; De Witt, M. (2007). The value of continuous professional development: teachers' perceptions. </w:t>
      </w:r>
      <w:r w:rsidRPr="00C31AFF">
        <w:rPr>
          <w:rFonts w:asciiTheme="majorBidi" w:hAnsiTheme="majorBidi" w:cstheme="majorBidi"/>
          <w:i/>
          <w:iCs/>
        </w:rPr>
        <w:t xml:space="preserve">South </w:t>
      </w:r>
      <w:proofErr w:type="spellStart"/>
      <w:r w:rsidRPr="00C31AFF">
        <w:rPr>
          <w:rFonts w:asciiTheme="majorBidi" w:hAnsiTheme="majorBidi" w:cstheme="majorBidi"/>
          <w:i/>
          <w:iCs/>
        </w:rPr>
        <w:t>African</w:t>
      </w:r>
      <w:proofErr w:type="spellEnd"/>
      <w:r w:rsidRPr="00C31AFF">
        <w:rPr>
          <w:rFonts w:asciiTheme="majorBidi" w:hAnsiTheme="majorBidi" w:cstheme="majorBidi"/>
          <w:i/>
          <w:iCs/>
        </w:rPr>
        <w:t xml:space="preserve"> journal of </w:t>
      </w:r>
      <w:proofErr w:type="spellStart"/>
      <w:r w:rsidRPr="00C31AFF">
        <w:rPr>
          <w:rFonts w:asciiTheme="majorBidi" w:hAnsiTheme="majorBidi" w:cstheme="majorBidi"/>
          <w:i/>
          <w:iCs/>
        </w:rPr>
        <w:t>education</w:t>
      </w:r>
      <w:proofErr w:type="spellEnd"/>
      <w:r w:rsidRPr="00C31AFF">
        <w:rPr>
          <w:rFonts w:asciiTheme="majorBidi" w:hAnsiTheme="majorBidi" w:cstheme="majorBidi"/>
        </w:rPr>
        <w:t>, </w:t>
      </w:r>
      <w:r w:rsidRPr="00C31AFF">
        <w:rPr>
          <w:rFonts w:asciiTheme="majorBidi" w:hAnsiTheme="majorBidi" w:cstheme="majorBidi"/>
          <w:i/>
          <w:iCs/>
        </w:rPr>
        <w:t>27</w:t>
      </w:r>
      <w:r w:rsidRPr="00C31AFF">
        <w:rPr>
          <w:rFonts w:asciiTheme="majorBidi" w:hAnsiTheme="majorBidi" w:cstheme="majorBidi"/>
        </w:rPr>
        <w:t>(1), 53-67.</w:t>
      </w:r>
      <w:bookmarkEnd w:id="361"/>
    </w:p>
    <w:p w14:paraId="084AE3B8" w14:textId="77777777" w:rsidR="00345650" w:rsidRPr="00670BB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lang w:val="en-US"/>
        </w:rPr>
      </w:pPr>
      <w:bookmarkStart w:id="362" w:name="_Toc200486168"/>
      <w:proofErr w:type="spellStart"/>
      <w:r w:rsidRPr="00670BBF">
        <w:rPr>
          <w:rFonts w:asciiTheme="majorBidi" w:hAnsiTheme="majorBidi" w:cstheme="majorBidi"/>
          <w:lang w:val="en-US"/>
        </w:rPr>
        <w:t>Cordingley</w:t>
      </w:r>
      <w:proofErr w:type="spellEnd"/>
      <w:r w:rsidRPr="00670BBF">
        <w:rPr>
          <w:rFonts w:asciiTheme="majorBidi" w:hAnsiTheme="majorBidi" w:cstheme="majorBidi"/>
          <w:lang w:val="en-US"/>
        </w:rPr>
        <w:t>, P., &amp; Buckler, N. (2012). Mentoring and coaching for teachers’ continuing professional development. </w:t>
      </w:r>
      <w:r w:rsidRPr="00670BBF">
        <w:rPr>
          <w:rFonts w:asciiTheme="majorBidi" w:hAnsiTheme="majorBidi" w:cstheme="majorBidi"/>
          <w:i/>
          <w:iCs/>
          <w:lang w:val="en-US"/>
        </w:rPr>
        <w:t>The Sage Handbook of Mentoring and Coaching in Education, Sage, Los Angeles, CA</w:t>
      </w:r>
      <w:r w:rsidRPr="00670BBF">
        <w:rPr>
          <w:rFonts w:asciiTheme="majorBidi" w:hAnsiTheme="majorBidi" w:cstheme="majorBidi"/>
          <w:lang w:val="en-US"/>
        </w:rPr>
        <w:t>, 215-227.</w:t>
      </w:r>
      <w:bookmarkEnd w:id="362"/>
    </w:p>
    <w:p w14:paraId="3C0EC08B" w14:textId="77777777" w:rsidR="00345650" w:rsidRPr="00C31AF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rPr>
      </w:pPr>
      <w:bookmarkStart w:id="363" w:name="_Toc200486169"/>
      <w:proofErr w:type="spellStart"/>
      <w:r w:rsidRPr="00670BBF">
        <w:rPr>
          <w:rFonts w:asciiTheme="majorBidi" w:hAnsiTheme="majorBidi" w:cstheme="majorBidi"/>
          <w:lang w:val="en-US"/>
        </w:rPr>
        <w:t>Looi</w:t>
      </w:r>
      <w:proofErr w:type="spellEnd"/>
      <w:r w:rsidRPr="00670BBF">
        <w:rPr>
          <w:rFonts w:asciiTheme="majorBidi" w:hAnsiTheme="majorBidi" w:cstheme="majorBidi"/>
          <w:lang w:val="en-US"/>
        </w:rPr>
        <w:t>, C. K., Lim, W. Y., &amp; Chen, W. (2008). Communities of practice for continuing professional development in the twenty-first century. In </w:t>
      </w:r>
      <w:r w:rsidRPr="00670BBF">
        <w:rPr>
          <w:rFonts w:asciiTheme="majorBidi" w:hAnsiTheme="majorBidi" w:cstheme="majorBidi"/>
          <w:i/>
          <w:iCs/>
          <w:lang w:val="en-US"/>
        </w:rPr>
        <w:t>International handbook of information technology in primary and secondary education</w:t>
      </w:r>
      <w:r w:rsidRPr="00670BBF">
        <w:rPr>
          <w:rFonts w:asciiTheme="majorBidi" w:hAnsiTheme="majorBidi" w:cstheme="majorBidi"/>
          <w:lang w:val="en-US"/>
        </w:rPr>
        <w:t xml:space="preserve"> (pp. 489-505). </w:t>
      </w:r>
      <w:r w:rsidRPr="00C31AFF">
        <w:rPr>
          <w:rFonts w:asciiTheme="majorBidi" w:hAnsiTheme="majorBidi" w:cstheme="majorBidi"/>
        </w:rPr>
        <w:t xml:space="preserve">Boston, </w:t>
      </w:r>
      <w:proofErr w:type="gramStart"/>
      <w:r w:rsidRPr="00C31AFF">
        <w:rPr>
          <w:rFonts w:asciiTheme="majorBidi" w:hAnsiTheme="majorBidi" w:cstheme="majorBidi"/>
        </w:rPr>
        <w:t>MA:</w:t>
      </w:r>
      <w:proofErr w:type="gramEnd"/>
      <w:r w:rsidRPr="00C31AFF">
        <w:rPr>
          <w:rFonts w:asciiTheme="majorBidi" w:hAnsiTheme="majorBidi" w:cstheme="majorBidi"/>
        </w:rPr>
        <w:t xml:space="preserve"> Springer US.</w:t>
      </w:r>
      <w:bookmarkEnd w:id="363"/>
    </w:p>
    <w:p w14:paraId="1CFD5EE7" w14:textId="77777777" w:rsidR="00345650" w:rsidRPr="00C31AF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rPr>
      </w:pPr>
      <w:bookmarkStart w:id="364" w:name="_Toc200486170"/>
      <w:r w:rsidRPr="00670BBF">
        <w:rPr>
          <w:rFonts w:asciiTheme="majorBidi" w:hAnsiTheme="majorBidi" w:cstheme="majorBidi"/>
          <w:lang w:val="en-US"/>
        </w:rPr>
        <w:t xml:space="preserve">Williams, R., </w:t>
      </w:r>
      <w:proofErr w:type="spellStart"/>
      <w:r w:rsidRPr="00670BBF">
        <w:rPr>
          <w:rFonts w:asciiTheme="majorBidi" w:hAnsiTheme="majorBidi" w:cstheme="majorBidi"/>
          <w:lang w:val="en-US"/>
        </w:rPr>
        <w:t>Kamarulzaman</w:t>
      </w:r>
      <w:proofErr w:type="spellEnd"/>
      <w:r w:rsidRPr="00670BBF">
        <w:rPr>
          <w:rFonts w:asciiTheme="majorBidi" w:hAnsiTheme="majorBidi" w:cstheme="majorBidi"/>
          <w:lang w:val="en-US"/>
        </w:rPr>
        <w:t xml:space="preserve">, M. S., &amp; </w:t>
      </w:r>
      <w:proofErr w:type="spellStart"/>
      <w:r w:rsidRPr="00670BBF">
        <w:rPr>
          <w:rFonts w:asciiTheme="majorBidi" w:hAnsiTheme="majorBidi" w:cstheme="majorBidi"/>
          <w:lang w:val="en-US"/>
        </w:rPr>
        <w:t>Cuthrell</w:t>
      </w:r>
      <w:proofErr w:type="spellEnd"/>
      <w:r w:rsidRPr="00670BBF">
        <w:rPr>
          <w:rFonts w:asciiTheme="majorBidi" w:hAnsiTheme="majorBidi" w:cstheme="majorBidi"/>
          <w:lang w:val="en-US"/>
        </w:rPr>
        <w:t>, K. M. (2022). Reviewing Kennedy's Models of CPD and the Relevance in TEL. </w:t>
      </w:r>
      <w:r w:rsidRPr="00C31AFF">
        <w:rPr>
          <w:rFonts w:asciiTheme="majorBidi" w:hAnsiTheme="majorBidi" w:cstheme="majorBidi"/>
          <w:i/>
          <w:iCs/>
        </w:rPr>
        <w:t xml:space="preserve">Asian journal of </w:t>
      </w:r>
      <w:proofErr w:type="spellStart"/>
      <w:r w:rsidRPr="00C31AFF">
        <w:rPr>
          <w:rFonts w:asciiTheme="majorBidi" w:hAnsiTheme="majorBidi" w:cstheme="majorBidi"/>
          <w:i/>
          <w:iCs/>
        </w:rPr>
        <w:t>advances</w:t>
      </w:r>
      <w:proofErr w:type="spellEnd"/>
      <w:r w:rsidRPr="00C31AFF">
        <w:rPr>
          <w:rFonts w:asciiTheme="majorBidi" w:hAnsiTheme="majorBidi" w:cstheme="majorBidi"/>
          <w:i/>
          <w:iCs/>
        </w:rPr>
        <w:t xml:space="preserve"> in </w:t>
      </w:r>
      <w:proofErr w:type="spellStart"/>
      <w:r w:rsidRPr="00C31AFF">
        <w:rPr>
          <w:rFonts w:asciiTheme="majorBidi" w:hAnsiTheme="majorBidi" w:cstheme="majorBidi"/>
          <w:i/>
          <w:iCs/>
        </w:rPr>
        <w:t>research</w:t>
      </w:r>
      <w:proofErr w:type="spellEnd"/>
      <w:r w:rsidRPr="00C31AFF">
        <w:rPr>
          <w:rFonts w:asciiTheme="majorBidi" w:hAnsiTheme="majorBidi" w:cstheme="majorBidi"/>
        </w:rPr>
        <w:t>, </w:t>
      </w:r>
      <w:r w:rsidRPr="00C31AFF">
        <w:rPr>
          <w:rFonts w:asciiTheme="majorBidi" w:hAnsiTheme="majorBidi" w:cstheme="majorBidi"/>
          <w:i/>
          <w:iCs/>
        </w:rPr>
        <w:t>17</w:t>
      </w:r>
      <w:r w:rsidRPr="00C31AFF">
        <w:rPr>
          <w:rFonts w:asciiTheme="majorBidi" w:hAnsiTheme="majorBidi" w:cstheme="majorBidi"/>
        </w:rPr>
        <w:t>(1), 28-34.</w:t>
      </w:r>
      <w:bookmarkEnd w:id="364"/>
    </w:p>
    <w:p w14:paraId="3F2E858E" w14:textId="77777777" w:rsidR="00345650" w:rsidRPr="00C31AF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rPr>
      </w:pPr>
      <w:bookmarkStart w:id="365" w:name="_Toc200486171"/>
      <w:r w:rsidRPr="00670BBF">
        <w:rPr>
          <w:rFonts w:asciiTheme="majorBidi" w:hAnsiTheme="majorBidi" w:cstheme="majorBidi"/>
          <w:lang w:val="en-US"/>
        </w:rPr>
        <w:t xml:space="preserve">Mooney </w:t>
      </w:r>
      <w:proofErr w:type="spellStart"/>
      <w:r w:rsidRPr="00670BBF">
        <w:rPr>
          <w:rFonts w:asciiTheme="majorBidi" w:hAnsiTheme="majorBidi" w:cstheme="majorBidi"/>
          <w:lang w:val="en-US"/>
        </w:rPr>
        <w:t>Simmie</w:t>
      </w:r>
      <w:proofErr w:type="spellEnd"/>
      <w:r w:rsidRPr="00670BBF">
        <w:rPr>
          <w:rFonts w:asciiTheme="majorBidi" w:hAnsiTheme="majorBidi" w:cstheme="majorBidi"/>
          <w:lang w:val="en-US"/>
        </w:rPr>
        <w:t xml:space="preserve">, G., O’Meara, N., Forster, A., Ryan, V., &amp; Ryan, T. (2024). Towards a model of teachers’ continuing professional development (CPD): A </w:t>
      </w:r>
      <w:proofErr w:type="gramStart"/>
      <w:r w:rsidRPr="00670BBF">
        <w:rPr>
          <w:rFonts w:asciiTheme="majorBidi" w:hAnsiTheme="majorBidi" w:cstheme="majorBidi"/>
          <w:lang w:val="en-US"/>
        </w:rPr>
        <w:t>border crossing</w:t>
      </w:r>
      <w:proofErr w:type="gramEnd"/>
      <w:r w:rsidRPr="00670BBF">
        <w:rPr>
          <w:rFonts w:asciiTheme="majorBidi" w:hAnsiTheme="majorBidi" w:cstheme="majorBidi"/>
          <w:lang w:val="en-US"/>
        </w:rPr>
        <w:t xml:space="preserve"> journey with embedded contradictions, ethical dilemmas and transformative possibilities. </w:t>
      </w:r>
      <w:r w:rsidRPr="00C31AFF">
        <w:rPr>
          <w:rFonts w:asciiTheme="majorBidi" w:hAnsiTheme="majorBidi" w:cstheme="majorBidi"/>
          <w:i/>
          <w:iCs/>
        </w:rPr>
        <w:t xml:space="preserve">Professional </w:t>
      </w:r>
      <w:proofErr w:type="spellStart"/>
      <w:r w:rsidRPr="00C31AFF">
        <w:rPr>
          <w:rFonts w:asciiTheme="majorBidi" w:hAnsiTheme="majorBidi" w:cstheme="majorBidi"/>
          <w:i/>
          <w:iCs/>
        </w:rPr>
        <w:t>Development</w:t>
      </w:r>
      <w:proofErr w:type="spellEnd"/>
      <w:r w:rsidRPr="00C31AFF">
        <w:rPr>
          <w:rFonts w:asciiTheme="majorBidi" w:hAnsiTheme="majorBidi" w:cstheme="majorBidi"/>
          <w:i/>
          <w:iCs/>
        </w:rPr>
        <w:t xml:space="preserve"> in Education</w:t>
      </w:r>
      <w:r w:rsidRPr="00C31AFF">
        <w:rPr>
          <w:rFonts w:asciiTheme="majorBidi" w:hAnsiTheme="majorBidi" w:cstheme="majorBidi"/>
        </w:rPr>
        <w:t>, </w:t>
      </w:r>
      <w:r w:rsidRPr="00C31AFF">
        <w:rPr>
          <w:rFonts w:asciiTheme="majorBidi" w:hAnsiTheme="majorBidi" w:cstheme="majorBidi"/>
          <w:i/>
          <w:iCs/>
        </w:rPr>
        <w:t>50</w:t>
      </w:r>
      <w:r w:rsidRPr="00C31AFF">
        <w:rPr>
          <w:rFonts w:asciiTheme="majorBidi" w:hAnsiTheme="majorBidi" w:cstheme="majorBidi"/>
        </w:rPr>
        <w:t>(1), 46-58.</w:t>
      </w:r>
      <w:bookmarkEnd w:id="365"/>
    </w:p>
    <w:p w14:paraId="76C676EB" w14:textId="77777777" w:rsidR="00345650" w:rsidRPr="00C31AF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i/>
          <w:iCs/>
        </w:rPr>
      </w:pPr>
      <w:bookmarkStart w:id="366" w:name="_Toc200486172"/>
      <w:r w:rsidRPr="00670BBF">
        <w:rPr>
          <w:rFonts w:asciiTheme="majorBidi" w:hAnsiTheme="majorBidi" w:cstheme="majorBidi"/>
          <w:lang w:val="en-US"/>
        </w:rPr>
        <w:t xml:space="preserve">Burns, M. (2023). Distance Education for Teacher </w:t>
      </w:r>
      <w:proofErr w:type="gramStart"/>
      <w:r w:rsidRPr="00670BBF">
        <w:rPr>
          <w:rFonts w:asciiTheme="majorBidi" w:hAnsiTheme="majorBidi" w:cstheme="majorBidi"/>
          <w:lang w:val="en-US"/>
        </w:rPr>
        <w:t>Training:</w:t>
      </w:r>
      <w:proofErr w:type="gramEnd"/>
      <w:r w:rsidRPr="00670BBF">
        <w:rPr>
          <w:rFonts w:asciiTheme="majorBidi" w:hAnsiTheme="majorBidi" w:cstheme="majorBidi"/>
          <w:lang w:val="en-US"/>
        </w:rPr>
        <w:t xml:space="preserve"> Modes, Models, and Methods. </w:t>
      </w:r>
      <w:r w:rsidRPr="00C31AFF">
        <w:rPr>
          <w:rFonts w:asciiTheme="majorBidi" w:hAnsiTheme="majorBidi" w:cstheme="majorBidi"/>
          <w:i/>
          <w:iCs/>
        </w:rPr>
        <w:t xml:space="preserve">Education </w:t>
      </w:r>
      <w:proofErr w:type="spellStart"/>
      <w:r w:rsidRPr="00C31AFF">
        <w:rPr>
          <w:rFonts w:asciiTheme="majorBidi" w:hAnsiTheme="majorBidi" w:cstheme="majorBidi"/>
          <w:i/>
          <w:iCs/>
        </w:rPr>
        <w:t>Development</w:t>
      </w:r>
      <w:proofErr w:type="spellEnd"/>
      <w:r w:rsidRPr="00C31AFF">
        <w:rPr>
          <w:rFonts w:asciiTheme="majorBidi" w:hAnsiTheme="majorBidi" w:cstheme="majorBidi"/>
          <w:i/>
          <w:iCs/>
        </w:rPr>
        <w:t xml:space="preserve"> Center, Inc.</w:t>
      </w:r>
      <w:bookmarkEnd w:id="366"/>
    </w:p>
    <w:p w14:paraId="36CD0983" w14:textId="77777777" w:rsidR="00345650" w:rsidRPr="00670BB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lang w:val="en-US"/>
        </w:rPr>
      </w:pPr>
      <w:bookmarkStart w:id="367" w:name="_Toc200486173"/>
      <w:proofErr w:type="spellStart"/>
      <w:r w:rsidRPr="00670BBF">
        <w:rPr>
          <w:rFonts w:asciiTheme="majorBidi" w:hAnsiTheme="majorBidi" w:cstheme="majorBidi"/>
          <w:lang w:val="en-US"/>
        </w:rPr>
        <w:t>Omoseebi</w:t>
      </w:r>
      <w:proofErr w:type="spellEnd"/>
      <w:r w:rsidRPr="00670BBF">
        <w:rPr>
          <w:rFonts w:asciiTheme="majorBidi" w:hAnsiTheme="majorBidi" w:cstheme="majorBidi"/>
          <w:lang w:val="en-US"/>
        </w:rPr>
        <w:t xml:space="preserve">, A., Owen, J., &amp; </w:t>
      </w:r>
      <w:proofErr w:type="spellStart"/>
      <w:r w:rsidRPr="00670BBF">
        <w:rPr>
          <w:rFonts w:asciiTheme="majorBidi" w:hAnsiTheme="majorBidi" w:cstheme="majorBidi"/>
          <w:lang w:val="en-US"/>
        </w:rPr>
        <w:t>Loveth</w:t>
      </w:r>
      <w:proofErr w:type="spellEnd"/>
      <w:r w:rsidRPr="00670BBF">
        <w:rPr>
          <w:rFonts w:asciiTheme="majorBidi" w:hAnsiTheme="majorBidi" w:cstheme="majorBidi"/>
          <w:lang w:val="en-US"/>
        </w:rPr>
        <w:t>, Q. (2024). Importance of mentorship and faculty support.</w:t>
      </w:r>
      <w:bookmarkEnd w:id="367"/>
    </w:p>
    <w:p w14:paraId="72F2AF0B" w14:textId="77777777" w:rsidR="00345650" w:rsidRPr="00C31AF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rPr>
      </w:pPr>
      <w:bookmarkStart w:id="368" w:name="_Hlk195886126"/>
      <w:bookmarkStart w:id="369" w:name="_Toc200486174"/>
      <w:proofErr w:type="spellStart"/>
      <w:r w:rsidRPr="00670BBF">
        <w:rPr>
          <w:rFonts w:asciiTheme="majorBidi" w:hAnsiTheme="majorBidi" w:cstheme="majorBidi"/>
          <w:lang w:val="en-US"/>
        </w:rPr>
        <w:t>Knapczyk</w:t>
      </w:r>
      <w:proofErr w:type="spellEnd"/>
      <w:r w:rsidRPr="00670BBF">
        <w:rPr>
          <w:rFonts w:asciiTheme="majorBidi" w:hAnsiTheme="majorBidi" w:cstheme="majorBidi"/>
          <w:lang w:val="en-US"/>
        </w:rPr>
        <w:t xml:space="preserve">, D. R., </w:t>
      </w:r>
      <w:proofErr w:type="gramStart"/>
      <w:r w:rsidRPr="00670BBF">
        <w:rPr>
          <w:rFonts w:asciiTheme="majorBidi" w:hAnsiTheme="majorBidi" w:cstheme="majorBidi"/>
          <w:lang w:val="en-US"/>
        </w:rPr>
        <w:t>Hew,</w:t>
      </w:r>
      <w:proofErr w:type="gramEnd"/>
      <w:r w:rsidRPr="00670BBF">
        <w:rPr>
          <w:rFonts w:asciiTheme="majorBidi" w:hAnsiTheme="majorBidi" w:cstheme="majorBidi"/>
          <w:lang w:val="en-US"/>
        </w:rPr>
        <w:t xml:space="preserve"> K. F., &amp; Frey, T. J. (2005). </w:t>
      </w:r>
      <w:bookmarkEnd w:id="368"/>
      <w:r w:rsidRPr="00670BBF">
        <w:rPr>
          <w:rFonts w:asciiTheme="majorBidi" w:hAnsiTheme="majorBidi" w:cstheme="majorBidi"/>
          <w:lang w:val="en-US"/>
        </w:rPr>
        <w:t>Evaluation of online mentoring of practicum for limited licensed teachers. </w:t>
      </w:r>
      <w:r w:rsidRPr="00C31AFF">
        <w:rPr>
          <w:rFonts w:asciiTheme="majorBidi" w:hAnsiTheme="majorBidi" w:cstheme="majorBidi"/>
          <w:i/>
          <w:iCs/>
        </w:rPr>
        <w:t xml:space="preserve">Teacher Education and </w:t>
      </w:r>
      <w:proofErr w:type="spellStart"/>
      <w:r w:rsidRPr="00C31AFF">
        <w:rPr>
          <w:rFonts w:asciiTheme="majorBidi" w:hAnsiTheme="majorBidi" w:cstheme="majorBidi"/>
          <w:i/>
          <w:iCs/>
        </w:rPr>
        <w:t>Special</w:t>
      </w:r>
      <w:proofErr w:type="spellEnd"/>
      <w:r w:rsidRPr="00C31AFF">
        <w:rPr>
          <w:rFonts w:asciiTheme="majorBidi" w:hAnsiTheme="majorBidi" w:cstheme="majorBidi"/>
          <w:i/>
          <w:iCs/>
        </w:rPr>
        <w:t xml:space="preserve"> Education</w:t>
      </w:r>
      <w:r w:rsidRPr="00C31AFF">
        <w:rPr>
          <w:rFonts w:asciiTheme="majorBidi" w:hAnsiTheme="majorBidi" w:cstheme="majorBidi"/>
        </w:rPr>
        <w:t>, </w:t>
      </w:r>
      <w:r w:rsidRPr="00C31AFF">
        <w:rPr>
          <w:rFonts w:asciiTheme="majorBidi" w:hAnsiTheme="majorBidi" w:cstheme="majorBidi"/>
          <w:i/>
          <w:iCs/>
        </w:rPr>
        <w:t>28</w:t>
      </w:r>
      <w:r w:rsidRPr="00C31AFF">
        <w:rPr>
          <w:rFonts w:asciiTheme="majorBidi" w:hAnsiTheme="majorBidi" w:cstheme="majorBidi"/>
        </w:rPr>
        <w:t>(3-4), 207-220.</w:t>
      </w:r>
      <w:bookmarkEnd w:id="369"/>
    </w:p>
    <w:p w14:paraId="63322BA2" w14:textId="77777777" w:rsidR="00345650" w:rsidRPr="00670BB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lang w:val="en-US"/>
        </w:rPr>
      </w:pPr>
      <w:bookmarkStart w:id="370" w:name="_Hlk195890878"/>
      <w:bookmarkStart w:id="371" w:name="_Toc200486175"/>
      <w:proofErr w:type="spellStart"/>
      <w:r w:rsidRPr="00670BBF">
        <w:rPr>
          <w:rFonts w:asciiTheme="majorBidi" w:hAnsiTheme="majorBidi" w:cstheme="majorBidi"/>
          <w:lang w:val="en-US"/>
        </w:rPr>
        <w:t>Spanorriga</w:t>
      </w:r>
      <w:proofErr w:type="spellEnd"/>
      <w:r w:rsidRPr="00670BBF">
        <w:rPr>
          <w:rFonts w:asciiTheme="majorBidi" w:hAnsiTheme="majorBidi" w:cstheme="majorBidi"/>
          <w:lang w:val="en-US"/>
        </w:rPr>
        <w:t xml:space="preserve">, C., </w:t>
      </w:r>
      <w:proofErr w:type="spellStart"/>
      <w:r w:rsidRPr="00670BBF">
        <w:rPr>
          <w:rFonts w:asciiTheme="majorBidi" w:hAnsiTheme="majorBidi" w:cstheme="majorBidi"/>
          <w:lang w:val="en-US"/>
        </w:rPr>
        <w:t>Tsiotakis</w:t>
      </w:r>
      <w:proofErr w:type="spellEnd"/>
      <w:r w:rsidRPr="00670BBF">
        <w:rPr>
          <w:rFonts w:asciiTheme="majorBidi" w:hAnsiTheme="majorBidi" w:cstheme="majorBidi"/>
          <w:lang w:val="en-US"/>
        </w:rPr>
        <w:t xml:space="preserve">, P., &amp; </w:t>
      </w:r>
      <w:proofErr w:type="spellStart"/>
      <w:r w:rsidRPr="00670BBF">
        <w:rPr>
          <w:rFonts w:asciiTheme="majorBidi" w:hAnsiTheme="majorBidi" w:cstheme="majorBidi"/>
          <w:lang w:val="en-US"/>
        </w:rPr>
        <w:t>Jimoyiannis</w:t>
      </w:r>
      <w:proofErr w:type="spellEnd"/>
      <w:r w:rsidRPr="00670BBF">
        <w:rPr>
          <w:rFonts w:asciiTheme="majorBidi" w:hAnsiTheme="majorBidi" w:cstheme="majorBidi"/>
          <w:lang w:val="en-US"/>
        </w:rPr>
        <w:t>, A. (2018, June)</w:t>
      </w:r>
      <w:bookmarkEnd w:id="370"/>
      <w:r w:rsidRPr="00670BBF">
        <w:rPr>
          <w:rFonts w:asciiTheme="majorBidi" w:hAnsiTheme="majorBidi" w:cstheme="majorBidi"/>
          <w:lang w:val="en-US"/>
        </w:rPr>
        <w:t>. E-mentoring and novice teachers’ professional development: Program design and critical success factors. In </w:t>
      </w:r>
      <w:proofErr w:type="spellStart"/>
      <w:proofErr w:type="gramStart"/>
      <w:r w:rsidRPr="00670BBF">
        <w:rPr>
          <w:rFonts w:asciiTheme="majorBidi" w:hAnsiTheme="majorBidi" w:cstheme="majorBidi"/>
          <w:i/>
          <w:iCs/>
          <w:lang w:val="en-US"/>
        </w:rPr>
        <w:t>EdMedia</w:t>
      </w:r>
      <w:proofErr w:type="spellEnd"/>
      <w:r w:rsidRPr="00670BBF">
        <w:rPr>
          <w:rFonts w:asciiTheme="majorBidi" w:hAnsiTheme="majorBidi" w:cstheme="majorBidi"/>
          <w:i/>
          <w:iCs/>
          <w:lang w:val="en-US"/>
        </w:rPr>
        <w:t>+</w:t>
      </w:r>
      <w:proofErr w:type="gramEnd"/>
      <w:r w:rsidRPr="00670BBF">
        <w:rPr>
          <w:rFonts w:asciiTheme="majorBidi" w:hAnsiTheme="majorBidi" w:cstheme="majorBidi"/>
          <w:i/>
          <w:iCs/>
          <w:lang w:val="en-US"/>
        </w:rPr>
        <w:t xml:space="preserve"> Innovate Learning</w:t>
      </w:r>
      <w:r w:rsidRPr="00670BBF">
        <w:rPr>
          <w:rFonts w:asciiTheme="majorBidi" w:hAnsiTheme="majorBidi" w:cstheme="majorBidi"/>
          <w:lang w:val="en-US"/>
        </w:rPr>
        <w:t> (pp. 1315-1324). Association for the Advancement of Computing in Education (AACE).</w:t>
      </w:r>
      <w:bookmarkEnd w:id="371"/>
    </w:p>
    <w:p w14:paraId="16C0E2C3" w14:textId="77777777" w:rsidR="00345650" w:rsidRPr="00C31AF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rPr>
      </w:pPr>
      <w:bookmarkStart w:id="372" w:name="_Toc200486176"/>
      <w:r w:rsidRPr="00670BBF">
        <w:rPr>
          <w:rFonts w:asciiTheme="majorBidi" w:hAnsiTheme="majorBidi" w:cstheme="majorBidi"/>
          <w:lang w:val="en-US"/>
        </w:rPr>
        <w:t>Bakar, R. A. (2016). The relationship between mentoring program and mentees psychological and emotional support: personality as a moderator. </w:t>
      </w:r>
      <w:r w:rsidRPr="00C31AFF">
        <w:rPr>
          <w:rFonts w:asciiTheme="majorBidi" w:hAnsiTheme="majorBidi" w:cstheme="majorBidi"/>
          <w:i/>
          <w:iCs/>
        </w:rPr>
        <w:t xml:space="preserve">Journal of Cognitive Sciences and </w:t>
      </w:r>
      <w:proofErr w:type="spellStart"/>
      <w:r w:rsidRPr="00C31AFF">
        <w:rPr>
          <w:rFonts w:asciiTheme="majorBidi" w:hAnsiTheme="majorBidi" w:cstheme="majorBidi"/>
          <w:i/>
          <w:iCs/>
        </w:rPr>
        <w:t>Human</w:t>
      </w:r>
      <w:proofErr w:type="spellEnd"/>
      <w:r w:rsidRPr="00C31AFF">
        <w:rPr>
          <w:rFonts w:asciiTheme="majorBidi" w:hAnsiTheme="majorBidi" w:cstheme="majorBidi"/>
          <w:i/>
          <w:iCs/>
        </w:rPr>
        <w:t xml:space="preserve"> </w:t>
      </w:r>
      <w:proofErr w:type="spellStart"/>
      <w:r w:rsidRPr="00C31AFF">
        <w:rPr>
          <w:rFonts w:asciiTheme="majorBidi" w:hAnsiTheme="majorBidi" w:cstheme="majorBidi"/>
          <w:i/>
          <w:iCs/>
        </w:rPr>
        <w:t>Development</w:t>
      </w:r>
      <w:proofErr w:type="spellEnd"/>
      <w:r w:rsidRPr="00C31AFF">
        <w:rPr>
          <w:rFonts w:asciiTheme="majorBidi" w:hAnsiTheme="majorBidi" w:cstheme="majorBidi"/>
        </w:rPr>
        <w:t>, </w:t>
      </w:r>
      <w:r w:rsidRPr="00C31AFF">
        <w:rPr>
          <w:rFonts w:asciiTheme="majorBidi" w:hAnsiTheme="majorBidi" w:cstheme="majorBidi"/>
          <w:i/>
          <w:iCs/>
        </w:rPr>
        <w:t>1</w:t>
      </w:r>
      <w:r w:rsidRPr="00C31AFF">
        <w:rPr>
          <w:rFonts w:asciiTheme="majorBidi" w:hAnsiTheme="majorBidi" w:cstheme="majorBidi"/>
        </w:rPr>
        <w:t>(2), 84-98.</w:t>
      </w:r>
      <w:bookmarkEnd w:id="372"/>
    </w:p>
    <w:p w14:paraId="00C7FE74" w14:textId="77777777" w:rsidR="00345650" w:rsidRPr="00670BB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lang w:val="en-US"/>
        </w:rPr>
      </w:pPr>
      <w:bookmarkStart w:id="373" w:name="_Toc200486177"/>
      <w:r w:rsidRPr="00670BBF">
        <w:rPr>
          <w:rFonts w:asciiTheme="majorBidi" w:hAnsiTheme="majorBidi" w:cstheme="majorBidi"/>
          <w:lang w:val="en-US"/>
        </w:rPr>
        <w:t>Tripp, D. (1987). Action research and professional development. </w:t>
      </w:r>
      <w:r w:rsidRPr="00670BBF">
        <w:rPr>
          <w:rFonts w:asciiTheme="majorBidi" w:hAnsiTheme="majorBidi" w:cstheme="majorBidi"/>
          <w:i/>
          <w:iCs/>
          <w:lang w:val="en-US"/>
        </w:rPr>
        <w:t>Better teachers for better schools</w:t>
      </w:r>
      <w:r w:rsidRPr="00670BBF">
        <w:rPr>
          <w:rFonts w:asciiTheme="majorBidi" w:hAnsiTheme="majorBidi" w:cstheme="majorBidi"/>
          <w:lang w:val="en-US"/>
        </w:rPr>
        <w:t>, 201-222.</w:t>
      </w:r>
      <w:bookmarkEnd w:id="373"/>
    </w:p>
    <w:p w14:paraId="137950AE" w14:textId="77777777" w:rsidR="00345650" w:rsidRPr="00C31AF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rPr>
      </w:pPr>
      <w:bookmarkStart w:id="374" w:name="_Hlk195944075"/>
      <w:bookmarkStart w:id="375" w:name="_Toc200486178"/>
      <w:r w:rsidRPr="00670BBF">
        <w:rPr>
          <w:rFonts w:asciiTheme="majorBidi" w:hAnsiTheme="majorBidi" w:cstheme="majorBidi"/>
          <w:lang w:val="en-US"/>
        </w:rPr>
        <w:t>Zahid Iqbal, M., &amp; Khan, R. A. (2011</w:t>
      </w:r>
      <w:bookmarkEnd w:id="374"/>
      <w:r w:rsidRPr="00670BBF">
        <w:rPr>
          <w:rFonts w:asciiTheme="majorBidi" w:hAnsiTheme="majorBidi" w:cstheme="majorBidi"/>
          <w:lang w:val="en-US"/>
        </w:rPr>
        <w:t>). The growing concept and uses of training needs assessment: A review with proposed model. </w:t>
      </w:r>
      <w:r w:rsidRPr="00C31AFF">
        <w:rPr>
          <w:rFonts w:asciiTheme="majorBidi" w:hAnsiTheme="majorBidi" w:cstheme="majorBidi"/>
          <w:i/>
          <w:iCs/>
        </w:rPr>
        <w:t xml:space="preserve">Journal of </w:t>
      </w:r>
      <w:proofErr w:type="spellStart"/>
      <w:r w:rsidRPr="00C31AFF">
        <w:rPr>
          <w:rFonts w:asciiTheme="majorBidi" w:hAnsiTheme="majorBidi" w:cstheme="majorBidi"/>
          <w:i/>
          <w:iCs/>
        </w:rPr>
        <w:t>European</w:t>
      </w:r>
      <w:proofErr w:type="spellEnd"/>
      <w:r w:rsidRPr="00C31AFF">
        <w:rPr>
          <w:rFonts w:asciiTheme="majorBidi" w:hAnsiTheme="majorBidi" w:cstheme="majorBidi"/>
          <w:i/>
          <w:iCs/>
        </w:rPr>
        <w:t xml:space="preserve"> </w:t>
      </w:r>
      <w:proofErr w:type="spellStart"/>
      <w:r w:rsidRPr="00C31AFF">
        <w:rPr>
          <w:rFonts w:asciiTheme="majorBidi" w:hAnsiTheme="majorBidi" w:cstheme="majorBidi"/>
          <w:i/>
          <w:iCs/>
        </w:rPr>
        <w:t>Industrial</w:t>
      </w:r>
      <w:proofErr w:type="spellEnd"/>
      <w:r w:rsidRPr="00C31AFF">
        <w:rPr>
          <w:rFonts w:asciiTheme="majorBidi" w:hAnsiTheme="majorBidi" w:cstheme="majorBidi"/>
          <w:i/>
          <w:iCs/>
        </w:rPr>
        <w:t xml:space="preserve"> Training</w:t>
      </w:r>
      <w:r w:rsidRPr="00C31AFF">
        <w:rPr>
          <w:rFonts w:asciiTheme="majorBidi" w:hAnsiTheme="majorBidi" w:cstheme="majorBidi"/>
        </w:rPr>
        <w:t>, </w:t>
      </w:r>
      <w:r w:rsidRPr="00C31AFF">
        <w:rPr>
          <w:rFonts w:asciiTheme="majorBidi" w:hAnsiTheme="majorBidi" w:cstheme="majorBidi"/>
          <w:i/>
          <w:iCs/>
        </w:rPr>
        <w:t>35</w:t>
      </w:r>
      <w:r w:rsidRPr="00C31AFF">
        <w:rPr>
          <w:rFonts w:asciiTheme="majorBidi" w:hAnsiTheme="majorBidi" w:cstheme="majorBidi"/>
        </w:rPr>
        <w:t>(5), 439-466.</w:t>
      </w:r>
      <w:bookmarkEnd w:id="375"/>
    </w:p>
    <w:p w14:paraId="3018E0F4" w14:textId="77777777" w:rsidR="00345650" w:rsidRPr="00C31AF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rPr>
      </w:pPr>
      <w:bookmarkStart w:id="376" w:name="_Toc200486179"/>
      <w:r w:rsidRPr="00670BBF">
        <w:rPr>
          <w:rFonts w:asciiTheme="majorBidi" w:hAnsiTheme="majorBidi" w:cstheme="majorBidi"/>
          <w:lang w:val="en-US"/>
        </w:rPr>
        <w:t xml:space="preserve">Lindberg, J. O., &amp; </w:t>
      </w:r>
      <w:proofErr w:type="spellStart"/>
      <w:r w:rsidRPr="00670BBF">
        <w:rPr>
          <w:rFonts w:asciiTheme="majorBidi" w:hAnsiTheme="majorBidi" w:cstheme="majorBidi"/>
          <w:lang w:val="en-US"/>
        </w:rPr>
        <w:t>Olofsson</w:t>
      </w:r>
      <w:proofErr w:type="spellEnd"/>
      <w:r w:rsidRPr="00670BBF">
        <w:rPr>
          <w:rFonts w:asciiTheme="majorBidi" w:hAnsiTheme="majorBidi" w:cstheme="majorBidi"/>
          <w:lang w:val="en-US"/>
        </w:rPr>
        <w:t>, A. D. (Eds.). (2009). </w:t>
      </w:r>
      <w:proofErr w:type="gramStart"/>
      <w:r w:rsidRPr="00670BBF">
        <w:rPr>
          <w:rFonts w:asciiTheme="majorBidi" w:hAnsiTheme="majorBidi" w:cstheme="majorBidi"/>
          <w:i/>
          <w:iCs/>
          <w:lang w:val="en-US"/>
        </w:rPr>
        <w:t>Online</w:t>
      </w:r>
      <w:proofErr w:type="gramEnd"/>
      <w:r w:rsidRPr="00670BBF">
        <w:rPr>
          <w:rFonts w:asciiTheme="majorBidi" w:hAnsiTheme="majorBidi" w:cstheme="majorBidi"/>
          <w:i/>
          <w:iCs/>
          <w:lang w:val="en-US"/>
        </w:rPr>
        <w:t xml:space="preserve"> learning communities and teacher professional development: Methods for improved education delivery: Methods for improved education delivery</w:t>
      </w:r>
      <w:r w:rsidRPr="00670BBF">
        <w:rPr>
          <w:rFonts w:asciiTheme="majorBidi" w:hAnsiTheme="majorBidi" w:cstheme="majorBidi"/>
          <w:lang w:val="en-US"/>
        </w:rPr>
        <w:t xml:space="preserve">. </w:t>
      </w:r>
      <w:r w:rsidRPr="00C31AFF">
        <w:rPr>
          <w:rFonts w:asciiTheme="majorBidi" w:hAnsiTheme="majorBidi" w:cstheme="majorBidi"/>
        </w:rPr>
        <w:t>IGI Global.</w:t>
      </w:r>
      <w:bookmarkEnd w:id="376"/>
    </w:p>
    <w:p w14:paraId="457AC965" w14:textId="77777777" w:rsidR="00345650" w:rsidRPr="00C31AF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rPr>
      </w:pPr>
      <w:bookmarkStart w:id="377" w:name="_Toc200486180"/>
      <w:proofErr w:type="spellStart"/>
      <w:r w:rsidRPr="00670BBF">
        <w:rPr>
          <w:rFonts w:asciiTheme="majorBidi" w:hAnsiTheme="majorBidi" w:cstheme="majorBidi"/>
          <w:lang w:val="en-US"/>
        </w:rPr>
        <w:lastRenderedPageBreak/>
        <w:t>Cordingley</w:t>
      </w:r>
      <w:proofErr w:type="spellEnd"/>
      <w:r w:rsidRPr="00670BBF">
        <w:rPr>
          <w:rFonts w:asciiTheme="majorBidi" w:hAnsiTheme="majorBidi" w:cstheme="majorBidi"/>
          <w:lang w:val="en-US"/>
        </w:rPr>
        <w:t>, P. (2015). The contribution of research to teachers’ professional learning and development. </w:t>
      </w:r>
      <w:r w:rsidRPr="00C31AFF">
        <w:rPr>
          <w:rFonts w:asciiTheme="majorBidi" w:hAnsiTheme="majorBidi" w:cstheme="majorBidi"/>
          <w:i/>
          <w:iCs/>
        </w:rPr>
        <w:t xml:space="preserve">Oxford </w:t>
      </w:r>
      <w:proofErr w:type="spellStart"/>
      <w:r w:rsidRPr="00C31AFF">
        <w:rPr>
          <w:rFonts w:asciiTheme="majorBidi" w:hAnsiTheme="majorBidi" w:cstheme="majorBidi"/>
          <w:i/>
          <w:iCs/>
        </w:rPr>
        <w:t>review</w:t>
      </w:r>
      <w:proofErr w:type="spellEnd"/>
      <w:r w:rsidRPr="00C31AFF">
        <w:rPr>
          <w:rFonts w:asciiTheme="majorBidi" w:hAnsiTheme="majorBidi" w:cstheme="majorBidi"/>
          <w:i/>
          <w:iCs/>
        </w:rPr>
        <w:t xml:space="preserve"> of </w:t>
      </w:r>
      <w:proofErr w:type="spellStart"/>
      <w:r w:rsidRPr="00C31AFF">
        <w:rPr>
          <w:rFonts w:asciiTheme="majorBidi" w:hAnsiTheme="majorBidi" w:cstheme="majorBidi"/>
          <w:i/>
          <w:iCs/>
        </w:rPr>
        <w:t>education</w:t>
      </w:r>
      <w:proofErr w:type="spellEnd"/>
      <w:r w:rsidRPr="00C31AFF">
        <w:rPr>
          <w:rFonts w:asciiTheme="majorBidi" w:hAnsiTheme="majorBidi" w:cstheme="majorBidi"/>
        </w:rPr>
        <w:t>, </w:t>
      </w:r>
      <w:r w:rsidRPr="00C31AFF">
        <w:rPr>
          <w:rFonts w:asciiTheme="majorBidi" w:hAnsiTheme="majorBidi" w:cstheme="majorBidi"/>
          <w:i/>
          <w:iCs/>
        </w:rPr>
        <w:t>41</w:t>
      </w:r>
      <w:r w:rsidRPr="00C31AFF">
        <w:rPr>
          <w:rFonts w:asciiTheme="majorBidi" w:hAnsiTheme="majorBidi" w:cstheme="majorBidi"/>
        </w:rPr>
        <w:t>(2), 234-252.</w:t>
      </w:r>
      <w:bookmarkEnd w:id="377"/>
    </w:p>
    <w:p w14:paraId="128CF43C" w14:textId="77777777" w:rsidR="00345650" w:rsidRPr="00C31AF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rPr>
      </w:pPr>
      <w:bookmarkStart w:id="378" w:name="_Toc200486181"/>
      <w:r w:rsidRPr="00670BBF">
        <w:rPr>
          <w:rFonts w:asciiTheme="majorBidi" w:hAnsiTheme="majorBidi" w:cstheme="majorBidi"/>
          <w:lang w:val="en-US"/>
        </w:rPr>
        <w:t>Lave, J. (2019). </w:t>
      </w:r>
      <w:r w:rsidRPr="00670BBF">
        <w:rPr>
          <w:rFonts w:asciiTheme="majorBidi" w:hAnsiTheme="majorBidi" w:cstheme="majorBidi"/>
          <w:i/>
          <w:iCs/>
          <w:lang w:val="en-US"/>
        </w:rPr>
        <w:t>Learning and everyday life</w:t>
      </w:r>
      <w:r w:rsidRPr="00670BBF">
        <w:rPr>
          <w:rFonts w:asciiTheme="majorBidi" w:hAnsiTheme="majorBidi" w:cstheme="majorBidi"/>
          <w:lang w:val="en-US"/>
        </w:rPr>
        <w:t xml:space="preserve">. </w:t>
      </w:r>
      <w:r w:rsidRPr="00C31AFF">
        <w:rPr>
          <w:rFonts w:asciiTheme="majorBidi" w:hAnsiTheme="majorBidi" w:cstheme="majorBidi"/>
        </w:rPr>
        <w:t xml:space="preserve">Cambridge </w:t>
      </w:r>
      <w:proofErr w:type="spellStart"/>
      <w:r w:rsidRPr="00C31AFF">
        <w:rPr>
          <w:rFonts w:asciiTheme="majorBidi" w:hAnsiTheme="majorBidi" w:cstheme="majorBidi"/>
        </w:rPr>
        <w:t>University</w:t>
      </w:r>
      <w:proofErr w:type="spellEnd"/>
      <w:r w:rsidRPr="00C31AFF">
        <w:rPr>
          <w:rFonts w:asciiTheme="majorBidi" w:hAnsiTheme="majorBidi" w:cstheme="majorBidi"/>
        </w:rPr>
        <w:t xml:space="preserve"> </w:t>
      </w:r>
      <w:proofErr w:type="spellStart"/>
      <w:r w:rsidRPr="00C31AFF">
        <w:rPr>
          <w:rFonts w:asciiTheme="majorBidi" w:hAnsiTheme="majorBidi" w:cstheme="majorBidi"/>
        </w:rPr>
        <w:t>Press</w:t>
      </w:r>
      <w:proofErr w:type="spellEnd"/>
      <w:r w:rsidRPr="00C31AFF">
        <w:rPr>
          <w:rFonts w:asciiTheme="majorBidi" w:hAnsiTheme="majorBidi" w:cstheme="majorBidi"/>
        </w:rPr>
        <w:t>.</w:t>
      </w:r>
      <w:bookmarkEnd w:id="378"/>
    </w:p>
    <w:p w14:paraId="448256FF" w14:textId="77777777" w:rsidR="00345650" w:rsidRPr="00670BB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lang w:val="en-US"/>
        </w:rPr>
      </w:pPr>
      <w:bookmarkStart w:id="379" w:name="_Toc200486182"/>
      <w:r w:rsidRPr="00670BBF">
        <w:rPr>
          <w:rFonts w:asciiTheme="majorBidi" w:hAnsiTheme="majorBidi" w:cstheme="majorBidi"/>
          <w:lang w:val="en-US"/>
        </w:rPr>
        <w:t xml:space="preserve">Newman, D. O. (2010). An empirical validation of </w:t>
      </w:r>
      <w:proofErr w:type="spellStart"/>
      <w:r w:rsidRPr="00670BBF">
        <w:rPr>
          <w:rFonts w:asciiTheme="majorBidi" w:hAnsiTheme="majorBidi" w:cstheme="majorBidi"/>
          <w:lang w:val="en-US"/>
        </w:rPr>
        <w:t>Guskey's</w:t>
      </w:r>
      <w:proofErr w:type="spellEnd"/>
      <w:r w:rsidRPr="00670BBF">
        <w:rPr>
          <w:rFonts w:asciiTheme="majorBidi" w:hAnsiTheme="majorBidi" w:cstheme="majorBidi"/>
          <w:lang w:val="en-US"/>
        </w:rPr>
        <w:t xml:space="preserve"> Professional Development Evaluation Model using six years of student and teacher level reading data.</w:t>
      </w:r>
      <w:bookmarkEnd w:id="379"/>
    </w:p>
    <w:p w14:paraId="57504D20" w14:textId="77777777" w:rsidR="00345650" w:rsidRPr="00C31AF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rPr>
      </w:pPr>
      <w:bookmarkStart w:id="380" w:name="_Toc200486183"/>
      <w:r w:rsidRPr="00670BBF">
        <w:rPr>
          <w:rFonts w:asciiTheme="majorBidi" w:hAnsiTheme="majorBidi" w:cstheme="majorBidi"/>
          <w:lang w:val="en-US"/>
        </w:rPr>
        <w:t xml:space="preserve">Darling-Hammond, L., &amp; </w:t>
      </w:r>
      <w:proofErr w:type="spellStart"/>
      <w:r w:rsidRPr="00670BBF">
        <w:rPr>
          <w:rFonts w:asciiTheme="majorBidi" w:hAnsiTheme="majorBidi" w:cstheme="majorBidi"/>
          <w:lang w:val="en-US"/>
        </w:rPr>
        <w:t>Bransford</w:t>
      </w:r>
      <w:proofErr w:type="spellEnd"/>
      <w:r w:rsidRPr="00670BBF">
        <w:rPr>
          <w:rFonts w:asciiTheme="majorBidi" w:hAnsiTheme="majorBidi" w:cstheme="majorBidi"/>
          <w:lang w:val="en-US"/>
        </w:rPr>
        <w:t>, J. (Eds.). (2007). </w:t>
      </w:r>
      <w:proofErr w:type="gramStart"/>
      <w:r w:rsidRPr="00670BBF">
        <w:rPr>
          <w:rFonts w:asciiTheme="majorBidi" w:hAnsiTheme="majorBidi" w:cstheme="majorBidi"/>
          <w:i/>
          <w:iCs/>
          <w:lang w:val="en-US"/>
        </w:rPr>
        <w:t>Preparing</w:t>
      </w:r>
      <w:proofErr w:type="gramEnd"/>
      <w:r w:rsidRPr="00670BBF">
        <w:rPr>
          <w:rFonts w:asciiTheme="majorBidi" w:hAnsiTheme="majorBidi" w:cstheme="majorBidi"/>
          <w:i/>
          <w:iCs/>
          <w:lang w:val="en-US"/>
        </w:rPr>
        <w:t xml:space="preserve"> teachers for a changing world: What teachers should learn and be able to do</w:t>
      </w:r>
      <w:r w:rsidRPr="00670BBF">
        <w:rPr>
          <w:rFonts w:asciiTheme="majorBidi" w:hAnsiTheme="majorBidi" w:cstheme="majorBidi"/>
          <w:lang w:val="en-US"/>
        </w:rPr>
        <w:t xml:space="preserve">. </w:t>
      </w:r>
      <w:r w:rsidRPr="00C31AFF">
        <w:rPr>
          <w:rFonts w:asciiTheme="majorBidi" w:hAnsiTheme="majorBidi" w:cstheme="majorBidi"/>
        </w:rPr>
        <w:t xml:space="preserve">John </w:t>
      </w:r>
      <w:proofErr w:type="spellStart"/>
      <w:r w:rsidRPr="00C31AFF">
        <w:rPr>
          <w:rFonts w:asciiTheme="majorBidi" w:hAnsiTheme="majorBidi" w:cstheme="majorBidi"/>
        </w:rPr>
        <w:t>Wiley</w:t>
      </w:r>
      <w:proofErr w:type="spellEnd"/>
      <w:r w:rsidRPr="00C31AFF">
        <w:rPr>
          <w:rFonts w:asciiTheme="majorBidi" w:hAnsiTheme="majorBidi" w:cstheme="majorBidi"/>
        </w:rPr>
        <w:t xml:space="preserve"> &amp; Sons.</w:t>
      </w:r>
      <w:bookmarkEnd w:id="380"/>
    </w:p>
    <w:p w14:paraId="3EABB252" w14:textId="77777777" w:rsidR="00345650" w:rsidRPr="00670BB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lang w:val="en-US"/>
        </w:rPr>
      </w:pPr>
      <w:bookmarkStart w:id="381" w:name="_Toc200486184"/>
      <w:proofErr w:type="spellStart"/>
      <w:r w:rsidRPr="00670BBF">
        <w:rPr>
          <w:rFonts w:asciiTheme="majorBidi" w:hAnsiTheme="majorBidi" w:cstheme="majorBidi"/>
          <w:lang w:val="en-US"/>
        </w:rPr>
        <w:t>Borowski</w:t>
      </w:r>
      <w:proofErr w:type="spellEnd"/>
      <w:r w:rsidRPr="00670BBF">
        <w:rPr>
          <w:rFonts w:asciiTheme="majorBidi" w:hAnsiTheme="majorBidi" w:cstheme="majorBidi"/>
          <w:lang w:val="en-US"/>
        </w:rPr>
        <w:t>, C. (2003). </w:t>
      </w:r>
      <w:r w:rsidRPr="00670BBF">
        <w:rPr>
          <w:rFonts w:asciiTheme="majorBidi" w:hAnsiTheme="majorBidi" w:cstheme="majorBidi"/>
          <w:i/>
          <w:iCs/>
          <w:lang w:val="en-US"/>
        </w:rPr>
        <w:t>A holistic approach to teacher education</w:t>
      </w:r>
      <w:r w:rsidRPr="00670BBF">
        <w:rPr>
          <w:rFonts w:asciiTheme="majorBidi" w:hAnsiTheme="majorBidi" w:cstheme="majorBidi"/>
          <w:lang w:val="en-US"/>
        </w:rPr>
        <w:t>.</w:t>
      </w:r>
      <w:bookmarkEnd w:id="381"/>
    </w:p>
    <w:p w14:paraId="5BE4CAA1" w14:textId="77777777" w:rsidR="00345650" w:rsidRPr="00670BB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lang w:val="en-US"/>
        </w:rPr>
      </w:pPr>
      <w:bookmarkStart w:id="382" w:name="_Toc200486185"/>
      <w:r w:rsidRPr="00670BBF">
        <w:rPr>
          <w:rFonts w:asciiTheme="majorBidi" w:hAnsiTheme="majorBidi" w:cstheme="majorBidi"/>
          <w:lang w:val="en-US"/>
        </w:rPr>
        <w:t xml:space="preserve">Darling-Hammond, L., </w:t>
      </w:r>
      <w:proofErr w:type="spellStart"/>
      <w:r w:rsidRPr="00670BBF">
        <w:rPr>
          <w:rFonts w:asciiTheme="majorBidi" w:hAnsiTheme="majorBidi" w:cstheme="majorBidi"/>
          <w:lang w:val="en-US"/>
        </w:rPr>
        <w:t>Hyler</w:t>
      </w:r>
      <w:proofErr w:type="spellEnd"/>
      <w:r w:rsidRPr="00670BBF">
        <w:rPr>
          <w:rFonts w:asciiTheme="majorBidi" w:hAnsiTheme="majorBidi" w:cstheme="majorBidi"/>
          <w:lang w:val="en-US"/>
        </w:rPr>
        <w:t>, M. E., &amp; Gardner, M. (2017). Effective teacher professional development. </w:t>
      </w:r>
      <w:r w:rsidRPr="00670BBF">
        <w:rPr>
          <w:rFonts w:asciiTheme="majorBidi" w:hAnsiTheme="majorBidi" w:cstheme="majorBidi"/>
          <w:i/>
          <w:iCs/>
          <w:lang w:val="en-US"/>
        </w:rPr>
        <w:t>Learning policy institute</w:t>
      </w:r>
      <w:r w:rsidRPr="00670BBF">
        <w:rPr>
          <w:rFonts w:asciiTheme="majorBidi" w:hAnsiTheme="majorBidi" w:cstheme="majorBidi"/>
          <w:lang w:val="en-US"/>
        </w:rPr>
        <w:t>.</w:t>
      </w:r>
      <w:bookmarkEnd w:id="382"/>
    </w:p>
    <w:p w14:paraId="733E7055" w14:textId="77777777" w:rsidR="00345650" w:rsidRPr="00C31AF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rPr>
      </w:pPr>
      <w:bookmarkStart w:id="383" w:name="_Toc200486186"/>
      <w:r w:rsidRPr="00670BBF">
        <w:rPr>
          <w:rFonts w:asciiTheme="majorBidi" w:hAnsiTheme="majorBidi" w:cstheme="majorBidi"/>
          <w:lang w:val="en-US"/>
        </w:rPr>
        <w:t>Tam, A. C. F. (2015). The role of a professional learning community in teacher change: A perspective from beliefs and practices. </w:t>
      </w:r>
      <w:proofErr w:type="spellStart"/>
      <w:r w:rsidRPr="00C31AFF">
        <w:rPr>
          <w:rFonts w:asciiTheme="majorBidi" w:hAnsiTheme="majorBidi" w:cstheme="majorBidi"/>
          <w:i/>
          <w:iCs/>
        </w:rPr>
        <w:t>Teachers</w:t>
      </w:r>
      <w:proofErr w:type="spellEnd"/>
      <w:r w:rsidRPr="00C31AFF">
        <w:rPr>
          <w:rFonts w:asciiTheme="majorBidi" w:hAnsiTheme="majorBidi" w:cstheme="majorBidi"/>
          <w:i/>
          <w:iCs/>
        </w:rPr>
        <w:t xml:space="preserve"> and </w:t>
      </w:r>
      <w:proofErr w:type="spellStart"/>
      <w:r w:rsidRPr="00C31AFF">
        <w:rPr>
          <w:rFonts w:asciiTheme="majorBidi" w:hAnsiTheme="majorBidi" w:cstheme="majorBidi"/>
          <w:i/>
          <w:iCs/>
        </w:rPr>
        <w:t>Teaching</w:t>
      </w:r>
      <w:proofErr w:type="spellEnd"/>
      <w:r w:rsidRPr="00C31AFF">
        <w:rPr>
          <w:rFonts w:asciiTheme="majorBidi" w:hAnsiTheme="majorBidi" w:cstheme="majorBidi"/>
        </w:rPr>
        <w:t>, </w:t>
      </w:r>
      <w:r w:rsidRPr="00C31AFF">
        <w:rPr>
          <w:rFonts w:asciiTheme="majorBidi" w:hAnsiTheme="majorBidi" w:cstheme="majorBidi"/>
          <w:i/>
          <w:iCs/>
        </w:rPr>
        <w:t>21</w:t>
      </w:r>
      <w:r w:rsidRPr="00C31AFF">
        <w:rPr>
          <w:rFonts w:asciiTheme="majorBidi" w:hAnsiTheme="majorBidi" w:cstheme="majorBidi"/>
        </w:rPr>
        <w:t>(1), 22-43.</w:t>
      </w:r>
      <w:bookmarkEnd w:id="383"/>
    </w:p>
    <w:p w14:paraId="3D6851A8" w14:textId="77777777" w:rsidR="00345650" w:rsidRPr="00C31AF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rPr>
      </w:pPr>
      <w:bookmarkStart w:id="384" w:name="_Toc200486187"/>
      <w:r w:rsidRPr="00C31AFF">
        <w:rPr>
          <w:rFonts w:asciiTheme="majorBidi" w:hAnsiTheme="majorBidi" w:cstheme="majorBidi"/>
        </w:rPr>
        <w:t xml:space="preserve">Terry, L., </w:t>
      </w:r>
      <w:proofErr w:type="spellStart"/>
      <w:r w:rsidRPr="00C31AFF">
        <w:rPr>
          <w:rFonts w:asciiTheme="majorBidi" w:hAnsiTheme="majorBidi" w:cstheme="majorBidi"/>
        </w:rPr>
        <w:t>Zafonte</w:t>
      </w:r>
      <w:proofErr w:type="spellEnd"/>
      <w:r w:rsidRPr="00C31AFF">
        <w:rPr>
          <w:rFonts w:asciiTheme="majorBidi" w:hAnsiTheme="majorBidi" w:cstheme="majorBidi"/>
        </w:rPr>
        <w:t xml:space="preserve">, M., &amp; Elliott, S. (2018). </w:t>
      </w:r>
      <w:r w:rsidRPr="00670BBF">
        <w:rPr>
          <w:rFonts w:asciiTheme="majorBidi" w:hAnsiTheme="majorBidi" w:cstheme="majorBidi"/>
          <w:lang w:val="en-US"/>
        </w:rPr>
        <w:t>Interdisciplinary Professional Learning Communities: Support for Faculty Teaching Blended Learning. </w:t>
      </w:r>
      <w:r w:rsidRPr="00C31AFF">
        <w:rPr>
          <w:rFonts w:asciiTheme="majorBidi" w:hAnsiTheme="majorBidi" w:cstheme="majorBidi"/>
          <w:i/>
          <w:iCs/>
        </w:rPr>
        <w:t xml:space="preserve">International Journal of </w:t>
      </w:r>
      <w:proofErr w:type="spellStart"/>
      <w:r w:rsidRPr="00C31AFF">
        <w:rPr>
          <w:rFonts w:asciiTheme="majorBidi" w:hAnsiTheme="majorBidi" w:cstheme="majorBidi"/>
          <w:i/>
          <w:iCs/>
        </w:rPr>
        <w:t>Teaching</w:t>
      </w:r>
      <w:proofErr w:type="spellEnd"/>
      <w:r w:rsidRPr="00C31AFF">
        <w:rPr>
          <w:rFonts w:asciiTheme="majorBidi" w:hAnsiTheme="majorBidi" w:cstheme="majorBidi"/>
          <w:i/>
          <w:iCs/>
        </w:rPr>
        <w:t xml:space="preserve"> and Learning in </w:t>
      </w:r>
      <w:proofErr w:type="spellStart"/>
      <w:r w:rsidRPr="00C31AFF">
        <w:rPr>
          <w:rFonts w:asciiTheme="majorBidi" w:hAnsiTheme="majorBidi" w:cstheme="majorBidi"/>
          <w:i/>
          <w:iCs/>
        </w:rPr>
        <w:t>Higher</w:t>
      </w:r>
      <w:proofErr w:type="spellEnd"/>
      <w:r w:rsidRPr="00C31AFF">
        <w:rPr>
          <w:rFonts w:asciiTheme="majorBidi" w:hAnsiTheme="majorBidi" w:cstheme="majorBidi"/>
          <w:i/>
          <w:iCs/>
        </w:rPr>
        <w:t xml:space="preserve"> Education</w:t>
      </w:r>
      <w:r w:rsidRPr="00C31AFF">
        <w:rPr>
          <w:rFonts w:asciiTheme="majorBidi" w:hAnsiTheme="majorBidi" w:cstheme="majorBidi"/>
        </w:rPr>
        <w:t>, </w:t>
      </w:r>
      <w:r w:rsidRPr="00C31AFF">
        <w:rPr>
          <w:rFonts w:asciiTheme="majorBidi" w:hAnsiTheme="majorBidi" w:cstheme="majorBidi"/>
          <w:i/>
          <w:iCs/>
        </w:rPr>
        <w:t>30</w:t>
      </w:r>
      <w:r w:rsidRPr="00C31AFF">
        <w:rPr>
          <w:rFonts w:asciiTheme="majorBidi" w:hAnsiTheme="majorBidi" w:cstheme="majorBidi"/>
        </w:rPr>
        <w:t>(3), 402-411.</w:t>
      </w:r>
      <w:bookmarkEnd w:id="384"/>
    </w:p>
    <w:p w14:paraId="66117FB5" w14:textId="77777777" w:rsidR="00345650" w:rsidRPr="00C31AF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rPr>
      </w:pPr>
      <w:bookmarkStart w:id="385" w:name="_Toc200486188"/>
      <w:proofErr w:type="spellStart"/>
      <w:r w:rsidRPr="00670BBF">
        <w:rPr>
          <w:rFonts w:asciiTheme="majorBidi" w:hAnsiTheme="majorBidi" w:cstheme="majorBidi"/>
          <w:lang w:val="en-US"/>
        </w:rPr>
        <w:t>Basit</w:t>
      </w:r>
      <w:proofErr w:type="spellEnd"/>
      <w:r w:rsidRPr="00670BBF">
        <w:rPr>
          <w:rFonts w:asciiTheme="majorBidi" w:hAnsiTheme="majorBidi" w:cstheme="majorBidi"/>
          <w:lang w:val="en-US"/>
        </w:rPr>
        <w:t xml:space="preserve">, A., Khan, Z.A., </w:t>
      </w:r>
      <w:proofErr w:type="spellStart"/>
      <w:r w:rsidRPr="00670BBF">
        <w:rPr>
          <w:rFonts w:asciiTheme="majorBidi" w:hAnsiTheme="majorBidi" w:cstheme="majorBidi"/>
          <w:lang w:val="en-US"/>
        </w:rPr>
        <w:t>Rehman</w:t>
      </w:r>
      <w:proofErr w:type="spellEnd"/>
      <w:r w:rsidRPr="00670BBF">
        <w:rPr>
          <w:rFonts w:asciiTheme="majorBidi" w:hAnsiTheme="majorBidi" w:cstheme="majorBidi"/>
          <w:lang w:val="en-US"/>
        </w:rPr>
        <w:t>, I., &amp; Iqbal, A. (2024). Analyzing how Social Media Platforms, Driven by AI, can serve as Spaces for Teachers' Professional Development by Facilitating Networking, Knowledge Sharing, and Real-time Collaboration. </w:t>
      </w:r>
      <w:proofErr w:type="spellStart"/>
      <w:r w:rsidRPr="00C31AFF">
        <w:rPr>
          <w:rFonts w:asciiTheme="majorBidi" w:hAnsiTheme="majorBidi" w:cstheme="majorBidi"/>
          <w:i/>
          <w:iCs/>
        </w:rPr>
        <w:t>Review</w:t>
      </w:r>
      <w:proofErr w:type="spellEnd"/>
      <w:r w:rsidRPr="00C31AFF">
        <w:rPr>
          <w:rFonts w:asciiTheme="majorBidi" w:hAnsiTheme="majorBidi" w:cstheme="majorBidi"/>
          <w:i/>
          <w:iCs/>
        </w:rPr>
        <w:t xml:space="preserve"> of </w:t>
      </w:r>
      <w:proofErr w:type="spellStart"/>
      <w:r w:rsidRPr="00C31AFF">
        <w:rPr>
          <w:rFonts w:asciiTheme="majorBidi" w:hAnsiTheme="majorBidi" w:cstheme="majorBidi"/>
          <w:i/>
          <w:iCs/>
        </w:rPr>
        <w:t>Applied</w:t>
      </w:r>
      <w:proofErr w:type="spellEnd"/>
      <w:r w:rsidRPr="00C31AFF">
        <w:rPr>
          <w:rFonts w:asciiTheme="majorBidi" w:hAnsiTheme="majorBidi" w:cstheme="majorBidi"/>
          <w:i/>
          <w:iCs/>
        </w:rPr>
        <w:t xml:space="preserve"> Management and Social Sciences</w:t>
      </w:r>
      <w:r w:rsidRPr="00C31AFF">
        <w:rPr>
          <w:rFonts w:asciiTheme="majorBidi" w:hAnsiTheme="majorBidi" w:cstheme="majorBidi"/>
        </w:rPr>
        <w:t>.</w:t>
      </w:r>
      <w:bookmarkEnd w:id="385"/>
    </w:p>
    <w:p w14:paraId="485D2F40" w14:textId="77777777" w:rsidR="00345650" w:rsidRPr="00C31AF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rPr>
      </w:pPr>
      <w:bookmarkStart w:id="386" w:name="_Toc200486189"/>
      <w:proofErr w:type="gramStart"/>
      <w:r w:rsidRPr="00670BBF">
        <w:rPr>
          <w:rFonts w:asciiTheme="majorBidi" w:hAnsiTheme="majorBidi" w:cstheme="majorBidi"/>
          <w:lang w:val="en-US"/>
        </w:rPr>
        <w:t>de</w:t>
      </w:r>
      <w:proofErr w:type="gramEnd"/>
      <w:r w:rsidRPr="00670BBF">
        <w:rPr>
          <w:rFonts w:asciiTheme="majorBidi" w:hAnsiTheme="majorBidi" w:cstheme="majorBidi"/>
          <w:lang w:val="en-US"/>
        </w:rPr>
        <w:t xml:space="preserve"> </w:t>
      </w:r>
      <w:proofErr w:type="spellStart"/>
      <w:r w:rsidRPr="00670BBF">
        <w:rPr>
          <w:rFonts w:asciiTheme="majorBidi" w:hAnsiTheme="majorBidi" w:cstheme="majorBidi"/>
          <w:lang w:val="en-US"/>
        </w:rPr>
        <w:t>Roest</w:t>
      </w:r>
      <w:proofErr w:type="spellEnd"/>
      <w:r w:rsidRPr="00670BBF">
        <w:rPr>
          <w:rFonts w:asciiTheme="majorBidi" w:hAnsiTheme="majorBidi" w:cstheme="majorBidi"/>
          <w:lang w:val="en-US"/>
        </w:rPr>
        <w:t xml:space="preserve">, H. (2020). Continuing Education in Community: Lifelong Learning in Communities of Practice. In </w:t>
      </w:r>
      <w:r w:rsidRPr="00670BBF">
        <w:rPr>
          <w:rFonts w:asciiTheme="majorBidi" w:hAnsiTheme="majorBidi" w:cstheme="majorBidi"/>
          <w:i/>
          <w:iCs/>
          <w:lang w:val="en-US"/>
        </w:rPr>
        <w:t>Collaborative Practical Theology: Engaging Practitioners in Research on Christian Practices</w:t>
      </w:r>
      <w:r w:rsidRPr="00670BBF">
        <w:rPr>
          <w:rFonts w:asciiTheme="majorBidi" w:hAnsiTheme="majorBidi" w:cstheme="majorBidi"/>
          <w:lang w:val="en-US"/>
        </w:rPr>
        <w:t xml:space="preserve"> (pp. 74–89). </w:t>
      </w:r>
      <w:proofErr w:type="spellStart"/>
      <w:r w:rsidRPr="00C31AFF">
        <w:rPr>
          <w:rFonts w:asciiTheme="majorBidi" w:hAnsiTheme="majorBidi" w:cstheme="majorBidi"/>
        </w:rPr>
        <w:t>Brill</w:t>
      </w:r>
      <w:proofErr w:type="spellEnd"/>
      <w:r w:rsidRPr="00C31AFF">
        <w:rPr>
          <w:rFonts w:asciiTheme="majorBidi" w:hAnsiTheme="majorBidi" w:cstheme="majorBidi"/>
        </w:rPr>
        <w:t xml:space="preserve">. </w:t>
      </w:r>
      <w:hyperlink r:id="rId84" w:history="1">
        <w:r w:rsidRPr="00C31AFF">
          <w:rPr>
            <w:rStyle w:val="Lienhypertexte"/>
            <w:rFonts w:asciiTheme="majorBidi" w:hAnsiTheme="majorBidi" w:cstheme="majorBidi"/>
          </w:rPr>
          <w:t>http://www.jstor.org/stable/10.1163/j.ctv1sr6h8g.6</w:t>
        </w:r>
        <w:bookmarkEnd w:id="386"/>
      </w:hyperlink>
    </w:p>
    <w:p w14:paraId="39EA84B0" w14:textId="77777777" w:rsidR="00345650" w:rsidRPr="00C31AF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rPr>
      </w:pPr>
      <w:bookmarkStart w:id="387" w:name="_Toc200486190"/>
      <w:proofErr w:type="spellStart"/>
      <w:r w:rsidRPr="00670BBF">
        <w:rPr>
          <w:rFonts w:asciiTheme="majorBidi" w:hAnsiTheme="majorBidi" w:cstheme="majorBidi"/>
          <w:lang w:val="en-US"/>
        </w:rPr>
        <w:t>Huitt</w:t>
      </w:r>
      <w:proofErr w:type="spellEnd"/>
      <w:r w:rsidRPr="00670BBF">
        <w:rPr>
          <w:rFonts w:asciiTheme="majorBidi" w:hAnsiTheme="majorBidi" w:cstheme="majorBidi"/>
          <w:lang w:val="en-US"/>
        </w:rPr>
        <w:t xml:space="preserve">, W. G., &amp; </w:t>
      </w:r>
      <w:proofErr w:type="spellStart"/>
      <w:r w:rsidRPr="00670BBF">
        <w:rPr>
          <w:rFonts w:asciiTheme="majorBidi" w:hAnsiTheme="majorBidi" w:cstheme="majorBidi"/>
          <w:lang w:val="en-US"/>
        </w:rPr>
        <w:t>Monetti</w:t>
      </w:r>
      <w:proofErr w:type="spellEnd"/>
      <w:r w:rsidRPr="00670BBF">
        <w:rPr>
          <w:rFonts w:asciiTheme="majorBidi" w:hAnsiTheme="majorBidi" w:cstheme="majorBidi"/>
          <w:lang w:val="en-US"/>
        </w:rPr>
        <w:t xml:space="preserve">, D. M. (2017). Openness and the Transformation of Education and Schooling. In R. S. </w:t>
      </w:r>
      <w:proofErr w:type="spellStart"/>
      <w:r w:rsidRPr="00670BBF">
        <w:rPr>
          <w:rFonts w:asciiTheme="majorBidi" w:hAnsiTheme="majorBidi" w:cstheme="majorBidi"/>
          <w:lang w:val="en-US"/>
        </w:rPr>
        <w:t>Jhangiani</w:t>
      </w:r>
      <w:proofErr w:type="spellEnd"/>
      <w:r w:rsidRPr="00670BBF">
        <w:rPr>
          <w:rFonts w:asciiTheme="majorBidi" w:hAnsiTheme="majorBidi" w:cstheme="majorBidi"/>
          <w:lang w:val="en-US"/>
        </w:rPr>
        <w:t xml:space="preserve"> &amp; R. Biswas-</w:t>
      </w:r>
      <w:proofErr w:type="spellStart"/>
      <w:r w:rsidRPr="00670BBF">
        <w:rPr>
          <w:rFonts w:asciiTheme="majorBidi" w:hAnsiTheme="majorBidi" w:cstheme="majorBidi"/>
          <w:lang w:val="en-US"/>
        </w:rPr>
        <w:t>Diener</w:t>
      </w:r>
      <w:proofErr w:type="spellEnd"/>
      <w:r w:rsidRPr="00670BBF">
        <w:rPr>
          <w:rFonts w:asciiTheme="majorBidi" w:hAnsiTheme="majorBidi" w:cstheme="majorBidi"/>
          <w:lang w:val="en-US"/>
        </w:rPr>
        <w:t xml:space="preserve"> (Eds.), </w:t>
      </w:r>
      <w:r w:rsidRPr="00670BBF">
        <w:rPr>
          <w:rFonts w:asciiTheme="majorBidi" w:hAnsiTheme="majorBidi" w:cstheme="majorBidi"/>
          <w:i/>
          <w:iCs/>
          <w:lang w:val="en-US"/>
        </w:rPr>
        <w:t>Open: The Philosophy and Practices that are Revolutionizing Education and Science</w:t>
      </w:r>
      <w:r w:rsidRPr="00670BBF">
        <w:rPr>
          <w:rFonts w:asciiTheme="majorBidi" w:hAnsiTheme="majorBidi" w:cstheme="majorBidi"/>
          <w:lang w:val="en-US"/>
        </w:rPr>
        <w:t xml:space="preserve"> (pp. 43–66). </w:t>
      </w:r>
      <w:proofErr w:type="spellStart"/>
      <w:r w:rsidRPr="00C31AFF">
        <w:rPr>
          <w:rFonts w:asciiTheme="majorBidi" w:hAnsiTheme="majorBidi" w:cstheme="majorBidi"/>
        </w:rPr>
        <w:t>Ubiquity</w:t>
      </w:r>
      <w:proofErr w:type="spellEnd"/>
      <w:r w:rsidRPr="00C31AFF">
        <w:rPr>
          <w:rFonts w:asciiTheme="majorBidi" w:hAnsiTheme="majorBidi" w:cstheme="majorBidi"/>
        </w:rPr>
        <w:t xml:space="preserve"> </w:t>
      </w:r>
      <w:proofErr w:type="spellStart"/>
      <w:r w:rsidRPr="00C31AFF">
        <w:rPr>
          <w:rFonts w:asciiTheme="majorBidi" w:hAnsiTheme="majorBidi" w:cstheme="majorBidi"/>
        </w:rPr>
        <w:t>Press</w:t>
      </w:r>
      <w:proofErr w:type="spellEnd"/>
      <w:r w:rsidRPr="00C31AFF">
        <w:rPr>
          <w:rFonts w:asciiTheme="majorBidi" w:hAnsiTheme="majorBidi" w:cstheme="majorBidi"/>
        </w:rPr>
        <w:t xml:space="preserve">. </w:t>
      </w:r>
      <w:hyperlink r:id="rId85" w:history="1">
        <w:r w:rsidRPr="00C31AFF">
          <w:rPr>
            <w:rStyle w:val="Lienhypertexte"/>
            <w:rFonts w:asciiTheme="majorBidi" w:hAnsiTheme="majorBidi" w:cstheme="majorBidi"/>
          </w:rPr>
          <w:t>http://www.jstor.org/stable/j.ctv3t5qh3.8</w:t>
        </w:r>
        <w:bookmarkEnd w:id="387"/>
      </w:hyperlink>
    </w:p>
    <w:p w14:paraId="74F136FD" w14:textId="77777777" w:rsidR="00345650" w:rsidRPr="00C31AF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rPr>
      </w:pPr>
      <w:bookmarkStart w:id="388" w:name="_Toc200486191"/>
      <w:proofErr w:type="spellStart"/>
      <w:r w:rsidRPr="00C31AFF">
        <w:rPr>
          <w:rFonts w:asciiTheme="majorBidi" w:hAnsiTheme="majorBidi" w:cstheme="majorBidi"/>
        </w:rPr>
        <w:t>ettahar</w:t>
      </w:r>
      <w:proofErr w:type="spellEnd"/>
      <w:r w:rsidRPr="00C31AFF">
        <w:rPr>
          <w:rFonts w:asciiTheme="majorBidi" w:hAnsiTheme="majorBidi" w:cstheme="majorBidi"/>
        </w:rPr>
        <w:t xml:space="preserve">, K., &amp; </w:t>
      </w:r>
      <w:proofErr w:type="spellStart"/>
      <w:r w:rsidRPr="00C31AFF">
        <w:rPr>
          <w:rFonts w:asciiTheme="majorBidi" w:hAnsiTheme="majorBidi" w:cstheme="majorBidi"/>
        </w:rPr>
        <w:t>Zourgui</w:t>
      </w:r>
      <w:proofErr w:type="spellEnd"/>
      <w:r w:rsidRPr="00C31AFF">
        <w:rPr>
          <w:rFonts w:asciiTheme="majorBidi" w:hAnsiTheme="majorBidi" w:cstheme="majorBidi"/>
        </w:rPr>
        <w:t>, M. (2024). Facebook as an Online Self-</w:t>
      </w:r>
      <w:proofErr w:type="spellStart"/>
      <w:r w:rsidRPr="00C31AFF">
        <w:rPr>
          <w:rFonts w:asciiTheme="majorBidi" w:hAnsiTheme="majorBidi" w:cstheme="majorBidi"/>
        </w:rPr>
        <w:t>Directed</w:t>
      </w:r>
      <w:proofErr w:type="spellEnd"/>
      <w:r w:rsidRPr="00C31AFF">
        <w:rPr>
          <w:rFonts w:asciiTheme="majorBidi" w:hAnsiTheme="majorBidi" w:cstheme="majorBidi"/>
        </w:rPr>
        <w:t xml:space="preserve"> Professional Learning </w:t>
      </w:r>
      <w:proofErr w:type="gramStart"/>
      <w:r w:rsidRPr="00C31AFF">
        <w:rPr>
          <w:rFonts w:asciiTheme="majorBidi" w:hAnsiTheme="majorBidi" w:cstheme="majorBidi"/>
        </w:rPr>
        <w:t>Platform:</w:t>
      </w:r>
      <w:proofErr w:type="gramEnd"/>
      <w:r w:rsidRPr="00C31AFF">
        <w:rPr>
          <w:rFonts w:asciiTheme="majorBidi" w:hAnsiTheme="majorBidi" w:cstheme="majorBidi"/>
        </w:rPr>
        <w:t xml:space="preserve"> EFL Middle </w:t>
      </w:r>
      <w:proofErr w:type="spellStart"/>
      <w:r w:rsidRPr="00C31AFF">
        <w:rPr>
          <w:rFonts w:asciiTheme="majorBidi" w:hAnsiTheme="majorBidi" w:cstheme="majorBidi"/>
        </w:rPr>
        <w:t>Level</w:t>
      </w:r>
      <w:proofErr w:type="spellEnd"/>
      <w:r w:rsidRPr="00C31AFF">
        <w:rPr>
          <w:rFonts w:asciiTheme="majorBidi" w:hAnsiTheme="majorBidi" w:cstheme="majorBidi"/>
        </w:rPr>
        <w:t xml:space="preserve"> Education in </w:t>
      </w:r>
      <w:proofErr w:type="spellStart"/>
      <w:r w:rsidRPr="00C31AFF">
        <w:rPr>
          <w:rFonts w:asciiTheme="majorBidi" w:hAnsiTheme="majorBidi" w:cstheme="majorBidi"/>
        </w:rPr>
        <w:t>Algeria</w:t>
      </w:r>
      <w:proofErr w:type="spellEnd"/>
      <w:r w:rsidRPr="00C31AFF">
        <w:rPr>
          <w:rFonts w:asciiTheme="majorBidi" w:hAnsiTheme="majorBidi" w:cstheme="majorBidi"/>
        </w:rPr>
        <w:t xml:space="preserve">. </w:t>
      </w:r>
      <w:r w:rsidRPr="00C31AFF">
        <w:rPr>
          <w:rFonts w:asciiTheme="majorBidi" w:hAnsiTheme="majorBidi"/>
          <w:rtl/>
        </w:rPr>
        <w:t>جسور المعرفة, 10(</w:t>
      </w:r>
      <w:proofErr w:type="gramStart"/>
      <w:r w:rsidRPr="00C31AFF">
        <w:rPr>
          <w:rFonts w:asciiTheme="majorBidi" w:hAnsiTheme="majorBidi"/>
          <w:rtl/>
        </w:rPr>
        <w:t>2),</w:t>
      </w:r>
      <w:proofErr w:type="gramEnd"/>
      <w:r w:rsidRPr="00C31AFF">
        <w:rPr>
          <w:rFonts w:asciiTheme="majorBidi" w:hAnsiTheme="majorBidi"/>
          <w:rtl/>
        </w:rPr>
        <w:t xml:space="preserve"> 71-82</w:t>
      </w:r>
      <w:r w:rsidRPr="00C31AFF">
        <w:rPr>
          <w:rFonts w:asciiTheme="majorBidi" w:hAnsiTheme="majorBidi" w:cstheme="majorBidi"/>
        </w:rPr>
        <w:t xml:space="preserve">. </w:t>
      </w:r>
      <w:hyperlink r:id="rId86" w:history="1">
        <w:r w:rsidRPr="00C31AFF">
          <w:rPr>
            <w:rStyle w:val="Lienhypertexte"/>
            <w:rFonts w:asciiTheme="majorBidi" w:hAnsiTheme="majorBidi" w:cstheme="majorBidi"/>
          </w:rPr>
          <w:t>https://asjp.cerist.dz/en/article/245370</w:t>
        </w:r>
        <w:bookmarkEnd w:id="388"/>
      </w:hyperlink>
    </w:p>
    <w:p w14:paraId="3C4B49BF" w14:textId="3528BA83" w:rsidR="00345650" w:rsidRPr="003A7AA4" w:rsidRDefault="00345650" w:rsidP="003A7AA4">
      <w:pPr>
        <w:pStyle w:val="Paragraphedeliste"/>
        <w:numPr>
          <w:ilvl w:val="0"/>
          <w:numId w:val="13"/>
        </w:numPr>
        <w:spacing w:before="100" w:beforeAutospacing="1" w:after="100" w:afterAutospacing="1"/>
        <w:ind w:hanging="720"/>
        <w:contextualSpacing w:val="0"/>
        <w:rPr>
          <w:rFonts w:asciiTheme="majorBidi" w:hAnsiTheme="majorBidi" w:cstheme="majorBidi"/>
        </w:rPr>
      </w:pPr>
      <w:bookmarkStart w:id="389" w:name="_Toc200486192"/>
      <w:proofErr w:type="spellStart"/>
      <w:r w:rsidRPr="00670BBF">
        <w:rPr>
          <w:rFonts w:asciiTheme="majorBidi" w:hAnsiTheme="majorBidi" w:cstheme="majorBidi"/>
          <w:lang w:val="en-US"/>
        </w:rPr>
        <w:t>Rupere</w:t>
      </w:r>
      <w:proofErr w:type="spellEnd"/>
      <w:r w:rsidRPr="00670BBF">
        <w:rPr>
          <w:rFonts w:asciiTheme="majorBidi" w:hAnsiTheme="majorBidi" w:cstheme="majorBidi"/>
          <w:lang w:val="en-US"/>
        </w:rPr>
        <w:t xml:space="preserve">, T. (2012). Collaborative Learning in an ICT Text Based Synchronous and Asynchronous Learning Communities. </w:t>
      </w:r>
      <w:proofErr w:type="spellStart"/>
      <w:r w:rsidRPr="00C31AFF">
        <w:rPr>
          <w:rFonts w:asciiTheme="majorBidi" w:hAnsiTheme="majorBidi" w:cstheme="majorBidi"/>
        </w:rPr>
        <w:t>What</w:t>
      </w:r>
      <w:proofErr w:type="spellEnd"/>
      <w:r w:rsidRPr="00C31AFF">
        <w:rPr>
          <w:rFonts w:asciiTheme="majorBidi" w:hAnsiTheme="majorBidi" w:cstheme="majorBidi"/>
        </w:rPr>
        <w:t xml:space="preserve"> Impact </w:t>
      </w:r>
      <w:proofErr w:type="spellStart"/>
      <w:r w:rsidRPr="00C31AFF">
        <w:rPr>
          <w:rFonts w:asciiTheme="majorBidi" w:hAnsiTheme="majorBidi" w:cstheme="majorBidi"/>
        </w:rPr>
        <w:t>Does</w:t>
      </w:r>
      <w:proofErr w:type="spellEnd"/>
      <w:r w:rsidRPr="00C31AFF">
        <w:rPr>
          <w:rFonts w:asciiTheme="majorBidi" w:hAnsiTheme="majorBidi" w:cstheme="majorBidi"/>
        </w:rPr>
        <w:t xml:space="preserve"> </w:t>
      </w:r>
      <w:proofErr w:type="spellStart"/>
      <w:r w:rsidRPr="00C31AFF">
        <w:rPr>
          <w:rFonts w:asciiTheme="majorBidi" w:hAnsiTheme="majorBidi" w:cstheme="majorBidi"/>
        </w:rPr>
        <w:t>it</w:t>
      </w:r>
      <w:proofErr w:type="spellEnd"/>
      <w:r w:rsidRPr="00C31AFF">
        <w:rPr>
          <w:rFonts w:asciiTheme="majorBidi" w:hAnsiTheme="majorBidi" w:cstheme="majorBidi"/>
        </w:rPr>
        <w:t xml:space="preserve"> Have on Learning </w:t>
      </w:r>
      <w:proofErr w:type="spellStart"/>
      <w:proofErr w:type="gramStart"/>
      <w:r w:rsidRPr="00C31AFF">
        <w:rPr>
          <w:rFonts w:asciiTheme="majorBidi" w:hAnsiTheme="majorBidi" w:cstheme="majorBidi"/>
        </w:rPr>
        <w:t>Outcomes</w:t>
      </w:r>
      <w:proofErr w:type="spellEnd"/>
      <w:r w:rsidRPr="00C31AFF">
        <w:rPr>
          <w:rFonts w:asciiTheme="majorBidi" w:hAnsiTheme="majorBidi" w:cstheme="majorBidi"/>
        </w:rPr>
        <w:t>?</w:t>
      </w:r>
      <w:bookmarkEnd w:id="389"/>
      <w:proofErr w:type="gramEnd"/>
    </w:p>
    <w:p w14:paraId="2F59014D" w14:textId="77777777" w:rsidR="00345650" w:rsidRPr="00670BB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lang w:val="en-US"/>
        </w:rPr>
      </w:pPr>
      <w:bookmarkStart w:id="390" w:name="_Toc200486193"/>
      <w:r w:rsidRPr="00670BBF">
        <w:rPr>
          <w:rFonts w:asciiTheme="majorBidi" w:hAnsiTheme="majorBidi" w:cstheme="majorBidi"/>
          <w:lang w:val="en-US"/>
        </w:rPr>
        <w:t xml:space="preserve">Hayashi, T., Nakanishi, Y., &amp; </w:t>
      </w:r>
      <w:proofErr w:type="spellStart"/>
      <w:r w:rsidRPr="00670BBF">
        <w:rPr>
          <w:rFonts w:asciiTheme="majorBidi" w:hAnsiTheme="majorBidi" w:cstheme="majorBidi"/>
          <w:lang w:val="en-US"/>
        </w:rPr>
        <w:t>Hayashida</w:t>
      </w:r>
      <w:proofErr w:type="spellEnd"/>
      <w:r w:rsidRPr="00670BBF">
        <w:rPr>
          <w:rFonts w:asciiTheme="majorBidi" w:hAnsiTheme="majorBidi" w:cstheme="majorBidi"/>
          <w:lang w:val="en-US"/>
        </w:rPr>
        <w:t>, Y. (1998). Group Learning Environment Linking Synchronous and Asynchronous Learning.</w:t>
      </w:r>
      <w:bookmarkEnd w:id="390"/>
    </w:p>
    <w:p w14:paraId="0493A372" w14:textId="77777777" w:rsidR="00345650" w:rsidRPr="00C31AF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rPr>
      </w:pPr>
      <w:bookmarkStart w:id="391" w:name="_Toc200486194"/>
      <w:r w:rsidRPr="00670BBF">
        <w:rPr>
          <w:rFonts w:asciiTheme="majorBidi" w:hAnsiTheme="majorBidi" w:cstheme="majorBidi"/>
          <w:lang w:val="en-US"/>
        </w:rPr>
        <w:t>Zeng, H., &amp; Luo, J. (2024). Effectiveness of synchronous and asynchronous online learning: a meta-analysis. </w:t>
      </w:r>
      <w:r w:rsidRPr="00C31AFF">
        <w:rPr>
          <w:rFonts w:asciiTheme="majorBidi" w:hAnsiTheme="majorBidi" w:cstheme="majorBidi"/>
          <w:i/>
          <w:iCs/>
        </w:rPr>
        <w:t xml:space="preserve">Interactive Learning </w:t>
      </w:r>
      <w:proofErr w:type="spellStart"/>
      <w:r w:rsidRPr="00C31AFF">
        <w:rPr>
          <w:rFonts w:asciiTheme="majorBidi" w:hAnsiTheme="majorBidi" w:cstheme="majorBidi"/>
          <w:i/>
          <w:iCs/>
        </w:rPr>
        <w:t>Environments</w:t>
      </w:r>
      <w:proofErr w:type="spellEnd"/>
      <w:r w:rsidRPr="00C31AFF">
        <w:rPr>
          <w:rFonts w:asciiTheme="majorBidi" w:hAnsiTheme="majorBidi" w:cstheme="majorBidi"/>
        </w:rPr>
        <w:t>, </w:t>
      </w:r>
      <w:r w:rsidRPr="00C31AFF">
        <w:rPr>
          <w:rFonts w:asciiTheme="majorBidi" w:hAnsiTheme="majorBidi" w:cstheme="majorBidi"/>
          <w:i/>
          <w:iCs/>
        </w:rPr>
        <w:t>32</w:t>
      </w:r>
      <w:r w:rsidRPr="00C31AFF">
        <w:rPr>
          <w:rFonts w:asciiTheme="majorBidi" w:hAnsiTheme="majorBidi" w:cstheme="majorBidi"/>
        </w:rPr>
        <w:t>(8), 4297-4313.</w:t>
      </w:r>
      <w:bookmarkEnd w:id="391"/>
    </w:p>
    <w:p w14:paraId="2EF1EFEE" w14:textId="77777777" w:rsidR="00345650" w:rsidRPr="00C31AF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rPr>
      </w:pPr>
      <w:bookmarkStart w:id="392" w:name="_Hlk196723953"/>
      <w:bookmarkStart w:id="393" w:name="_Toc200486195"/>
      <w:proofErr w:type="spellStart"/>
      <w:r w:rsidRPr="00670BBF">
        <w:rPr>
          <w:rFonts w:asciiTheme="majorBidi" w:hAnsiTheme="majorBidi" w:cstheme="majorBidi"/>
          <w:lang w:val="en-US"/>
        </w:rPr>
        <w:t>Marchisio</w:t>
      </w:r>
      <w:proofErr w:type="spellEnd"/>
      <w:r w:rsidRPr="00670BBF">
        <w:rPr>
          <w:rFonts w:asciiTheme="majorBidi" w:hAnsiTheme="majorBidi" w:cstheme="majorBidi"/>
          <w:lang w:val="en-US"/>
        </w:rPr>
        <w:t xml:space="preserve">, M., </w:t>
      </w:r>
      <w:proofErr w:type="spellStart"/>
      <w:r w:rsidRPr="00670BBF">
        <w:rPr>
          <w:rFonts w:asciiTheme="majorBidi" w:hAnsiTheme="majorBidi" w:cstheme="majorBidi"/>
          <w:lang w:val="en-US"/>
        </w:rPr>
        <w:t>Barana</w:t>
      </w:r>
      <w:proofErr w:type="spellEnd"/>
      <w:r w:rsidRPr="00670BBF">
        <w:rPr>
          <w:rFonts w:asciiTheme="majorBidi" w:hAnsiTheme="majorBidi" w:cstheme="majorBidi"/>
          <w:lang w:val="en-US"/>
        </w:rPr>
        <w:t xml:space="preserve">, A., </w:t>
      </w:r>
      <w:proofErr w:type="spellStart"/>
      <w:r w:rsidRPr="00670BBF">
        <w:rPr>
          <w:rFonts w:asciiTheme="majorBidi" w:hAnsiTheme="majorBidi" w:cstheme="majorBidi"/>
          <w:lang w:val="en-US"/>
        </w:rPr>
        <w:t>Fioravera</w:t>
      </w:r>
      <w:proofErr w:type="spellEnd"/>
      <w:r w:rsidRPr="00670BBF">
        <w:rPr>
          <w:rFonts w:asciiTheme="majorBidi" w:hAnsiTheme="majorBidi" w:cstheme="majorBidi"/>
          <w:lang w:val="en-US"/>
        </w:rPr>
        <w:t xml:space="preserve">, M., </w:t>
      </w:r>
      <w:proofErr w:type="spellStart"/>
      <w:r w:rsidRPr="00670BBF">
        <w:rPr>
          <w:rFonts w:asciiTheme="majorBidi" w:hAnsiTheme="majorBidi" w:cstheme="majorBidi"/>
          <w:lang w:val="en-US"/>
        </w:rPr>
        <w:t>Fissore</w:t>
      </w:r>
      <w:proofErr w:type="spellEnd"/>
      <w:r w:rsidRPr="00670BBF">
        <w:rPr>
          <w:rFonts w:asciiTheme="majorBidi" w:hAnsiTheme="majorBidi" w:cstheme="majorBidi"/>
          <w:lang w:val="en-US"/>
        </w:rPr>
        <w:t>, C., Brancaccio, A., Esposito, M</w:t>
      </w:r>
      <w:proofErr w:type="gramStart"/>
      <w:r w:rsidRPr="00670BBF">
        <w:rPr>
          <w:rFonts w:asciiTheme="majorBidi" w:hAnsiTheme="majorBidi" w:cstheme="majorBidi"/>
          <w:lang w:val="en-US"/>
        </w:rPr>
        <w:t>., ...</w:t>
      </w:r>
      <w:proofErr w:type="gramEnd"/>
      <w:r w:rsidRPr="00670BBF">
        <w:rPr>
          <w:rFonts w:asciiTheme="majorBidi" w:hAnsiTheme="majorBidi" w:cstheme="majorBidi"/>
          <w:lang w:val="en-US"/>
        </w:rPr>
        <w:t xml:space="preserve"> &amp; </w:t>
      </w:r>
      <w:proofErr w:type="spellStart"/>
      <w:r w:rsidRPr="00670BBF">
        <w:rPr>
          <w:rFonts w:asciiTheme="majorBidi" w:hAnsiTheme="majorBidi" w:cstheme="majorBidi"/>
          <w:lang w:val="en-US"/>
        </w:rPr>
        <w:t>Rabellino</w:t>
      </w:r>
      <w:proofErr w:type="spellEnd"/>
      <w:r w:rsidRPr="00670BBF">
        <w:rPr>
          <w:rFonts w:asciiTheme="majorBidi" w:hAnsiTheme="majorBidi" w:cstheme="majorBidi"/>
          <w:lang w:val="en-US"/>
        </w:rPr>
        <w:t>, S. (2018). Online asynchronous collaboration for enhancing teacher professional knowledges and competencies. In </w:t>
      </w:r>
      <w:r w:rsidRPr="00670BBF">
        <w:rPr>
          <w:rFonts w:asciiTheme="majorBidi" w:hAnsiTheme="majorBidi" w:cstheme="majorBidi"/>
          <w:i/>
          <w:iCs/>
          <w:lang w:val="en-US"/>
        </w:rPr>
        <w:t>Proceedings of the 14th International Scientific Conference eLearning and Software for Education</w:t>
      </w:r>
      <w:r w:rsidRPr="00670BBF">
        <w:rPr>
          <w:rFonts w:asciiTheme="majorBidi" w:hAnsiTheme="majorBidi" w:cstheme="majorBidi"/>
          <w:lang w:val="en-US"/>
        </w:rPr>
        <w:t xml:space="preserve"> (Vol. 1, pp. 167-175). </w:t>
      </w:r>
      <w:r w:rsidRPr="00C31AFF">
        <w:rPr>
          <w:rFonts w:asciiTheme="majorBidi" w:hAnsiTheme="majorBidi" w:cstheme="majorBidi"/>
        </w:rPr>
        <w:t xml:space="preserve">Advanced </w:t>
      </w:r>
      <w:proofErr w:type="spellStart"/>
      <w:r w:rsidRPr="00C31AFF">
        <w:rPr>
          <w:rFonts w:asciiTheme="majorBidi" w:hAnsiTheme="majorBidi" w:cstheme="majorBidi"/>
        </w:rPr>
        <w:t>Distributed</w:t>
      </w:r>
      <w:proofErr w:type="spellEnd"/>
      <w:r w:rsidRPr="00C31AFF">
        <w:rPr>
          <w:rFonts w:asciiTheme="majorBidi" w:hAnsiTheme="majorBidi" w:cstheme="majorBidi"/>
        </w:rPr>
        <w:t xml:space="preserve"> Learning Association.</w:t>
      </w:r>
      <w:bookmarkEnd w:id="392"/>
      <w:bookmarkEnd w:id="393"/>
    </w:p>
    <w:p w14:paraId="128E5B0D" w14:textId="77777777" w:rsidR="00345650" w:rsidRPr="00C31AF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rPr>
      </w:pPr>
      <w:bookmarkStart w:id="394" w:name="_Toc200486196"/>
      <w:r w:rsidRPr="00670BBF">
        <w:rPr>
          <w:rFonts w:asciiTheme="majorBidi" w:hAnsiTheme="majorBidi" w:cstheme="majorBidi"/>
          <w:lang w:val="en-US"/>
        </w:rPr>
        <w:t>Chen, Y., Chen, N. S., &amp; Tsai, C. C. (2009). The use of online synchronous discussion for web-based professional development for teachers. </w:t>
      </w:r>
      <w:r w:rsidRPr="00C31AFF">
        <w:rPr>
          <w:rFonts w:asciiTheme="majorBidi" w:hAnsiTheme="majorBidi" w:cstheme="majorBidi"/>
          <w:i/>
          <w:iCs/>
        </w:rPr>
        <w:t>Computers &amp; Education</w:t>
      </w:r>
      <w:r w:rsidRPr="00C31AFF">
        <w:rPr>
          <w:rFonts w:asciiTheme="majorBidi" w:hAnsiTheme="majorBidi" w:cstheme="majorBidi"/>
        </w:rPr>
        <w:t>, </w:t>
      </w:r>
      <w:r w:rsidRPr="00C31AFF">
        <w:rPr>
          <w:rFonts w:asciiTheme="majorBidi" w:hAnsiTheme="majorBidi" w:cstheme="majorBidi"/>
          <w:i/>
          <w:iCs/>
        </w:rPr>
        <w:t>53</w:t>
      </w:r>
      <w:r w:rsidRPr="00C31AFF">
        <w:rPr>
          <w:rFonts w:asciiTheme="majorBidi" w:hAnsiTheme="majorBidi" w:cstheme="majorBidi"/>
        </w:rPr>
        <w:t>(4), 1155-1166.</w:t>
      </w:r>
      <w:bookmarkEnd w:id="394"/>
    </w:p>
    <w:p w14:paraId="7A47B02D" w14:textId="77777777" w:rsidR="00345650" w:rsidRPr="00C31AF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rPr>
      </w:pPr>
      <w:bookmarkStart w:id="395" w:name="_Toc200486197"/>
      <w:r w:rsidRPr="00670BBF">
        <w:rPr>
          <w:rFonts w:asciiTheme="majorBidi" w:hAnsiTheme="majorBidi" w:cstheme="majorBidi"/>
          <w:lang w:val="en-US"/>
        </w:rPr>
        <w:t xml:space="preserve">McConnell, D. (2002). The experience of collaborative assessment in </w:t>
      </w:r>
      <w:proofErr w:type="gramStart"/>
      <w:r w:rsidRPr="00670BBF">
        <w:rPr>
          <w:rFonts w:asciiTheme="majorBidi" w:hAnsiTheme="majorBidi" w:cstheme="majorBidi"/>
          <w:lang w:val="en-US"/>
        </w:rPr>
        <w:t>e-learning</w:t>
      </w:r>
      <w:proofErr w:type="gramEnd"/>
      <w:r w:rsidRPr="00670BBF">
        <w:rPr>
          <w:rFonts w:asciiTheme="majorBidi" w:hAnsiTheme="majorBidi" w:cstheme="majorBidi"/>
          <w:lang w:val="en-US"/>
        </w:rPr>
        <w:t>. </w:t>
      </w:r>
      <w:proofErr w:type="spellStart"/>
      <w:r w:rsidRPr="00C31AFF">
        <w:rPr>
          <w:rFonts w:asciiTheme="majorBidi" w:hAnsiTheme="majorBidi" w:cstheme="majorBidi"/>
          <w:i/>
          <w:iCs/>
        </w:rPr>
        <w:t>Studies</w:t>
      </w:r>
      <w:proofErr w:type="spellEnd"/>
      <w:r w:rsidRPr="00C31AFF">
        <w:rPr>
          <w:rFonts w:asciiTheme="majorBidi" w:hAnsiTheme="majorBidi" w:cstheme="majorBidi"/>
          <w:i/>
          <w:iCs/>
        </w:rPr>
        <w:t xml:space="preserve"> in </w:t>
      </w:r>
      <w:proofErr w:type="spellStart"/>
      <w:r w:rsidRPr="00C31AFF">
        <w:rPr>
          <w:rFonts w:asciiTheme="majorBidi" w:hAnsiTheme="majorBidi" w:cstheme="majorBidi"/>
          <w:i/>
          <w:iCs/>
        </w:rPr>
        <w:t>continuing</w:t>
      </w:r>
      <w:proofErr w:type="spellEnd"/>
      <w:r w:rsidRPr="00C31AFF">
        <w:rPr>
          <w:rFonts w:asciiTheme="majorBidi" w:hAnsiTheme="majorBidi" w:cstheme="majorBidi"/>
          <w:i/>
          <w:iCs/>
        </w:rPr>
        <w:t xml:space="preserve"> </w:t>
      </w:r>
      <w:proofErr w:type="spellStart"/>
      <w:r w:rsidRPr="00C31AFF">
        <w:rPr>
          <w:rFonts w:asciiTheme="majorBidi" w:hAnsiTheme="majorBidi" w:cstheme="majorBidi"/>
          <w:i/>
          <w:iCs/>
        </w:rPr>
        <w:t>education</w:t>
      </w:r>
      <w:proofErr w:type="spellEnd"/>
      <w:r w:rsidRPr="00C31AFF">
        <w:rPr>
          <w:rFonts w:asciiTheme="majorBidi" w:hAnsiTheme="majorBidi" w:cstheme="majorBidi"/>
        </w:rPr>
        <w:t>, </w:t>
      </w:r>
      <w:r w:rsidRPr="00C31AFF">
        <w:rPr>
          <w:rFonts w:asciiTheme="majorBidi" w:hAnsiTheme="majorBidi" w:cstheme="majorBidi"/>
          <w:i/>
          <w:iCs/>
        </w:rPr>
        <w:t>24</w:t>
      </w:r>
      <w:r w:rsidRPr="00C31AFF">
        <w:rPr>
          <w:rFonts w:asciiTheme="majorBidi" w:hAnsiTheme="majorBidi" w:cstheme="majorBidi"/>
        </w:rPr>
        <w:t>(1), 73-92.</w:t>
      </w:r>
      <w:bookmarkEnd w:id="395"/>
    </w:p>
    <w:p w14:paraId="2B3E9FDE" w14:textId="77777777" w:rsidR="00345650" w:rsidRPr="00C31AF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rPr>
      </w:pPr>
      <w:bookmarkStart w:id="396" w:name="_Toc200486198"/>
      <w:r w:rsidRPr="00670BBF">
        <w:rPr>
          <w:rFonts w:asciiTheme="majorBidi" w:hAnsiTheme="majorBidi" w:cstheme="majorBidi"/>
          <w:lang w:val="en-US"/>
        </w:rPr>
        <w:t>McConnell, D. (2006). </w:t>
      </w:r>
      <w:r w:rsidRPr="00670BBF">
        <w:rPr>
          <w:rFonts w:asciiTheme="majorBidi" w:hAnsiTheme="majorBidi" w:cstheme="majorBidi"/>
          <w:i/>
          <w:iCs/>
          <w:lang w:val="en-US"/>
        </w:rPr>
        <w:t>EBOOK: E-learning groups and communities</w:t>
      </w:r>
      <w:r w:rsidRPr="00670BBF">
        <w:rPr>
          <w:rFonts w:asciiTheme="majorBidi" w:hAnsiTheme="majorBidi" w:cstheme="majorBidi"/>
          <w:lang w:val="en-US"/>
        </w:rPr>
        <w:t xml:space="preserve">. </w:t>
      </w:r>
      <w:proofErr w:type="spellStart"/>
      <w:r w:rsidRPr="00C31AFF">
        <w:rPr>
          <w:rFonts w:asciiTheme="majorBidi" w:hAnsiTheme="majorBidi" w:cstheme="majorBidi"/>
        </w:rPr>
        <w:t>McGraw</w:t>
      </w:r>
      <w:proofErr w:type="spellEnd"/>
      <w:r w:rsidRPr="00C31AFF">
        <w:rPr>
          <w:rFonts w:asciiTheme="majorBidi" w:hAnsiTheme="majorBidi" w:cstheme="majorBidi"/>
        </w:rPr>
        <w:t>-Hill Education (UK).</w:t>
      </w:r>
      <w:bookmarkEnd w:id="396"/>
    </w:p>
    <w:p w14:paraId="1C87C252" w14:textId="77777777" w:rsidR="00345650" w:rsidRPr="00C31AF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rPr>
      </w:pPr>
      <w:bookmarkStart w:id="397" w:name="_Toc200486199"/>
      <w:proofErr w:type="spellStart"/>
      <w:r w:rsidRPr="00670BBF">
        <w:rPr>
          <w:rFonts w:asciiTheme="majorBidi" w:hAnsiTheme="majorBidi" w:cstheme="majorBidi"/>
          <w:lang w:val="en-US"/>
        </w:rPr>
        <w:lastRenderedPageBreak/>
        <w:t>Schmoker</w:t>
      </w:r>
      <w:proofErr w:type="spellEnd"/>
      <w:r w:rsidRPr="00670BBF">
        <w:rPr>
          <w:rFonts w:asciiTheme="majorBidi" w:hAnsiTheme="majorBidi" w:cstheme="majorBidi"/>
          <w:lang w:val="en-US"/>
        </w:rPr>
        <w:t xml:space="preserve">, M. J., &amp; </w:t>
      </w:r>
      <w:proofErr w:type="spellStart"/>
      <w:r w:rsidRPr="00670BBF">
        <w:rPr>
          <w:rFonts w:asciiTheme="majorBidi" w:hAnsiTheme="majorBidi" w:cstheme="majorBidi"/>
          <w:lang w:val="en-US"/>
        </w:rPr>
        <w:t>Schmoker</w:t>
      </w:r>
      <w:proofErr w:type="spellEnd"/>
      <w:r w:rsidRPr="00670BBF">
        <w:rPr>
          <w:rFonts w:asciiTheme="majorBidi" w:hAnsiTheme="majorBidi" w:cstheme="majorBidi"/>
          <w:lang w:val="en-US"/>
        </w:rPr>
        <w:t>, M. (1999). </w:t>
      </w:r>
      <w:r w:rsidRPr="00670BBF">
        <w:rPr>
          <w:rFonts w:asciiTheme="majorBidi" w:hAnsiTheme="majorBidi" w:cstheme="majorBidi"/>
          <w:i/>
          <w:iCs/>
          <w:lang w:val="en-US"/>
        </w:rPr>
        <w:t>Results: The key to continuous school improvement</w:t>
      </w:r>
      <w:r w:rsidRPr="00670BBF">
        <w:rPr>
          <w:rFonts w:asciiTheme="majorBidi" w:hAnsiTheme="majorBidi" w:cstheme="majorBidi"/>
          <w:lang w:val="en-US"/>
        </w:rPr>
        <w:t xml:space="preserve">. </w:t>
      </w:r>
      <w:r w:rsidRPr="00C31AFF">
        <w:rPr>
          <w:rFonts w:asciiTheme="majorBidi" w:hAnsiTheme="majorBidi" w:cstheme="majorBidi"/>
        </w:rPr>
        <w:t>ASCD.</w:t>
      </w:r>
      <w:bookmarkEnd w:id="397"/>
    </w:p>
    <w:p w14:paraId="1F367FE2" w14:textId="77777777" w:rsidR="00345650" w:rsidRPr="00C31AF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rPr>
      </w:pPr>
      <w:bookmarkStart w:id="398" w:name="_Hlk197035056"/>
      <w:bookmarkStart w:id="399" w:name="_Toc200486200"/>
      <w:r w:rsidRPr="00670BBF">
        <w:rPr>
          <w:rFonts w:asciiTheme="majorBidi" w:hAnsiTheme="majorBidi" w:cstheme="majorBidi"/>
          <w:lang w:val="en-US"/>
        </w:rPr>
        <w:t>Drago-Severson, E. (2004)</w:t>
      </w:r>
      <w:bookmarkEnd w:id="398"/>
      <w:r w:rsidRPr="00670BBF">
        <w:rPr>
          <w:rFonts w:asciiTheme="majorBidi" w:hAnsiTheme="majorBidi" w:cstheme="majorBidi"/>
          <w:lang w:val="en-US"/>
        </w:rPr>
        <w:t>. </w:t>
      </w:r>
      <w:r w:rsidRPr="00670BBF">
        <w:rPr>
          <w:rFonts w:asciiTheme="majorBidi" w:hAnsiTheme="majorBidi" w:cstheme="majorBidi"/>
          <w:i/>
          <w:iCs/>
          <w:lang w:val="en-US"/>
        </w:rPr>
        <w:t>Becoming adult learners: Principles and practices for effective development</w:t>
      </w:r>
      <w:r w:rsidRPr="00670BBF">
        <w:rPr>
          <w:rFonts w:asciiTheme="majorBidi" w:hAnsiTheme="majorBidi" w:cstheme="majorBidi"/>
          <w:lang w:val="en-US"/>
        </w:rPr>
        <w:t xml:space="preserve">. </w:t>
      </w:r>
      <w:proofErr w:type="spellStart"/>
      <w:r w:rsidRPr="00C31AFF">
        <w:rPr>
          <w:rFonts w:asciiTheme="majorBidi" w:hAnsiTheme="majorBidi" w:cstheme="majorBidi"/>
        </w:rPr>
        <w:t>Teachers</w:t>
      </w:r>
      <w:proofErr w:type="spellEnd"/>
      <w:r w:rsidRPr="00C31AFF">
        <w:rPr>
          <w:rFonts w:asciiTheme="majorBidi" w:hAnsiTheme="majorBidi" w:cstheme="majorBidi"/>
        </w:rPr>
        <w:t xml:space="preserve"> </w:t>
      </w:r>
      <w:proofErr w:type="spellStart"/>
      <w:r w:rsidRPr="00C31AFF">
        <w:rPr>
          <w:rFonts w:asciiTheme="majorBidi" w:hAnsiTheme="majorBidi" w:cstheme="majorBidi"/>
        </w:rPr>
        <w:t>College</w:t>
      </w:r>
      <w:proofErr w:type="spellEnd"/>
      <w:r w:rsidRPr="00C31AFF">
        <w:rPr>
          <w:rFonts w:asciiTheme="majorBidi" w:hAnsiTheme="majorBidi" w:cstheme="majorBidi"/>
        </w:rPr>
        <w:t xml:space="preserve"> </w:t>
      </w:r>
      <w:proofErr w:type="spellStart"/>
      <w:r w:rsidRPr="00C31AFF">
        <w:rPr>
          <w:rFonts w:asciiTheme="majorBidi" w:hAnsiTheme="majorBidi" w:cstheme="majorBidi"/>
        </w:rPr>
        <w:t>Press</w:t>
      </w:r>
      <w:proofErr w:type="spellEnd"/>
      <w:r w:rsidRPr="00C31AFF">
        <w:rPr>
          <w:rFonts w:asciiTheme="majorBidi" w:hAnsiTheme="majorBidi" w:cstheme="majorBidi"/>
        </w:rPr>
        <w:t>.</w:t>
      </w:r>
      <w:bookmarkEnd w:id="399"/>
    </w:p>
    <w:p w14:paraId="08D4CE82" w14:textId="77777777" w:rsidR="00345650" w:rsidRPr="00C31AF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rPr>
      </w:pPr>
      <w:bookmarkStart w:id="400" w:name="_Toc200486201"/>
      <w:proofErr w:type="spellStart"/>
      <w:r w:rsidRPr="00670BBF">
        <w:rPr>
          <w:rFonts w:asciiTheme="majorBidi" w:hAnsiTheme="majorBidi" w:cstheme="majorBidi"/>
          <w:b/>
          <w:bCs/>
          <w:lang w:val="en-US"/>
        </w:rPr>
        <w:t>M</w:t>
      </w:r>
      <w:r w:rsidRPr="00670BBF">
        <w:rPr>
          <w:rFonts w:asciiTheme="majorBidi" w:hAnsiTheme="majorBidi" w:cstheme="majorBidi"/>
          <w:lang w:val="en-US"/>
        </w:rPr>
        <w:t>ercieca</w:t>
      </w:r>
      <w:proofErr w:type="spellEnd"/>
      <w:r w:rsidRPr="00670BBF">
        <w:rPr>
          <w:rFonts w:asciiTheme="majorBidi" w:hAnsiTheme="majorBidi" w:cstheme="majorBidi"/>
          <w:lang w:val="en-US"/>
        </w:rPr>
        <w:t xml:space="preserve">, Bernadette. (2017). What Is a Community of Practice? </w:t>
      </w:r>
      <w:r w:rsidRPr="00C31AFF">
        <w:rPr>
          <w:rFonts w:asciiTheme="majorBidi" w:hAnsiTheme="majorBidi" w:cstheme="majorBidi"/>
        </w:rPr>
        <w:t>10.1007/978-981-10-2879-3_1.</w:t>
      </w:r>
      <w:bookmarkEnd w:id="400"/>
    </w:p>
    <w:p w14:paraId="6702F6B0" w14:textId="77777777" w:rsidR="00345650" w:rsidRPr="00C31AF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rPr>
      </w:pPr>
      <w:bookmarkStart w:id="401" w:name="_Toc200486202"/>
      <w:proofErr w:type="spellStart"/>
      <w:r w:rsidRPr="00670BBF">
        <w:rPr>
          <w:rFonts w:asciiTheme="majorBidi" w:hAnsiTheme="majorBidi" w:cstheme="majorBidi"/>
          <w:lang w:val="en-US"/>
        </w:rPr>
        <w:t>Dippenaar</w:t>
      </w:r>
      <w:proofErr w:type="spellEnd"/>
      <w:r w:rsidRPr="00670BBF">
        <w:rPr>
          <w:rFonts w:asciiTheme="majorBidi" w:hAnsiTheme="majorBidi" w:cstheme="majorBidi"/>
          <w:lang w:val="en-US"/>
        </w:rPr>
        <w:t xml:space="preserve">, H., &amp; </w:t>
      </w:r>
      <w:proofErr w:type="spellStart"/>
      <w:r w:rsidRPr="00670BBF">
        <w:rPr>
          <w:rFonts w:asciiTheme="majorBidi" w:hAnsiTheme="majorBidi" w:cstheme="majorBidi"/>
          <w:lang w:val="en-US"/>
        </w:rPr>
        <w:t>Hibbert</w:t>
      </w:r>
      <w:proofErr w:type="spellEnd"/>
      <w:r w:rsidRPr="00670BBF">
        <w:rPr>
          <w:rFonts w:asciiTheme="majorBidi" w:hAnsiTheme="majorBidi" w:cstheme="majorBidi"/>
          <w:lang w:val="en-US"/>
        </w:rPr>
        <w:t>, L. (2017). Communities of practice in the design of a curriculum for student teachers of English. </w:t>
      </w:r>
      <w:r w:rsidRPr="00C31AFF">
        <w:rPr>
          <w:rFonts w:asciiTheme="majorBidi" w:hAnsiTheme="majorBidi" w:cstheme="majorBidi"/>
        </w:rPr>
        <w:t xml:space="preserve">Per </w:t>
      </w:r>
      <w:proofErr w:type="spellStart"/>
      <w:r w:rsidRPr="00C31AFF">
        <w:rPr>
          <w:rFonts w:asciiTheme="majorBidi" w:hAnsiTheme="majorBidi" w:cstheme="majorBidi"/>
        </w:rPr>
        <w:t>Linguam</w:t>
      </w:r>
      <w:proofErr w:type="spellEnd"/>
      <w:r w:rsidRPr="00C31AFF">
        <w:rPr>
          <w:rFonts w:asciiTheme="majorBidi" w:hAnsiTheme="majorBidi" w:cstheme="majorBidi"/>
        </w:rPr>
        <w:t>, 33, 63-75.</w:t>
      </w:r>
      <w:bookmarkEnd w:id="401"/>
    </w:p>
    <w:p w14:paraId="77BEB73E" w14:textId="77777777" w:rsidR="00345650" w:rsidRPr="00C31AF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rPr>
      </w:pPr>
      <w:bookmarkStart w:id="402" w:name="_Toc200486203"/>
      <w:r w:rsidRPr="00670BBF">
        <w:rPr>
          <w:rFonts w:asciiTheme="majorBidi" w:hAnsiTheme="majorBidi" w:cstheme="majorBidi"/>
          <w:lang w:val="en-US"/>
        </w:rPr>
        <w:t>Ali Bin-</w:t>
      </w:r>
      <w:proofErr w:type="spellStart"/>
      <w:r w:rsidRPr="00670BBF">
        <w:rPr>
          <w:rFonts w:asciiTheme="majorBidi" w:hAnsiTheme="majorBidi" w:cstheme="majorBidi"/>
          <w:lang w:val="en-US"/>
        </w:rPr>
        <w:t>Hady</w:t>
      </w:r>
      <w:proofErr w:type="spellEnd"/>
      <w:r w:rsidRPr="00670BBF">
        <w:rPr>
          <w:rFonts w:asciiTheme="majorBidi" w:hAnsiTheme="majorBidi" w:cstheme="majorBidi"/>
          <w:lang w:val="en-US"/>
        </w:rPr>
        <w:t xml:space="preserve">, W.R., Ahmed </w:t>
      </w:r>
      <w:proofErr w:type="spellStart"/>
      <w:r w:rsidRPr="00670BBF">
        <w:rPr>
          <w:rFonts w:asciiTheme="majorBidi" w:hAnsiTheme="majorBidi" w:cstheme="majorBidi"/>
          <w:lang w:val="en-US"/>
        </w:rPr>
        <w:t>Busabaa</w:t>
      </w:r>
      <w:proofErr w:type="spellEnd"/>
      <w:r w:rsidRPr="00670BBF">
        <w:rPr>
          <w:rFonts w:asciiTheme="majorBidi" w:hAnsiTheme="majorBidi" w:cstheme="majorBidi"/>
          <w:lang w:val="en-US"/>
        </w:rPr>
        <w:t>, N., &amp; Abdulrahman Hasan Abdullah, L. (2024). The Role of Communities of Practice in Developing Yemeni EFL Teachers' Continuous Professional Development. </w:t>
      </w:r>
      <w:r w:rsidRPr="00C31AFF">
        <w:rPr>
          <w:rFonts w:asciiTheme="majorBidi" w:hAnsiTheme="majorBidi" w:cstheme="majorBidi"/>
        </w:rPr>
        <w:t>Traduction et Langues.</w:t>
      </w:r>
      <w:bookmarkEnd w:id="402"/>
    </w:p>
    <w:p w14:paraId="6A88C8A5" w14:textId="77777777" w:rsidR="00345650" w:rsidRPr="00C31AF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rPr>
      </w:pPr>
      <w:bookmarkStart w:id="403" w:name="_Toc200486204"/>
      <w:proofErr w:type="spellStart"/>
      <w:r w:rsidRPr="00670BBF">
        <w:rPr>
          <w:rFonts w:asciiTheme="majorBidi" w:hAnsiTheme="majorBidi" w:cstheme="majorBidi"/>
          <w:lang w:val="en-US"/>
        </w:rPr>
        <w:t>Cojorn</w:t>
      </w:r>
      <w:proofErr w:type="spellEnd"/>
      <w:r w:rsidRPr="00670BBF">
        <w:rPr>
          <w:rFonts w:asciiTheme="majorBidi" w:hAnsiTheme="majorBidi" w:cstheme="majorBidi"/>
          <w:lang w:val="en-US"/>
        </w:rPr>
        <w:t xml:space="preserve">, K., &amp; </w:t>
      </w:r>
      <w:proofErr w:type="spellStart"/>
      <w:r w:rsidRPr="00670BBF">
        <w:rPr>
          <w:rFonts w:asciiTheme="majorBidi" w:hAnsiTheme="majorBidi" w:cstheme="majorBidi"/>
          <w:lang w:val="en-US"/>
        </w:rPr>
        <w:t>Sonsupap</w:t>
      </w:r>
      <w:proofErr w:type="spellEnd"/>
      <w:r w:rsidRPr="00670BBF">
        <w:rPr>
          <w:rFonts w:asciiTheme="majorBidi" w:hAnsiTheme="majorBidi" w:cstheme="majorBidi"/>
          <w:lang w:val="en-US"/>
        </w:rPr>
        <w:t>, K. (2024). Impact of Community of Practice and Lesson Study on Fostering the Student Thinking Competency. </w:t>
      </w:r>
      <w:r w:rsidRPr="00C31AFF">
        <w:rPr>
          <w:rFonts w:asciiTheme="majorBidi" w:hAnsiTheme="majorBidi" w:cstheme="majorBidi"/>
        </w:rPr>
        <w:t xml:space="preserve">International Journal of Education and </w:t>
      </w:r>
      <w:proofErr w:type="spellStart"/>
      <w:r w:rsidRPr="00C31AFF">
        <w:rPr>
          <w:rFonts w:asciiTheme="majorBidi" w:hAnsiTheme="majorBidi" w:cstheme="majorBidi"/>
        </w:rPr>
        <w:t>Literacy</w:t>
      </w:r>
      <w:proofErr w:type="spellEnd"/>
      <w:r w:rsidRPr="00C31AFF">
        <w:rPr>
          <w:rFonts w:asciiTheme="majorBidi" w:hAnsiTheme="majorBidi" w:cstheme="majorBidi"/>
        </w:rPr>
        <w:t xml:space="preserve"> </w:t>
      </w:r>
      <w:proofErr w:type="spellStart"/>
      <w:r w:rsidRPr="00C31AFF">
        <w:rPr>
          <w:rFonts w:asciiTheme="majorBidi" w:hAnsiTheme="majorBidi" w:cstheme="majorBidi"/>
        </w:rPr>
        <w:t>Studies</w:t>
      </w:r>
      <w:proofErr w:type="spellEnd"/>
      <w:r w:rsidRPr="00C31AFF">
        <w:rPr>
          <w:rFonts w:asciiTheme="majorBidi" w:hAnsiTheme="majorBidi" w:cstheme="majorBidi"/>
        </w:rPr>
        <w:t>.</w:t>
      </w:r>
      <w:bookmarkEnd w:id="403"/>
    </w:p>
    <w:p w14:paraId="1C865D5A" w14:textId="77777777" w:rsidR="00345650" w:rsidRPr="00670BB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lang w:val="en-US"/>
        </w:rPr>
      </w:pPr>
      <w:bookmarkStart w:id="404" w:name="_Toc200486205"/>
      <w:proofErr w:type="spellStart"/>
      <w:r w:rsidRPr="00C31AFF">
        <w:rPr>
          <w:rFonts w:asciiTheme="majorBidi" w:hAnsiTheme="majorBidi" w:cstheme="majorBidi"/>
        </w:rPr>
        <w:t>Cannanure</w:t>
      </w:r>
      <w:proofErr w:type="spellEnd"/>
      <w:r w:rsidRPr="00C31AFF">
        <w:rPr>
          <w:rFonts w:asciiTheme="majorBidi" w:hAnsiTheme="majorBidi" w:cstheme="majorBidi"/>
        </w:rPr>
        <w:t xml:space="preserve">, V.K., </w:t>
      </w:r>
      <w:proofErr w:type="spellStart"/>
      <w:r w:rsidRPr="00C31AFF">
        <w:rPr>
          <w:rFonts w:asciiTheme="majorBidi" w:hAnsiTheme="majorBidi" w:cstheme="majorBidi"/>
        </w:rPr>
        <w:t>Ngoon</w:t>
      </w:r>
      <w:proofErr w:type="spellEnd"/>
      <w:r w:rsidRPr="00C31AFF">
        <w:rPr>
          <w:rFonts w:asciiTheme="majorBidi" w:hAnsiTheme="majorBidi" w:cstheme="majorBidi"/>
        </w:rPr>
        <w:t xml:space="preserve">, T.J., Wolf, S., </w:t>
      </w:r>
      <w:proofErr w:type="spellStart"/>
      <w:r w:rsidRPr="00C31AFF">
        <w:rPr>
          <w:rFonts w:asciiTheme="majorBidi" w:hAnsiTheme="majorBidi" w:cstheme="majorBidi"/>
        </w:rPr>
        <w:t>Jasińska</w:t>
      </w:r>
      <w:proofErr w:type="spellEnd"/>
      <w:r w:rsidRPr="00C31AFF">
        <w:rPr>
          <w:rFonts w:asciiTheme="majorBidi" w:hAnsiTheme="majorBidi" w:cstheme="majorBidi"/>
        </w:rPr>
        <w:t xml:space="preserve">, K.K., Brown, T., &amp; </w:t>
      </w:r>
      <w:proofErr w:type="spellStart"/>
      <w:r w:rsidRPr="00C31AFF">
        <w:rPr>
          <w:rFonts w:asciiTheme="majorBidi" w:hAnsiTheme="majorBidi" w:cstheme="majorBidi"/>
        </w:rPr>
        <w:t>Ogan</w:t>
      </w:r>
      <w:proofErr w:type="spellEnd"/>
      <w:r w:rsidRPr="00C31AFF">
        <w:rPr>
          <w:rFonts w:asciiTheme="majorBidi" w:hAnsiTheme="majorBidi" w:cstheme="majorBidi"/>
        </w:rPr>
        <w:t xml:space="preserve">, A. (2024). </w:t>
      </w:r>
      <w:r w:rsidRPr="00670BBF">
        <w:rPr>
          <w:rFonts w:asciiTheme="majorBidi" w:hAnsiTheme="majorBidi" w:cstheme="majorBidi"/>
          <w:lang w:val="en-US"/>
        </w:rPr>
        <w:t xml:space="preserve">Understanding the Longitudinal Impact of a </w:t>
      </w:r>
      <w:proofErr w:type="spellStart"/>
      <w:r w:rsidRPr="00670BBF">
        <w:rPr>
          <w:rFonts w:asciiTheme="majorBidi" w:hAnsiTheme="majorBidi" w:cstheme="majorBidi"/>
          <w:lang w:val="en-US"/>
        </w:rPr>
        <w:t>Chatbot</w:t>
      </w:r>
      <w:proofErr w:type="spellEnd"/>
      <w:r w:rsidRPr="00670BBF">
        <w:rPr>
          <w:rFonts w:asciiTheme="majorBidi" w:hAnsiTheme="majorBidi" w:cstheme="majorBidi"/>
          <w:lang w:val="en-US"/>
        </w:rPr>
        <w:t xml:space="preserve"> to Facilitate a Virtual Community of Practice for Teachers in Rural Côte </w:t>
      </w:r>
      <w:proofErr w:type="spellStart"/>
      <w:r w:rsidRPr="00670BBF">
        <w:rPr>
          <w:rFonts w:asciiTheme="majorBidi" w:hAnsiTheme="majorBidi" w:cstheme="majorBidi"/>
          <w:lang w:val="en-US"/>
        </w:rPr>
        <w:t>d</w:t>
      </w:r>
      <w:proofErr w:type="gramStart"/>
      <w:r w:rsidRPr="00670BBF">
        <w:rPr>
          <w:rFonts w:asciiTheme="majorBidi" w:hAnsiTheme="majorBidi" w:cstheme="majorBidi"/>
          <w:lang w:val="en-US"/>
        </w:rPr>
        <w:t>?Ivoire</w:t>
      </w:r>
      <w:proofErr w:type="spellEnd"/>
      <w:proofErr w:type="gramEnd"/>
      <w:r w:rsidRPr="00670BBF">
        <w:rPr>
          <w:rFonts w:asciiTheme="majorBidi" w:hAnsiTheme="majorBidi" w:cstheme="majorBidi"/>
          <w:lang w:val="en-US"/>
        </w:rPr>
        <w:t>. ACM Journal on Computing and Sustainable Societies.</w:t>
      </w:r>
      <w:bookmarkEnd w:id="404"/>
    </w:p>
    <w:p w14:paraId="69B7FF63" w14:textId="77777777" w:rsidR="00345650" w:rsidRPr="00C31AF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rPr>
      </w:pPr>
      <w:bookmarkStart w:id="405" w:name="_Toc200486206"/>
      <w:r w:rsidRPr="00670BBF">
        <w:rPr>
          <w:rFonts w:asciiTheme="majorBidi" w:hAnsiTheme="majorBidi" w:cstheme="majorBidi"/>
          <w:lang w:val="en-US"/>
        </w:rPr>
        <w:t>Min, H.J., Noh, H.J., &amp; Paik, S. (2017). Communities of Practice for Student Assessment in a South Korean Middle School. </w:t>
      </w:r>
      <w:proofErr w:type="spellStart"/>
      <w:r w:rsidRPr="00C31AFF">
        <w:rPr>
          <w:rFonts w:asciiTheme="majorBidi" w:hAnsiTheme="majorBidi" w:cstheme="majorBidi"/>
        </w:rPr>
        <w:t>Eurasia</w:t>
      </w:r>
      <w:proofErr w:type="spellEnd"/>
      <w:r w:rsidRPr="00C31AFF">
        <w:rPr>
          <w:rFonts w:asciiTheme="majorBidi" w:hAnsiTheme="majorBidi" w:cstheme="majorBidi"/>
        </w:rPr>
        <w:t xml:space="preserve"> journal of </w:t>
      </w:r>
      <w:proofErr w:type="spellStart"/>
      <w:r w:rsidRPr="00C31AFF">
        <w:rPr>
          <w:rFonts w:asciiTheme="majorBidi" w:hAnsiTheme="majorBidi" w:cstheme="majorBidi"/>
        </w:rPr>
        <w:t>mathematics</w:t>
      </w:r>
      <w:proofErr w:type="spellEnd"/>
      <w:r w:rsidRPr="00C31AFF">
        <w:rPr>
          <w:rFonts w:asciiTheme="majorBidi" w:hAnsiTheme="majorBidi" w:cstheme="majorBidi"/>
        </w:rPr>
        <w:t xml:space="preserve">, science and </w:t>
      </w:r>
      <w:proofErr w:type="spellStart"/>
      <w:r w:rsidRPr="00C31AFF">
        <w:rPr>
          <w:rFonts w:asciiTheme="majorBidi" w:hAnsiTheme="majorBidi" w:cstheme="majorBidi"/>
        </w:rPr>
        <w:t>technology</w:t>
      </w:r>
      <w:proofErr w:type="spellEnd"/>
      <w:r w:rsidRPr="00C31AFF">
        <w:rPr>
          <w:rFonts w:asciiTheme="majorBidi" w:hAnsiTheme="majorBidi" w:cstheme="majorBidi"/>
        </w:rPr>
        <w:t xml:space="preserve"> </w:t>
      </w:r>
      <w:proofErr w:type="spellStart"/>
      <w:r w:rsidRPr="00C31AFF">
        <w:rPr>
          <w:rFonts w:asciiTheme="majorBidi" w:hAnsiTheme="majorBidi" w:cstheme="majorBidi"/>
        </w:rPr>
        <w:t>education</w:t>
      </w:r>
      <w:proofErr w:type="spellEnd"/>
      <w:r w:rsidRPr="00C31AFF">
        <w:rPr>
          <w:rFonts w:asciiTheme="majorBidi" w:hAnsiTheme="majorBidi" w:cstheme="majorBidi"/>
        </w:rPr>
        <w:t>, 13, 6369-6394.</w:t>
      </w:r>
      <w:bookmarkEnd w:id="405"/>
    </w:p>
    <w:p w14:paraId="52CD73EC" w14:textId="77777777" w:rsidR="00345650" w:rsidRPr="00670BB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lang w:val="en-US"/>
        </w:rPr>
      </w:pPr>
      <w:bookmarkStart w:id="406" w:name="_Toc200486207"/>
      <w:proofErr w:type="spellStart"/>
      <w:r w:rsidRPr="00670BBF">
        <w:rPr>
          <w:rFonts w:asciiTheme="majorBidi" w:hAnsiTheme="majorBidi" w:cstheme="majorBidi"/>
          <w:lang w:val="en-US"/>
        </w:rPr>
        <w:t>Picón-Jácome</w:t>
      </w:r>
      <w:proofErr w:type="spellEnd"/>
      <w:r w:rsidRPr="00670BBF">
        <w:rPr>
          <w:rFonts w:asciiTheme="majorBidi" w:hAnsiTheme="majorBidi" w:cstheme="majorBidi"/>
          <w:lang w:val="en-US"/>
        </w:rPr>
        <w:t xml:space="preserve">, Edgar, and Juan Carlos Montoya </w:t>
      </w:r>
      <w:proofErr w:type="spellStart"/>
      <w:r w:rsidRPr="00670BBF">
        <w:rPr>
          <w:rFonts w:asciiTheme="majorBidi" w:hAnsiTheme="majorBidi" w:cstheme="majorBidi"/>
          <w:lang w:val="en-US"/>
        </w:rPr>
        <w:t>López</w:t>
      </w:r>
      <w:proofErr w:type="spellEnd"/>
      <w:r w:rsidRPr="00670BBF">
        <w:rPr>
          <w:rFonts w:asciiTheme="majorBidi" w:hAnsiTheme="majorBidi" w:cstheme="majorBidi"/>
          <w:lang w:val="en-US"/>
        </w:rPr>
        <w:t>. ‘Consolidating a Culture of Assessment for Learning: EFL Teachers’ Appropriation of an Assessment Policy through a Virtual Community of Practice’. Colombian Applied Linguistics Journal, vol. 26, no. 2, Nov. 2024, pp. 102–17. </w:t>
      </w:r>
      <w:proofErr w:type="gramStart"/>
      <w:r w:rsidRPr="00670BBF">
        <w:rPr>
          <w:rFonts w:asciiTheme="majorBidi" w:hAnsiTheme="majorBidi" w:cstheme="majorBidi"/>
          <w:lang w:val="en-US"/>
        </w:rPr>
        <w:t>DOI.org ,</w:t>
      </w:r>
      <w:proofErr w:type="gramEnd"/>
      <w:r w:rsidRPr="00670BBF">
        <w:rPr>
          <w:rFonts w:asciiTheme="majorBidi" w:hAnsiTheme="majorBidi" w:cstheme="majorBidi"/>
          <w:lang w:val="en-US"/>
        </w:rPr>
        <w:t xml:space="preserve"> https://doi.org/10.14483/22487085.20961.</w:t>
      </w:r>
      <w:bookmarkEnd w:id="406"/>
    </w:p>
    <w:p w14:paraId="2EE50159" w14:textId="77777777" w:rsidR="00345650" w:rsidRPr="00C31AF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rPr>
      </w:pPr>
      <w:bookmarkStart w:id="407" w:name="_Toc200486208"/>
      <w:proofErr w:type="spellStart"/>
      <w:r w:rsidRPr="00670BBF">
        <w:rPr>
          <w:rFonts w:asciiTheme="majorBidi" w:hAnsiTheme="majorBidi" w:cstheme="majorBidi"/>
          <w:lang w:val="en-US"/>
        </w:rPr>
        <w:t>Besar</w:t>
      </w:r>
      <w:proofErr w:type="spellEnd"/>
      <w:r w:rsidRPr="00670BBF">
        <w:rPr>
          <w:rFonts w:asciiTheme="majorBidi" w:hAnsiTheme="majorBidi" w:cstheme="majorBidi"/>
          <w:lang w:val="en-US"/>
        </w:rPr>
        <w:t xml:space="preserve">, P. H. S. N. </w:t>
      </w:r>
      <w:proofErr w:type="spellStart"/>
      <w:r w:rsidRPr="00670BBF">
        <w:rPr>
          <w:rFonts w:asciiTheme="majorBidi" w:hAnsiTheme="majorBidi" w:cstheme="majorBidi"/>
          <w:lang w:val="en-US"/>
        </w:rPr>
        <w:t>binti</w:t>
      </w:r>
      <w:proofErr w:type="spellEnd"/>
      <w:r w:rsidRPr="00670BBF">
        <w:rPr>
          <w:rFonts w:asciiTheme="majorBidi" w:hAnsiTheme="majorBidi" w:cstheme="majorBidi"/>
          <w:lang w:val="en-US"/>
        </w:rPr>
        <w:t xml:space="preserve"> P. H. (2018). </w:t>
      </w:r>
      <w:proofErr w:type="gramStart"/>
      <w:r w:rsidRPr="00670BBF">
        <w:rPr>
          <w:rFonts w:asciiTheme="majorBidi" w:hAnsiTheme="majorBidi" w:cstheme="majorBidi"/>
          <w:lang w:val="en-US"/>
        </w:rPr>
        <w:t>Situated Learning Theory: The Key to Effective Classroom Teaching?</w:t>
      </w:r>
      <w:proofErr w:type="gramEnd"/>
      <w:r w:rsidRPr="00670BBF">
        <w:rPr>
          <w:rFonts w:asciiTheme="majorBidi" w:hAnsiTheme="majorBidi" w:cstheme="majorBidi"/>
          <w:lang w:val="en-US"/>
        </w:rPr>
        <w:t> </w:t>
      </w:r>
      <w:proofErr w:type="gramStart"/>
      <w:r w:rsidRPr="00C31AFF">
        <w:rPr>
          <w:rFonts w:asciiTheme="majorBidi" w:hAnsiTheme="majorBidi" w:cstheme="majorBidi"/>
        </w:rPr>
        <w:t>HONAI:</w:t>
      </w:r>
      <w:proofErr w:type="gramEnd"/>
      <w:r w:rsidRPr="00C31AFF">
        <w:rPr>
          <w:rFonts w:asciiTheme="majorBidi" w:hAnsiTheme="majorBidi" w:cstheme="majorBidi"/>
        </w:rPr>
        <w:t xml:space="preserve"> International Journal for </w:t>
      </w:r>
      <w:proofErr w:type="spellStart"/>
      <w:r w:rsidRPr="00C31AFF">
        <w:rPr>
          <w:rFonts w:asciiTheme="majorBidi" w:hAnsiTheme="majorBidi" w:cstheme="majorBidi"/>
        </w:rPr>
        <w:t>Educational</w:t>
      </w:r>
      <w:proofErr w:type="spellEnd"/>
      <w:r w:rsidRPr="00C31AFF">
        <w:rPr>
          <w:rFonts w:asciiTheme="majorBidi" w:hAnsiTheme="majorBidi" w:cstheme="majorBidi"/>
        </w:rPr>
        <w:t xml:space="preserve">, Social, </w:t>
      </w:r>
      <w:proofErr w:type="spellStart"/>
      <w:r w:rsidRPr="00C31AFF">
        <w:rPr>
          <w:rFonts w:asciiTheme="majorBidi" w:hAnsiTheme="majorBidi" w:cstheme="majorBidi"/>
        </w:rPr>
        <w:t>Political</w:t>
      </w:r>
      <w:proofErr w:type="spellEnd"/>
      <w:r w:rsidRPr="00C31AFF">
        <w:rPr>
          <w:rFonts w:asciiTheme="majorBidi" w:hAnsiTheme="majorBidi" w:cstheme="majorBidi"/>
        </w:rPr>
        <w:t xml:space="preserve"> &amp; Cultural </w:t>
      </w:r>
      <w:proofErr w:type="spellStart"/>
      <w:r w:rsidRPr="00C31AFF">
        <w:rPr>
          <w:rFonts w:asciiTheme="majorBidi" w:hAnsiTheme="majorBidi" w:cstheme="majorBidi"/>
        </w:rPr>
        <w:t>Studies</w:t>
      </w:r>
      <w:proofErr w:type="spellEnd"/>
      <w:r w:rsidRPr="00C31AFF">
        <w:rPr>
          <w:rFonts w:asciiTheme="majorBidi" w:hAnsiTheme="majorBidi" w:cstheme="majorBidi"/>
        </w:rPr>
        <w:t>, 1(1), 49–60.</w:t>
      </w:r>
      <w:bookmarkEnd w:id="407"/>
    </w:p>
    <w:p w14:paraId="22717A4B" w14:textId="77777777" w:rsidR="00345650" w:rsidRPr="00670BB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lang w:val="en-US"/>
        </w:rPr>
      </w:pPr>
      <w:bookmarkStart w:id="408" w:name="_Toc200486209"/>
      <w:r w:rsidRPr="00670BBF">
        <w:rPr>
          <w:rFonts w:asciiTheme="majorBidi" w:hAnsiTheme="majorBidi" w:cstheme="majorBidi"/>
          <w:lang w:val="en-US"/>
        </w:rPr>
        <w:t xml:space="preserve">Yao, Cheng, et al. ‘Enhancing ESL Learners’ Executive Function and Cognitive Ability: A Hybrid Approach of Situated Learning and Task-Based Language Teaching’. Australian Journal of Applied Linguistics, vol. 7, no. 2, June 2024, p. 1522. DOI.org, </w:t>
      </w:r>
      <w:hyperlink r:id="rId87" w:history="1">
        <w:r w:rsidRPr="00670BBF">
          <w:rPr>
            <w:rStyle w:val="Lienhypertexte"/>
            <w:rFonts w:asciiTheme="majorBidi" w:hAnsiTheme="majorBidi" w:cstheme="majorBidi"/>
            <w:lang w:val="en-US"/>
          </w:rPr>
          <w:t>https://doi.org/10.29140/ajal.v7n2.1522</w:t>
        </w:r>
      </w:hyperlink>
      <w:r w:rsidRPr="00670BBF">
        <w:rPr>
          <w:rFonts w:asciiTheme="majorBidi" w:hAnsiTheme="majorBidi" w:cstheme="majorBidi"/>
          <w:lang w:val="en-US"/>
        </w:rPr>
        <w:t>.</w:t>
      </w:r>
      <w:bookmarkEnd w:id="408"/>
    </w:p>
    <w:p w14:paraId="766D433E" w14:textId="77777777" w:rsidR="00345650" w:rsidRPr="00C31AF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rPr>
      </w:pPr>
      <w:bookmarkStart w:id="409" w:name="_Toc200486210"/>
      <w:proofErr w:type="spellStart"/>
      <w:r w:rsidRPr="00670BBF">
        <w:rPr>
          <w:rFonts w:asciiTheme="majorBidi" w:hAnsiTheme="majorBidi" w:cstheme="majorBidi"/>
          <w:lang w:val="en-US"/>
        </w:rPr>
        <w:t>Knipp</w:t>
      </w:r>
      <w:proofErr w:type="spellEnd"/>
      <w:r w:rsidRPr="00670BBF">
        <w:rPr>
          <w:rFonts w:asciiTheme="majorBidi" w:hAnsiTheme="majorBidi" w:cstheme="majorBidi"/>
          <w:lang w:val="en-US"/>
        </w:rPr>
        <w:t>, S. A. (2019). A Case Study of Communities of Practice in Schools. </w:t>
      </w:r>
      <w:r w:rsidRPr="00C31AFF">
        <w:rPr>
          <w:rFonts w:asciiTheme="majorBidi" w:hAnsiTheme="majorBidi" w:cstheme="majorBidi"/>
        </w:rPr>
        <w:t xml:space="preserve">Education Dissertations, 43. </w:t>
      </w:r>
      <w:hyperlink r:id="rId88" w:history="1">
        <w:r w:rsidRPr="00C31AFF">
          <w:rPr>
            <w:rStyle w:val="Lienhypertexte"/>
            <w:rFonts w:asciiTheme="majorBidi" w:hAnsiTheme="majorBidi" w:cstheme="majorBidi"/>
          </w:rPr>
          <w:t>https://digitalcommons.spu.edu/soe_etd/43</w:t>
        </w:r>
        <w:bookmarkEnd w:id="409"/>
      </w:hyperlink>
    </w:p>
    <w:p w14:paraId="58B9A3F9" w14:textId="77777777" w:rsidR="00345650" w:rsidRPr="00C31AF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rPr>
      </w:pPr>
      <w:bookmarkStart w:id="410" w:name="_Toc200486211"/>
      <w:proofErr w:type="spellStart"/>
      <w:r w:rsidRPr="00C31AFF">
        <w:rPr>
          <w:rFonts w:asciiTheme="majorBidi" w:hAnsiTheme="majorBidi" w:cstheme="majorBidi"/>
        </w:rPr>
        <w:t>Priest</w:t>
      </w:r>
      <w:proofErr w:type="spellEnd"/>
      <w:r w:rsidRPr="00C31AFF">
        <w:rPr>
          <w:rFonts w:asciiTheme="majorBidi" w:hAnsiTheme="majorBidi" w:cstheme="majorBidi"/>
        </w:rPr>
        <w:t xml:space="preserve">, K., Saucier, D. A., &amp; </w:t>
      </w:r>
      <w:proofErr w:type="spellStart"/>
      <w:r w:rsidRPr="00C31AFF">
        <w:rPr>
          <w:rFonts w:asciiTheme="majorBidi" w:hAnsiTheme="majorBidi" w:cstheme="majorBidi"/>
        </w:rPr>
        <w:t>Eiselein</w:t>
      </w:r>
      <w:proofErr w:type="spellEnd"/>
      <w:r w:rsidRPr="00C31AFF">
        <w:rPr>
          <w:rFonts w:asciiTheme="majorBidi" w:hAnsiTheme="majorBidi" w:cstheme="majorBidi"/>
        </w:rPr>
        <w:t xml:space="preserve">, G. (2016). </w:t>
      </w:r>
      <w:r w:rsidRPr="00670BBF">
        <w:rPr>
          <w:rFonts w:asciiTheme="majorBidi" w:hAnsiTheme="majorBidi" w:cstheme="majorBidi"/>
          <w:lang w:val="en-US"/>
        </w:rPr>
        <w:t xml:space="preserve">Exploring Students’ Experiences in First-Year Learning Communities from a Situated Learning Perspective. The International Journal of Teaching and Learning in Higher Education, 28(3), 361–371. </w:t>
      </w:r>
      <w:hyperlink r:id="rId89" w:history="1">
        <w:r w:rsidRPr="00C31AFF">
          <w:rPr>
            <w:rStyle w:val="Lienhypertexte"/>
            <w:rFonts w:asciiTheme="majorBidi" w:hAnsiTheme="majorBidi" w:cstheme="majorBidi"/>
          </w:rPr>
          <w:t>https://files.eric.ed.gov/fulltext/EJ1125098.pdf</w:t>
        </w:r>
        <w:bookmarkEnd w:id="410"/>
      </w:hyperlink>
    </w:p>
    <w:p w14:paraId="64D46A6F" w14:textId="77777777" w:rsidR="00345650" w:rsidRPr="00C31AF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rPr>
      </w:pPr>
      <w:bookmarkStart w:id="411" w:name="_Toc200486212"/>
      <w:r w:rsidRPr="00670BBF">
        <w:rPr>
          <w:rFonts w:asciiTheme="majorBidi" w:hAnsiTheme="majorBidi" w:cstheme="majorBidi"/>
          <w:lang w:val="en-US"/>
        </w:rPr>
        <w:t>Pereira, G. (2023). Situated learning, communities of practice and pedagogical innovation. </w:t>
      </w:r>
      <w:proofErr w:type="spellStart"/>
      <w:r w:rsidRPr="00C31AFF">
        <w:rPr>
          <w:rFonts w:asciiTheme="majorBidi" w:hAnsiTheme="majorBidi" w:cstheme="majorBidi"/>
        </w:rPr>
        <w:t>Revista</w:t>
      </w:r>
      <w:proofErr w:type="spellEnd"/>
      <w:r w:rsidRPr="00C31AFF">
        <w:rPr>
          <w:rFonts w:asciiTheme="majorBidi" w:hAnsiTheme="majorBidi" w:cstheme="majorBidi"/>
        </w:rPr>
        <w:t xml:space="preserve"> </w:t>
      </w:r>
      <w:proofErr w:type="spellStart"/>
      <w:r w:rsidRPr="00C31AFF">
        <w:rPr>
          <w:rFonts w:asciiTheme="majorBidi" w:hAnsiTheme="majorBidi" w:cstheme="majorBidi"/>
        </w:rPr>
        <w:t>Científic</w:t>
      </w:r>
      <w:proofErr w:type="spellEnd"/>
      <w:r w:rsidRPr="00C31AFF">
        <w:rPr>
          <w:rFonts w:asciiTheme="majorBidi" w:hAnsiTheme="majorBidi" w:cstheme="majorBidi"/>
        </w:rPr>
        <w:t>@, 10(1), 1–6. https://doi.org/10.37951/2358-260x.2023v10i1.6541</w:t>
      </w:r>
      <w:bookmarkEnd w:id="411"/>
    </w:p>
    <w:p w14:paraId="44042281" w14:textId="77777777" w:rsidR="00345650" w:rsidRPr="00C31AF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rPr>
      </w:pPr>
      <w:bookmarkStart w:id="412" w:name="_Toc200486213"/>
      <w:proofErr w:type="spellStart"/>
      <w:r w:rsidRPr="00670BBF">
        <w:rPr>
          <w:rFonts w:asciiTheme="majorBidi" w:hAnsiTheme="majorBidi" w:cstheme="majorBidi"/>
          <w:lang w:val="en-US"/>
        </w:rPr>
        <w:t>Clancey</w:t>
      </w:r>
      <w:proofErr w:type="spellEnd"/>
      <w:r w:rsidRPr="00670BBF">
        <w:rPr>
          <w:rFonts w:asciiTheme="majorBidi" w:hAnsiTheme="majorBidi" w:cstheme="majorBidi"/>
          <w:lang w:val="en-US"/>
        </w:rPr>
        <w:t xml:space="preserve">, W. J. (1995). A Tutorial on Situated Learning. </w:t>
      </w:r>
      <w:hyperlink r:id="rId90" w:history="1">
        <w:r w:rsidRPr="00C31AFF">
          <w:rPr>
            <w:rStyle w:val="Lienhypertexte"/>
            <w:rFonts w:asciiTheme="majorBidi" w:hAnsiTheme="majorBidi" w:cstheme="majorBidi"/>
          </w:rPr>
          <w:t>http://www.uni-koeln.de/hf/konstrukt//didaktik/situierteslernen/clancey_situated_learning.PDF</w:t>
        </w:r>
        <w:bookmarkEnd w:id="412"/>
      </w:hyperlink>
    </w:p>
    <w:p w14:paraId="6DAC8434" w14:textId="77777777" w:rsidR="00345650" w:rsidRPr="00670BB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lang w:val="en-US"/>
        </w:rPr>
      </w:pPr>
      <w:bookmarkStart w:id="413" w:name="_Toc200486214"/>
      <w:r w:rsidRPr="00670BBF">
        <w:rPr>
          <w:rFonts w:asciiTheme="majorBidi" w:hAnsiTheme="majorBidi" w:cstheme="majorBidi"/>
          <w:lang w:val="en-US"/>
        </w:rPr>
        <w:t>Norman, Z. (2015). Situated Learning: A Legitimate Peripheral Participation in Learning Mathematics in Public Schools.</w:t>
      </w:r>
      <w:bookmarkEnd w:id="413"/>
    </w:p>
    <w:p w14:paraId="0E58BAD3" w14:textId="77777777" w:rsidR="00345650" w:rsidRPr="00C31AF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rPr>
      </w:pPr>
      <w:bookmarkStart w:id="414" w:name="_Toc200486215"/>
      <w:r w:rsidRPr="00670BBF">
        <w:rPr>
          <w:rFonts w:asciiTheme="majorBidi" w:hAnsiTheme="majorBidi" w:cstheme="majorBidi"/>
          <w:lang w:val="en-US"/>
        </w:rPr>
        <w:t>Negi, D.S. (2020). Constructivist approach of Vygotsky for innovative trends in learning and teaching. </w:t>
      </w:r>
      <w:r w:rsidRPr="00C31AFF">
        <w:rPr>
          <w:rFonts w:asciiTheme="majorBidi" w:hAnsiTheme="majorBidi" w:cstheme="majorBidi"/>
        </w:rPr>
        <w:t xml:space="preserve">International Journal of Advanced </w:t>
      </w:r>
      <w:proofErr w:type="spellStart"/>
      <w:r w:rsidRPr="00C31AFF">
        <w:rPr>
          <w:rFonts w:asciiTheme="majorBidi" w:hAnsiTheme="majorBidi" w:cstheme="majorBidi"/>
        </w:rPr>
        <w:t>Academic</w:t>
      </w:r>
      <w:proofErr w:type="spellEnd"/>
      <w:r w:rsidRPr="00C31AFF">
        <w:rPr>
          <w:rFonts w:asciiTheme="majorBidi" w:hAnsiTheme="majorBidi" w:cstheme="majorBidi"/>
        </w:rPr>
        <w:t xml:space="preserve"> </w:t>
      </w:r>
      <w:proofErr w:type="spellStart"/>
      <w:r w:rsidRPr="00C31AFF">
        <w:rPr>
          <w:rFonts w:asciiTheme="majorBidi" w:hAnsiTheme="majorBidi" w:cstheme="majorBidi"/>
        </w:rPr>
        <w:t>Studies</w:t>
      </w:r>
      <w:proofErr w:type="spellEnd"/>
      <w:r w:rsidRPr="00C31AFF">
        <w:rPr>
          <w:rFonts w:asciiTheme="majorBidi" w:hAnsiTheme="majorBidi" w:cstheme="majorBidi"/>
        </w:rPr>
        <w:t>.</w:t>
      </w:r>
      <w:bookmarkEnd w:id="414"/>
    </w:p>
    <w:p w14:paraId="7D03F4E9" w14:textId="77777777" w:rsidR="00345650" w:rsidRPr="00C31AF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rPr>
      </w:pPr>
      <w:bookmarkStart w:id="415" w:name="_Toc200486216"/>
      <w:r w:rsidRPr="00670BBF">
        <w:rPr>
          <w:rFonts w:asciiTheme="majorBidi" w:hAnsiTheme="majorBidi" w:cstheme="majorBidi"/>
          <w:lang w:val="en-US"/>
        </w:rPr>
        <w:t>Shi, H. (2017). The Theoretical Interpretation of EFL Teacher’s Professional Development from the Perspective of Sociocultural Theory. </w:t>
      </w:r>
      <w:r w:rsidRPr="00C31AFF">
        <w:rPr>
          <w:rFonts w:asciiTheme="majorBidi" w:hAnsiTheme="majorBidi" w:cstheme="majorBidi"/>
        </w:rPr>
        <w:t xml:space="preserve">Theory and Practice in </w:t>
      </w:r>
      <w:proofErr w:type="spellStart"/>
      <w:r w:rsidRPr="00C31AFF">
        <w:rPr>
          <w:rFonts w:asciiTheme="majorBidi" w:hAnsiTheme="majorBidi" w:cstheme="majorBidi"/>
        </w:rPr>
        <w:t>Language</w:t>
      </w:r>
      <w:proofErr w:type="spellEnd"/>
      <w:r w:rsidRPr="00C31AFF">
        <w:rPr>
          <w:rFonts w:asciiTheme="majorBidi" w:hAnsiTheme="majorBidi" w:cstheme="majorBidi"/>
        </w:rPr>
        <w:t xml:space="preserve"> </w:t>
      </w:r>
      <w:proofErr w:type="spellStart"/>
      <w:r w:rsidRPr="00C31AFF">
        <w:rPr>
          <w:rFonts w:asciiTheme="majorBidi" w:hAnsiTheme="majorBidi" w:cstheme="majorBidi"/>
        </w:rPr>
        <w:t>Studies</w:t>
      </w:r>
      <w:proofErr w:type="spellEnd"/>
      <w:r w:rsidRPr="00C31AFF">
        <w:rPr>
          <w:rFonts w:asciiTheme="majorBidi" w:hAnsiTheme="majorBidi" w:cstheme="majorBidi"/>
        </w:rPr>
        <w:t>, 7, 10591064.</w:t>
      </w:r>
      <w:bookmarkEnd w:id="415"/>
    </w:p>
    <w:p w14:paraId="1BD77AB2" w14:textId="77777777" w:rsidR="00345650" w:rsidRPr="00C31AF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rPr>
      </w:pPr>
      <w:bookmarkStart w:id="416" w:name="_Toc200486217"/>
      <w:proofErr w:type="spellStart"/>
      <w:r w:rsidRPr="00670BBF">
        <w:rPr>
          <w:rFonts w:asciiTheme="majorBidi" w:hAnsiTheme="majorBidi" w:cstheme="majorBidi"/>
          <w:lang w:val="en-US"/>
        </w:rPr>
        <w:lastRenderedPageBreak/>
        <w:t>Saleem</w:t>
      </w:r>
      <w:proofErr w:type="spellEnd"/>
      <w:r w:rsidRPr="00670BBF">
        <w:rPr>
          <w:rFonts w:asciiTheme="majorBidi" w:hAnsiTheme="majorBidi" w:cstheme="majorBidi"/>
          <w:lang w:val="en-US"/>
        </w:rPr>
        <w:t xml:space="preserve">, A., </w:t>
      </w:r>
      <w:proofErr w:type="spellStart"/>
      <w:r w:rsidRPr="00670BBF">
        <w:rPr>
          <w:rFonts w:asciiTheme="majorBidi" w:hAnsiTheme="majorBidi" w:cstheme="majorBidi"/>
          <w:lang w:val="en-US"/>
        </w:rPr>
        <w:t>Kausar</w:t>
      </w:r>
      <w:proofErr w:type="spellEnd"/>
      <w:r w:rsidRPr="00670BBF">
        <w:rPr>
          <w:rFonts w:asciiTheme="majorBidi" w:hAnsiTheme="majorBidi" w:cstheme="majorBidi"/>
          <w:lang w:val="en-US"/>
        </w:rPr>
        <w:t xml:space="preserve">, H., &amp; </w:t>
      </w:r>
      <w:proofErr w:type="spellStart"/>
      <w:r w:rsidRPr="00670BBF">
        <w:rPr>
          <w:rFonts w:asciiTheme="majorBidi" w:hAnsiTheme="majorBidi" w:cstheme="majorBidi"/>
          <w:lang w:val="en-US"/>
        </w:rPr>
        <w:t>Deeba</w:t>
      </w:r>
      <w:proofErr w:type="spellEnd"/>
      <w:r w:rsidRPr="00670BBF">
        <w:rPr>
          <w:rFonts w:asciiTheme="majorBidi" w:hAnsiTheme="majorBidi" w:cstheme="majorBidi"/>
          <w:lang w:val="en-US"/>
        </w:rPr>
        <w:t>, F. (2021). Social Constructivism: A New Paradigm in Teaching and Learning Environment. </w:t>
      </w:r>
      <w:r w:rsidRPr="00C31AFF">
        <w:rPr>
          <w:rFonts w:asciiTheme="majorBidi" w:hAnsiTheme="majorBidi" w:cstheme="majorBidi"/>
        </w:rPr>
        <w:t>PERENNIAL JOURNAL OF HISTORY.</w:t>
      </w:r>
      <w:bookmarkEnd w:id="416"/>
    </w:p>
    <w:p w14:paraId="348AAF72" w14:textId="77777777" w:rsidR="00345650" w:rsidRPr="00C31AF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rPr>
      </w:pPr>
      <w:bookmarkStart w:id="417" w:name="_Toc200486218"/>
      <w:proofErr w:type="spellStart"/>
      <w:r w:rsidRPr="00670BBF">
        <w:rPr>
          <w:rFonts w:asciiTheme="majorBidi" w:hAnsiTheme="majorBidi" w:cstheme="majorBidi"/>
          <w:lang w:val="en-US"/>
        </w:rPr>
        <w:t>Nugroho</w:t>
      </w:r>
      <w:proofErr w:type="spellEnd"/>
      <w:r w:rsidRPr="00670BBF">
        <w:rPr>
          <w:rFonts w:asciiTheme="majorBidi" w:hAnsiTheme="majorBidi" w:cstheme="majorBidi"/>
          <w:lang w:val="en-US"/>
        </w:rPr>
        <w:t>, K.Y., Anwar, C., &amp; Hartono, H. (2024). Social Constructivist Mentoring Program to Support Teacher Professional Development: An Action Research Approach. </w:t>
      </w:r>
      <w:r w:rsidRPr="00C31AFF">
        <w:rPr>
          <w:rFonts w:asciiTheme="majorBidi" w:hAnsiTheme="majorBidi" w:cstheme="majorBidi"/>
        </w:rPr>
        <w:t>The Qualitative Report.</w:t>
      </w:r>
      <w:bookmarkEnd w:id="417"/>
    </w:p>
    <w:p w14:paraId="47796568" w14:textId="77777777" w:rsidR="00345650" w:rsidRPr="00C31AF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rPr>
      </w:pPr>
      <w:bookmarkStart w:id="418" w:name="_Toc200486219"/>
      <w:r w:rsidRPr="00670BBF">
        <w:rPr>
          <w:rFonts w:asciiTheme="majorBidi" w:hAnsiTheme="majorBidi" w:cstheme="majorBidi"/>
          <w:lang w:val="en-US"/>
        </w:rPr>
        <w:t>O’Connor, Kevin. ‘Activity Theory’. The International Encyclopedia of Language and Social Interaction, edited by Karen Tracy et al., 1st ed., Wiley, 2015, pp. 1–10. </w:t>
      </w:r>
      <w:r w:rsidRPr="00C31AFF">
        <w:rPr>
          <w:rFonts w:asciiTheme="majorBidi" w:hAnsiTheme="majorBidi" w:cstheme="majorBidi"/>
        </w:rPr>
        <w:t xml:space="preserve">DOI.org, </w:t>
      </w:r>
      <w:hyperlink r:id="rId91" w:history="1">
        <w:r w:rsidRPr="00C31AFF">
          <w:rPr>
            <w:rStyle w:val="Lienhypertexte"/>
            <w:rFonts w:asciiTheme="majorBidi" w:hAnsiTheme="majorBidi" w:cstheme="majorBidi"/>
          </w:rPr>
          <w:t>https://doi.org/10.1002/9781118611463.wbielsi188</w:t>
        </w:r>
      </w:hyperlink>
      <w:r w:rsidRPr="00C31AFF">
        <w:rPr>
          <w:rFonts w:asciiTheme="majorBidi" w:hAnsiTheme="majorBidi" w:cstheme="majorBidi"/>
        </w:rPr>
        <w:t>.</w:t>
      </w:r>
      <w:bookmarkEnd w:id="418"/>
    </w:p>
    <w:p w14:paraId="17341B14" w14:textId="77777777" w:rsidR="00345650" w:rsidRPr="00670BB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lang w:val="en-US"/>
        </w:rPr>
      </w:pPr>
      <w:bookmarkStart w:id="419" w:name="_Toc200486220"/>
      <w:r w:rsidRPr="00670BBF">
        <w:rPr>
          <w:rFonts w:asciiTheme="majorBidi" w:hAnsiTheme="majorBidi" w:cstheme="majorBidi"/>
          <w:lang w:val="en-US"/>
        </w:rPr>
        <w:t>Trust, T. (2014). A Cultural Historical Activity Theory Perspective of Teacher Learning in the Edmodo Math Subject Community.</w:t>
      </w:r>
      <w:bookmarkEnd w:id="419"/>
    </w:p>
    <w:p w14:paraId="44FF8F01" w14:textId="77777777" w:rsidR="00345650" w:rsidRPr="00C31AF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rPr>
      </w:pPr>
      <w:bookmarkStart w:id="420" w:name="_Toc200486221"/>
      <w:r w:rsidRPr="00670BBF">
        <w:rPr>
          <w:rFonts w:asciiTheme="majorBidi" w:hAnsiTheme="majorBidi" w:cstheme="majorBidi"/>
          <w:lang w:val="en-US"/>
        </w:rPr>
        <w:t>Lim, C.P., Juliana, &amp; Liang, M. (2020). An activity theory approach toward teacher professional development at scale (</w:t>
      </w:r>
      <w:proofErr w:type="spellStart"/>
      <w:r w:rsidRPr="00670BBF">
        <w:rPr>
          <w:rFonts w:asciiTheme="majorBidi" w:hAnsiTheme="majorBidi" w:cstheme="majorBidi"/>
          <w:lang w:val="en-US"/>
        </w:rPr>
        <w:t>TPD@Scale</w:t>
      </w:r>
      <w:proofErr w:type="spellEnd"/>
      <w:r w:rsidRPr="00670BBF">
        <w:rPr>
          <w:rFonts w:asciiTheme="majorBidi" w:hAnsiTheme="majorBidi" w:cstheme="majorBidi"/>
          <w:lang w:val="en-US"/>
        </w:rPr>
        <w:t xml:space="preserve">): A case study of a </w:t>
      </w:r>
      <w:proofErr w:type="gramStart"/>
      <w:r w:rsidRPr="00670BBF">
        <w:rPr>
          <w:rFonts w:asciiTheme="majorBidi" w:hAnsiTheme="majorBidi" w:cstheme="majorBidi"/>
          <w:lang w:val="en-US"/>
        </w:rPr>
        <w:t>teacher learning</w:t>
      </w:r>
      <w:proofErr w:type="gramEnd"/>
      <w:r w:rsidRPr="00670BBF">
        <w:rPr>
          <w:rFonts w:asciiTheme="majorBidi" w:hAnsiTheme="majorBidi" w:cstheme="majorBidi"/>
          <w:lang w:val="en-US"/>
        </w:rPr>
        <w:t xml:space="preserve"> center in Indonesia. </w:t>
      </w:r>
      <w:r w:rsidRPr="00C31AFF">
        <w:rPr>
          <w:rFonts w:asciiTheme="majorBidi" w:hAnsiTheme="majorBidi" w:cstheme="majorBidi"/>
        </w:rPr>
        <w:t xml:space="preserve">Asia Pacific Education </w:t>
      </w:r>
      <w:proofErr w:type="spellStart"/>
      <w:r w:rsidRPr="00C31AFF">
        <w:rPr>
          <w:rFonts w:asciiTheme="majorBidi" w:hAnsiTheme="majorBidi" w:cstheme="majorBidi"/>
        </w:rPr>
        <w:t>Review</w:t>
      </w:r>
      <w:proofErr w:type="spellEnd"/>
      <w:r w:rsidRPr="00C31AFF">
        <w:rPr>
          <w:rFonts w:asciiTheme="majorBidi" w:hAnsiTheme="majorBidi" w:cstheme="majorBidi"/>
        </w:rPr>
        <w:t>, 21, 525 - 538.</w:t>
      </w:r>
      <w:bookmarkEnd w:id="420"/>
    </w:p>
    <w:p w14:paraId="1B1DF0CF" w14:textId="77777777" w:rsidR="00345650" w:rsidRPr="00C31AF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rPr>
      </w:pPr>
      <w:bookmarkStart w:id="421" w:name="_Toc200486222"/>
      <w:proofErr w:type="spellStart"/>
      <w:r w:rsidRPr="00670BBF">
        <w:rPr>
          <w:rFonts w:asciiTheme="majorBidi" w:hAnsiTheme="majorBidi" w:cstheme="majorBidi"/>
          <w:lang w:val="en-US"/>
        </w:rPr>
        <w:t>Barab</w:t>
      </w:r>
      <w:proofErr w:type="spellEnd"/>
      <w:r w:rsidRPr="00670BBF">
        <w:rPr>
          <w:rFonts w:asciiTheme="majorBidi" w:hAnsiTheme="majorBidi" w:cstheme="majorBidi"/>
          <w:lang w:val="en-US"/>
        </w:rPr>
        <w:t xml:space="preserve">, S.A., Schatz, S., &amp; </w:t>
      </w:r>
      <w:proofErr w:type="spellStart"/>
      <w:r w:rsidRPr="00670BBF">
        <w:rPr>
          <w:rFonts w:asciiTheme="majorBidi" w:hAnsiTheme="majorBidi" w:cstheme="majorBidi"/>
          <w:lang w:val="en-US"/>
        </w:rPr>
        <w:t>Scheckler</w:t>
      </w:r>
      <w:proofErr w:type="spellEnd"/>
      <w:r w:rsidRPr="00670BBF">
        <w:rPr>
          <w:rFonts w:asciiTheme="majorBidi" w:hAnsiTheme="majorBidi" w:cstheme="majorBidi"/>
          <w:lang w:val="en-US"/>
        </w:rPr>
        <w:t>, R. (2004). Using Activity Theory to Conceptualize Online Community and Using Online Community to Conceptualize Activity Theory. </w:t>
      </w:r>
      <w:proofErr w:type="spellStart"/>
      <w:r w:rsidRPr="00C31AFF">
        <w:rPr>
          <w:rFonts w:asciiTheme="majorBidi" w:hAnsiTheme="majorBidi" w:cstheme="majorBidi"/>
        </w:rPr>
        <w:t>Mind</w:t>
      </w:r>
      <w:proofErr w:type="spellEnd"/>
      <w:r w:rsidRPr="00C31AFF">
        <w:rPr>
          <w:rFonts w:asciiTheme="majorBidi" w:hAnsiTheme="majorBidi" w:cstheme="majorBidi"/>
        </w:rPr>
        <w:t>, Culture, and Activity, 11, 25 - 47.</w:t>
      </w:r>
      <w:bookmarkEnd w:id="421"/>
    </w:p>
    <w:p w14:paraId="66ABE7B3" w14:textId="77777777" w:rsidR="00345650" w:rsidRPr="00C31AF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rPr>
      </w:pPr>
      <w:bookmarkStart w:id="422" w:name="_Toc200486223"/>
      <w:proofErr w:type="spellStart"/>
      <w:r w:rsidRPr="00C31AFF">
        <w:rPr>
          <w:rFonts w:asciiTheme="majorBidi" w:hAnsiTheme="majorBidi" w:cstheme="majorBidi"/>
        </w:rPr>
        <w:t>Gurmesa</w:t>
      </w:r>
      <w:proofErr w:type="spellEnd"/>
      <w:r w:rsidRPr="00C31AFF">
        <w:rPr>
          <w:rFonts w:asciiTheme="majorBidi" w:hAnsiTheme="majorBidi" w:cstheme="majorBidi"/>
        </w:rPr>
        <w:t xml:space="preserve">, D.B., </w:t>
      </w:r>
      <w:proofErr w:type="spellStart"/>
      <w:r w:rsidRPr="00C31AFF">
        <w:rPr>
          <w:rFonts w:asciiTheme="majorBidi" w:hAnsiTheme="majorBidi" w:cstheme="majorBidi"/>
        </w:rPr>
        <w:t>Birbirs</w:t>
      </w:r>
      <w:proofErr w:type="spellEnd"/>
      <w:r w:rsidRPr="00C31AFF">
        <w:rPr>
          <w:rFonts w:asciiTheme="majorBidi" w:hAnsiTheme="majorBidi" w:cstheme="majorBidi"/>
        </w:rPr>
        <w:t xml:space="preserve">, D.T., Hussein, J.W., &amp; </w:t>
      </w:r>
      <w:proofErr w:type="spellStart"/>
      <w:r w:rsidRPr="00C31AFF">
        <w:rPr>
          <w:rFonts w:asciiTheme="majorBidi" w:hAnsiTheme="majorBidi" w:cstheme="majorBidi"/>
        </w:rPr>
        <w:t>Tsegaye</w:t>
      </w:r>
      <w:proofErr w:type="spellEnd"/>
      <w:r w:rsidRPr="00C31AFF">
        <w:rPr>
          <w:rFonts w:asciiTheme="majorBidi" w:hAnsiTheme="majorBidi" w:cstheme="majorBidi"/>
        </w:rPr>
        <w:t xml:space="preserve">, A.G. (2022). </w:t>
      </w:r>
      <w:r w:rsidRPr="00670BBF">
        <w:rPr>
          <w:rFonts w:asciiTheme="majorBidi" w:hAnsiTheme="majorBidi" w:cstheme="majorBidi"/>
          <w:lang w:val="en-US"/>
        </w:rPr>
        <w:t xml:space="preserve">Ethiopian Secondary School EFL Teachers’ Classroom Assessment Conceptions and Practices </w:t>
      </w:r>
      <w:proofErr w:type="gramStart"/>
      <w:r w:rsidRPr="00670BBF">
        <w:rPr>
          <w:rFonts w:asciiTheme="majorBidi" w:hAnsiTheme="majorBidi" w:cstheme="majorBidi"/>
          <w:lang w:val="en-US"/>
        </w:rPr>
        <w:t>from an Activity Theory Perspectives</w:t>
      </w:r>
      <w:proofErr w:type="gramEnd"/>
      <w:r w:rsidRPr="00670BBF">
        <w:rPr>
          <w:rFonts w:asciiTheme="majorBidi" w:hAnsiTheme="majorBidi" w:cstheme="majorBidi"/>
          <w:lang w:val="en-US"/>
        </w:rPr>
        <w:t>. </w:t>
      </w:r>
      <w:r w:rsidRPr="00C31AFF">
        <w:rPr>
          <w:rFonts w:asciiTheme="majorBidi" w:hAnsiTheme="majorBidi" w:cstheme="majorBidi"/>
        </w:rPr>
        <w:t xml:space="preserve">East </w:t>
      </w:r>
      <w:proofErr w:type="spellStart"/>
      <w:r w:rsidRPr="00C31AFF">
        <w:rPr>
          <w:rFonts w:asciiTheme="majorBidi" w:hAnsiTheme="majorBidi" w:cstheme="majorBidi"/>
        </w:rPr>
        <w:t>African</w:t>
      </w:r>
      <w:proofErr w:type="spellEnd"/>
      <w:r w:rsidRPr="00C31AFF">
        <w:rPr>
          <w:rFonts w:asciiTheme="majorBidi" w:hAnsiTheme="majorBidi" w:cstheme="majorBidi"/>
        </w:rPr>
        <w:t xml:space="preserve"> Journal of Education </w:t>
      </w:r>
      <w:proofErr w:type="spellStart"/>
      <w:r w:rsidRPr="00C31AFF">
        <w:rPr>
          <w:rFonts w:asciiTheme="majorBidi" w:hAnsiTheme="majorBidi" w:cstheme="majorBidi"/>
        </w:rPr>
        <w:t>Studies</w:t>
      </w:r>
      <w:proofErr w:type="spellEnd"/>
      <w:r w:rsidRPr="00C31AFF">
        <w:rPr>
          <w:rFonts w:asciiTheme="majorBidi" w:hAnsiTheme="majorBidi" w:cstheme="majorBidi"/>
        </w:rPr>
        <w:t>.</w:t>
      </w:r>
      <w:bookmarkEnd w:id="422"/>
    </w:p>
    <w:p w14:paraId="6BE4A833" w14:textId="77777777" w:rsidR="00345650" w:rsidRPr="00C31AF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rPr>
      </w:pPr>
      <w:bookmarkStart w:id="423" w:name="_Toc200486224"/>
      <w:proofErr w:type="spellStart"/>
      <w:r w:rsidRPr="00670BBF">
        <w:rPr>
          <w:rFonts w:asciiTheme="majorBidi" w:hAnsiTheme="majorBidi" w:cstheme="majorBidi"/>
          <w:lang w:val="en-US"/>
        </w:rPr>
        <w:t>Kaulback</w:t>
      </w:r>
      <w:proofErr w:type="spellEnd"/>
      <w:r w:rsidRPr="00670BBF">
        <w:rPr>
          <w:rFonts w:asciiTheme="majorBidi" w:hAnsiTheme="majorBidi" w:cstheme="majorBidi"/>
          <w:lang w:val="en-US"/>
        </w:rPr>
        <w:t>, B.G. (2012). Professional development and innovative pedagogy in an online community through the lens of activity theory. </w:t>
      </w:r>
      <w:proofErr w:type="spellStart"/>
      <w:r w:rsidRPr="00C31AFF">
        <w:rPr>
          <w:rFonts w:asciiTheme="majorBidi" w:hAnsiTheme="majorBidi" w:cstheme="majorBidi"/>
        </w:rPr>
        <w:t>Proceedings</w:t>
      </w:r>
      <w:proofErr w:type="spellEnd"/>
      <w:r w:rsidRPr="00C31AFF">
        <w:rPr>
          <w:rFonts w:asciiTheme="majorBidi" w:hAnsiTheme="majorBidi" w:cstheme="majorBidi"/>
        </w:rPr>
        <w:t xml:space="preserve"> of the International </w:t>
      </w:r>
      <w:proofErr w:type="spellStart"/>
      <w:r w:rsidRPr="00C31AFF">
        <w:rPr>
          <w:rFonts w:asciiTheme="majorBidi" w:hAnsiTheme="majorBidi" w:cstheme="majorBidi"/>
        </w:rPr>
        <w:t>Conference</w:t>
      </w:r>
      <w:proofErr w:type="spellEnd"/>
      <w:r w:rsidRPr="00C31AFF">
        <w:rPr>
          <w:rFonts w:asciiTheme="majorBidi" w:hAnsiTheme="majorBidi" w:cstheme="majorBidi"/>
        </w:rPr>
        <w:t xml:space="preserve"> on </w:t>
      </w:r>
      <w:proofErr w:type="spellStart"/>
      <w:r w:rsidRPr="00C31AFF">
        <w:rPr>
          <w:rFonts w:asciiTheme="majorBidi" w:hAnsiTheme="majorBidi" w:cstheme="majorBidi"/>
        </w:rPr>
        <w:t>Networked</w:t>
      </w:r>
      <w:proofErr w:type="spellEnd"/>
      <w:r w:rsidRPr="00C31AFF">
        <w:rPr>
          <w:rFonts w:asciiTheme="majorBidi" w:hAnsiTheme="majorBidi" w:cstheme="majorBidi"/>
        </w:rPr>
        <w:t xml:space="preserve"> Learning.</w:t>
      </w:r>
      <w:bookmarkEnd w:id="423"/>
    </w:p>
    <w:p w14:paraId="3E159521" w14:textId="77777777" w:rsidR="00345650" w:rsidRPr="00C31AF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rPr>
      </w:pPr>
      <w:bookmarkStart w:id="424" w:name="_Toc200486225"/>
      <w:r w:rsidRPr="00670BBF">
        <w:rPr>
          <w:rFonts w:asciiTheme="majorBidi" w:hAnsiTheme="majorBidi" w:cstheme="majorBidi"/>
          <w:lang w:val="en-US"/>
        </w:rPr>
        <w:t>Chen, K., Tseng, J., &amp; Oakley, B. (2024). Transforming Online Teacher Training Through Expansive Learning: A Case Study Applying Cultural-Historical Activity Theory and the Change Laboratory Method. </w:t>
      </w:r>
      <w:r w:rsidRPr="00C31AFF">
        <w:rPr>
          <w:rFonts w:asciiTheme="majorBidi" w:hAnsiTheme="majorBidi" w:cstheme="majorBidi"/>
        </w:rPr>
        <w:t xml:space="preserve">The Asia-Pacific Education </w:t>
      </w:r>
      <w:proofErr w:type="spellStart"/>
      <w:r w:rsidRPr="00C31AFF">
        <w:rPr>
          <w:rFonts w:asciiTheme="majorBidi" w:hAnsiTheme="majorBidi" w:cstheme="majorBidi"/>
        </w:rPr>
        <w:t>Researcher</w:t>
      </w:r>
      <w:proofErr w:type="spellEnd"/>
      <w:r w:rsidRPr="00C31AFF">
        <w:rPr>
          <w:rFonts w:asciiTheme="majorBidi" w:hAnsiTheme="majorBidi" w:cstheme="majorBidi"/>
        </w:rPr>
        <w:t>.</w:t>
      </w:r>
      <w:bookmarkEnd w:id="424"/>
    </w:p>
    <w:p w14:paraId="5D06DC57" w14:textId="77777777" w:rsidR="00345650" w:rsidRPr="00670BB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lang w:val="en-US"/>
        </w:rPr>
      </w:pPr>
      <w:bookmarkStart w:id="425" w:name="_Toc200486226"/>
      <w:proofErr w:type="spellStart"/>
      <w:r w:rsidRPr="00670BBF">
        <w:rPr>
          <w:rFonts w:asciiTheme="majorBidi" w:hAnsiTheme="majorBidi" w:cstheme="majorBidi"/>
          <w:lang w:val="en-US"/>
        </w:rPr>
        <w:t>Hashim</w:t>
      </w:r>
      <w:proofErr w:type="spellEnd"/>
      <w:r w:rsidRPr="00670BBF">
        <w:rPr>
          <w:rFonts w:asciiTheme="majorBidi" w:hAnsiTheme="majorBidi" w:cstheme="majorBidi"/>
          <w:lang w:val="en-US"/>
        </w:rPr>
        <w:t xml:space="preserve">, </w:t>
      </w:r>
      <w:proofErr w:type="gramStart"/>
      <w:r w:rsidRPr="00670BBF">
        <w:rPr>
          <w:rFonts w:asciiTheme="majorBidi" w:hAnsiTheme="majorBidi" w:cstheme="majorBidi"/>
          <w:lang w:val="en-US"/>
        </w:rPr>
        <w:t>Nor</w:t>
      </w:r>
      <w:proofErr w:type="gramEnd"/>
      <w:r w:rsidRPr="00670BBF">
        <w:rPr>
          <w:rFonts w:asciiTheme="majorBidi" w:hAnsiTheme="majorBidi" w:cstheme="majorBidi"/>
          <w:lang w:val="en-US"/>
        </w:rPr>
        <w:t xml:space="preserve"> </w:t>
      </w:r>
      <w:proofErr w:type="spellStart"/>
      <w:r w:rsidRPr="00670BBF">
        <w:rPr>
          <w:rFonts w:asciiTheme="majorBidi" w:hAnsiTheme="majorBidi" w:cstheme="majorBidi"/>
          <w:lang w:val="en-US"/>
        </w:rPr>
        <w:t>Hazlina</w:t>
      </w:r>
      <w:proofErr w:type="spellEnd"/>
      <w:r w:rsidRPr="00670BBF">
        <w:rPr>
          <w:rFonts w:asciiTheme="majorBidi" w:hAnsiTheme="majorBidi" w:cstheme="majorBidi"/>
          <w:lang w:val="en-US"/>
        </w:rPr>
        <w:t xml:space="preserve">, and Michael Jones. Activity Theory: A Framework for Qualitative Analysis. Jan. 2007. ro.uow.edu.au, </w:t>
      </w:r>
      <w:hyperlink r:id="rId92" w:history="1">
        <w:r w:rsidRPr="00670BBF">
          <w:rPr>
            <w:rStyle w:val="Lienhypertexte"/>
            <w:rFonts w:asciiTheme="majorBidi" w:hAnsiTheme="majorBidi" w:cstheme="majorBidi"/>
            <w:lang w:val="en-US"/>
          </w:rPr>
          <w:t>https://ro.uow.edu.au/articles/conference_contribution/Activity_theory_a_framework_for_qualitative_analysis/27796473/1</w:t>
        </w:r>
      </w:hyperlink>
      <w:r w:rsidRPr="00670BBF">
        <w:rPr>
          <w:rFonts w:asciiTheme="majorBidi" w:hAnsiTheme="majorBidi" w:cstheme="majorBidi"/>
          <w:lang w:val="en-US"/>
        </w:rPr>
        <w:t>.</w:t>
      </w:r>
      <w:bookmarkEnd w:id="425"/>
    </w:p>
    <w:p w14:paraId="6B3FEF23" w14:textId="77777777" w:rsidR="00345650" w:rsidRPr="00C31AF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rPr>
      </w:pPr>
      <w:bookmarkStart w:id="426" w:name="_Toc200486227"/>
      <w:r w:rsidRPr="00670BBF">
        <w:rPr>
          <w:rFonts w:asciiTheme="majorBidi" w:hAnsiTheme="majorBidi" w:cstheme="majorBidi"/>
          <w:lang w:val="en-US"/>
        </w:rPr>
        <w:t xml:space="preserve">Smith, N., &amp; </w:t>
      </w:r>
      <w:proofErr w:type="spellStart"/>
      <w:r w:rsidRPr="00670BBF">
        <w:rPr>
          <w:rFonts w:asciiTheme="majorBidi" w:hAnsiTheme="majorBidi" w:cstheme="majorBidi"/>
          <w:lang w:val="en-US"/>
        </w:rPr>
        <w:t>Holtzhausen</w:t>
      </w:r>
      <w:proofErr w:type="spellEnd"/>
      <w:r w:rsidRPr="00670BBF">
        <w:rPr>
          <w:rFonts w:asciiTheme="majorBidi" w:hAnsiTheme="majorBidi" w:cstheme="majorBidi"/>
          <w:lang w:val="en-US"/>
        </w:rPr>
        <w:t>, S. (2024). A transformative theory-based framework for intermediate phase pre-service language teachers’ application of transformative assessment practices. </w:t>
      </w:r>
      <w:r w:rsidRPr="00C31AFF">
        <w:rPr>
          <w:rFonts w:asciiTheme="majorBidi" w:hAnsiTheme="majorBidi" w:cstheme="majorBidi"/>
        </w:rPr>
        <w:t>Perspectives in Education.</w:t>
      </w:r>
      <w:bookmarkEnd w:id="426"/>
    </w:p>
    <w:p w14:paraId="0EC60362" w14:textId="77777777" w:rsidR="00345650" w:rsidRPr="00C31AF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rPr>
      </w:pPr>
      <w:bookmarkStart w:id="427" w:name="_Toc200486228"/>
      <w:r w:rsidRPr="00670BBF">
        <w:rPr>
          <w:rFonts w:asciiTheme="majorBidi" w:hAnsiTheme="majorBidi" w:cstheme="majorBidi"/>
          <w:lang w:val="en-US"/>
        </w:rPr>
        <w:t>Wang, Victor X., editor. Critical Theory and Transformative Learning: IGI Global, 2018. </w:t>
      </w:r>
      <w:r w:rsidRPr="00C31AFF">
        <w:rPr>
          <w:rFonts w:asciiTheme="majorBidi" w:hAnsiTheme="majorBidi" w:cstheme="majorBidi"/>
        </w:rPr>
        <w:t xml:space="preserve">DOI.org, </w:t>
      </w:r>
      <w:hyperlink r:id="rId93" w:history="1">
        <w:r w:rsidRPr="00C31AFF">
          <w:rPr>
            <w:rStyle w:val="Lienhypertexte"/>
            <w:rFonts w:asciiTheme="majorBidi" w:hAnsiTheme="majorBidi" w:cstheme="majorBidi"/>
          </w:rPr>
          <w:t>https://doi.org/10.4018/978-1-5225-6086-9</w:t>
        </w:r>
      </w:hyperlink>
      <w:r w:rsidRPr="00C31AFF">
        <w:rPr>
          <w:rFonts w:asciiTheme="majorBidi" w:hAnsiTheme="majorBidi" w:cstheme="majorBidi"/>
        </w:rPr>
        <w:t>.</w:t>
      </w:r>
      <w:bookmarkEnd w:id="427"/>
    </w:p>
    <w:p w14:paraId="5D7C8F35" w14:textId="77777777" w:rsidR="00345650" w:rsidRPr="00C31AF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rPr>
      </w:pPr>
      <w:bookmarkStart w:id="428" w:name="_Toc200486229"/>
      <w:proofErr w:type="spellStart"/>
      <w:r w:rsidRPr="00C31AFF">
        <w:rPr>
          <w:rFonts w:asciiTheme="majorBidi" w:hAnsiTheme="majorBidi" w:cstheme="majorBidi"/>
        </w:rPr>
        <w:t>Forté</w:t>
      </w:r>
      <w:proofErr w:type="spellEnd"/>
      <w:r w:rsidRPr="00C31AFF">
        <w:rPr>
          <w:rFonts w:asciiTheme="majorBidi" w:hAnsiTheme="majorBidi" w:cstheme="majorBidi"/>
        </w:rPr>
        <w:t xml:space="preserve">, K.S., &amp; Blouin, D.D. (2016). </w:t>
      </w:r>
      <w:r w:rsidRPr="00670BBF">
        <w:rPr>
          <w:rFonts w:asciiTheme="majorBidi" w:hAnsiTheme="majorBidi" w:cstheme="majorBidi"/>
          <w:lang w:val="en-US"/>
        </w:rPr>
        <w:t>Fostering Transformative Learning in an Online ESL Professional Development Program for K-12 Teachers. </w:t>
      </w:r>
      <w:r w:rsidRPr="00C31AFF">
        <w:rPr>
          <w:rFonts w:asciiTheme="majorBidi" w:hAnsiTheme="majorBidi" w:cstheme="majorBidi"/>
        </w:rPr>
        <w:t>The Qualitative Report, 21, 781-797.</w:t>
      </w:r>
      <w:bookmarkEnd w:id="428"/>
    </w:p>
    <w:p w14:paraId="0E8EBE79" w14:textId="77777777" w:rsidR="00345650" w:rsidRPr="00C31AF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rPr>
      </w:pPr>
      <w:bookmarkStart w:id="429" w:name="_Toc200486230"/>
      <w:r w:rsidRPr="00670BBF">
        <w:rPr>
          <w:rFonts w:asciiTheme="majorBidi" w:hAnsiTheme="majorBidi" w:cstheme="majorBidi"/>
          <w:lang w:val="en-US"/>
        </w:rPr>
        <w:t>Ade‐</w:t>
      </w:r>
      <w:proofErr w:type="spellStart"/>
      <w:r w:rsidRPr="00670BBF">
        <w:rPr>
          <w:rFonts w:asciiTheme="majorBidi" w:hAnsiTheme="majorBidi" w:cstheme="majorBidi"/>
          <w:lang w:val="en-US"/>
        </w:rPr>
        <w:t>Ojo</w:t>
      </w:r>
      <w:proofErr w:type="spellEnd"/>
      <w:r w:rsidRPr="00670BBF">
        <w:rPr>
          <w:rFonts w:asciiTheme="majorBidi" w:hAnsiTheme="majorBidi" w:cstheme="majorBidi"/>
          <w:lang w:val="en-US"/>
        </w:rPr>
        <w:t>, G.O., &amp; Duckworth, V. (2020). Moments in Transformation: Newly Qualified Lifelong Learning Teachers’ Reconceptualization of Assessment in Practice. </w:t>
      </w:r>
      <w:proofErr w:type="spellStart"/>
      <w:r w:rsidRPr="00C31AFF">
        <w:rPr>
          <w:rFonts w:asciiTheme="majorBidi" w:hAnsiTheme="majorBidi" w:cstheme="majorBidi"/>
        </w:rPr>
        <w:t>Creative</w:t>
      </w:r>
      <w:proofErr w:type="spellEnd"/>
      <w:r w:rsidRPr="00C31AFF">
        <w:rPr>
          <w:rFonts w:asciiTheme="majorBidi" w:hAnsiTheme="majorBidi" w:cstheme="majorBidi"/>
        </w:rPr>
        <w:t xml:space="preserve"> Education.</w:t>
      </w:r>
      <w:bookmarkEnd w:id="429"/>
    </w:p>
    <w:p w14:paraId="152DCFBF" w14:textId="77777777" w:rsidR="00345650" w:rsidRPr="00670BB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lang w:val="en-US"/>
        </w:rPr>
      </w:pPr>
      <w:bookmarkStart w:id="430" w:name="_Toc200486231"/>
      <w:r w:rsidRPr="00670BBF">
        <w:rPr>
          <w:rFonts w:asciiTheme="majorBidi" w:hAnsiTheme="majorBidi" w:cstheme="majorBidi"/>
          <w:lang w:val="en-US"/>
        </w:rPr>
        <w:t>Cochrane, K.E. (2016). Transformative learning in online professional development: a program evaluation.</w:t>
      </w:r>
      <w:bookmarkEnd w:id="430"/>
    </w:p>
    <w:p w14:paraId="1987972C" w14:textId="77777777" w:rsidR="00345650" w:rsidRPr="00670BB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lang w:val="en-US"/>
        </w:rPr>
      </w:pPr>
      <w:bookmarkStart w:id="431" w:name="_Toc200486232"/>
      <w:r w:rsidRPr="00670BBF">
        <w:rPr>
          <w:rFonts w:asciiTheme="majorBidi" w:hAnsiTheme="majorBidi" w:cstheme="majorBidi"/>
          <w:lang w:val="en-US"/>
        </w:rPr>
        <w:t xml:space="preserve">Mei, W.K., </w:t>
      </w:r>
      <w:proofErr w:type="spellStart"/>
      <w:r w:rsidRPr="00670BBF">
        <w:rPr>
          <w:rFonts w:asciiTheme="majorBidi" w:hAnsiTheme="majorBidi" w:cstheme="majorBidi"/>
          <w:lang w:val="en-US"/>
        </w:rPr>
        <w:t>Khair</w:t>
      </w:r>
      <w:proofErr w:type="spellEnd"/>
      <w:r w:rsidRPr="00670BBF">
        <w:rPr>
          <w:rFonts w:asciiTheme="majorBidi" w:hAnsiTheme="majorBidi" w:cstheme="majorBidi"/>
          <w:lang w:val="en-US"/>
        </w:rPr>
        <w:t>, Z., &amp; bin Othman, M.F. (2022). Transformational Learning in Teacher Context. International Journal of Academic Research in Business and Social Sciences.</w:t>
      </w:r>
      <w:bookmarkEnd w:id="431"/>
    </w:p>
    <w:p w14:paraId="01BF4316" w14:textId="77777777" w:rsidR="00345650" w:rsidRPr="00C31AF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rPr>
      </w:pPr>
      <w:bookmarkStart w:id="432" w:name="_Toc200486233"/>
      <w:r w:rsidRPr="00670BBF">
        <w:rPr>
          <w:rFonts w:asciiTheme="majorBidi" w:hAnsiTheme="majorBidi" w:cstheme="majorBidi"/>
          <w:lang w:val="en-US"/>
        </w:rPr>
        <w:t xml:space="preserve">Abdallah, M.M., &amp; </w:t>
      </w:r>
      <w:proofErr w:type="spellStart"/>
      <w:r w:rsidRPr="00670BBF">
        <w:rPr>
          <w:rFonts w:asciiTheme="majorBidi" w:hAnsiTheme="majorBidi" w:cstheme="majorBidi"/>
          <w:lang w:val="en-US"/>
        </w:rPr>
        <w:t>Waer</w:t>
      </w:r>
      <w:proofErr w:type="spellEnd"/>
      <w:r w:rsidRPr="00670BBF">
        <w:rPr>
          <w:rFonts w:asciiTheme="majorBidi" w:hAnsiTheme="majorBidi" w:cstheme="majorBidi"/>
          <w:lang w:val="en-US"/>
        </w:rPr>
        <w:t>, H. (2024). Exploring the Informal Online Practices of In-service English Language Teachers on Facebook as part of their Continuing Professional Development. </w:t>
      </w:r>
      <w:r w:rsidRPr="00C31AFF">
        <w:rPr>
          <w:rFonts w:asciiTheme="majorBidi" w:hAnsiTheme="majorBidi" w:cstheme="majorBidi"/>
        </w:rPr>
        <w:t xml:space="preserve">CDELT </w:t>
      </w:r>
      <w:proofErr w:type="spellStart"/>
      <w:r w:rsidRPr="00C31AFF">
        <w:rPr>
          <w:rFonts w:asciiTheme="majorBidi" w:hAnsiTheme="majorBidi" w:cstheme="majorBidi"/>
        </w:rPr>
        <w:t>Occasional</w:t>
      </w:r>
      <w:proofErr w:type="spellEnd"/>
      <w:r w:rsidRPr="00C31AFF">
        <w:rPr>
          <w:rFonts w:asciiTheme="majorBidi" w:hAnsiTheme="majorBidi" w:cstheme="majorBidi"/>
        </w:rPr>
        <w:t xml:space="preserve"> </w:t>
      </w:r>
      <w:proofErr w:type="spellStart"/>
      <w:r w:rsidRPr="00C31AFF">
        <w:rPr>
          <w:rFonts w:asciiTheme="majorBidi" w:hAnsiTheme="majorBidi" w:cstheme="majorBidi"/>
        </w:rPr>
        <w:t>Papers</w:t>
      </w:r>
      <w:proofErr w:type="spellEnd"/>
      <w:r w:rsidRPr="00C31AFF">
        <w:rPr>
          <w:rFonts w:asciiTheme="majorBidi" w:hAnsiTheme="majorBidi" w:cstheme="majorBidi"/>
        </w:rPr>
        <w:t xml:space="preserve"> in the </w:t>
      </w:r>
      <w:proofErr w:type="spellStart"/>
      <w:r w:rsidRPr="00C31AFF">
        <w:rPr>
          <w:rFonts w:asciiTheme="majorBidi" w:hAnsiTheme="majorBidi" w:cstheme="majorBidi"/>
        </w:rPr>
        <w:t>Development</w:t>
      </w:r>
      <w:proofErr w:type="spellEnd"/>
      <w:r w:rsidRPr="00C31AFF">
        <w:rPr>
          <w:rFonts w:asciiTheme="majorBidi" w:hAnsiTheme="majorBidi" w:cstheme="majorBidi"/>
        </w:rPr>
        <w:t xml:space="preserve"> of English Education.</w:t>
      </w:r>
      <w:bookmarkEnd w:id="432"/>
    </w:p>
    <w:p w14:paraId="217D5D24" w14:textId="77777777" w:rsidR="00345650" w:rsidRPr="00670BB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lang w:val="en-US"/>
        </w:rPr>
      </w:pPr>
      <w:bookmarkStart w:id="433" w:name="_Toc200486234"/>
      <w:proofErr w:type="spellStart"/>
      <w:r w:rsidRPr="00670BBF">
        <w:rPr>
          <w:rFonts w:asciiTheme="majorBidi" w:hAnsiTheme="majorBidi" w:cstheme="majorBidi"/>
          <w:lang w:val="en-US"/>
        </w:rPr>
        <w:t>Bettahar</w:t>
      </w:r>
      <w:proofErr w:type="spellEnd"/>
      <w:r w:rsidRPr="00670BBF">
        <w:rPr>
          <w:rFonts w:asciiTheme="majorBidi" w:hAnsiTheme="majorBidi" w:cstheme="majorBidi"/>
          <w:lang w:val="en-US"/>
        </w:rPr>
        <w:t xml:space="preserve">, </w:t>
      </w:r>
      <w:proofErr w:type="spellStart"/>
      <w:r w:rsidRPr="00670BBF">
        <w:rPr>
          <w:rFonts w:asciiTheme="majorBidi" w:hAnsiTheme="majorBidi" w:cstheme="majorBidi"/>
          <w:lang w:val="en-US"/>
        </w:rPr>
        <w:t>Keltoum</w:t>
      </w:r>
      <w:proofErr w:type="spellEnd"/>
      <w:r w:rsidRPr="00670BBF">
        <w:rPr>
          <w:rFonts w:asciiTheme="majorBidi" w:hAnsiTheme="majorBidi" w:cstheme="majorBidi"/>
          <w:lang w:val="en-US"/>
        </w:rPr>
        <w:t xml:space="preserve"> &amp; </w:t>
      </w:r>
      <w:proofErr w:type="spellStart"/>
      <w:r w:rsidRPr="00670BBF">
        <w:rPr>
          <w:rFonts w:asciiTheme="majorBidi" w:hAnsiTheme="majorBidi" w:cstheme="majorBidi"/>
          <w:lang w:val="en-US"/>
        </w:rPr>
        <w:t>Zourgui</w:t>
      </w:r>
      <w:proofErr w:type="spellEnd"/>
      <w:r w:rsidRPr="00670BBF">
        <w:rPr>
          <w:rFonts w:asciiTheme="majorBidi" w:hAnsiTheme="majorBidi" w:cstheme="majorBidi"/>
          <w:lang w:val="en-US"/>
        </w:rPr>
        <w:t>, Malika. (2024). Facebook as an Online Self-Directed Professional Learning Platform: EFL Middle-Level Education in Algeria. p71.</w:t>
      </w:r>
      <w:bookmarkEnd w:id="433"/>
    </w:p>
    <w:p w14:paraId="616ADFC2" w14:textId="77777777" w:rsidR="00345650" w:rsidRPr="00C31AF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rPr>
      </w:pPr>
      <w:bookmarkStart w:id="434" w:name="_Toc200486235"/>
      <w:r w:rsidRPr="00670BBF">
        <w:rPr>
          <w:rFonts w:asciiTheme="majorBidi" w:hAnsiTheme="majorBidi" w:cstheme="majorBidi"/>
          <w:lang w:val="en-US"/>
        </w:rPr>
        <w:lastRenderedPageBreak/>
        <w:t xml:space="preserve">Alonzo, Dennis, et al. ‘Using Social Media for Assessment Purposes: Practices and Future </w:t>
      </w:r>
      <w:proofErr w:type="gramStart"/>
      <w:r w:rsidRPr="00670BBF">
        <w:rPr>
          <w:rFonts w:asciiTheme="majorBidi" w:hAnsiTheme="majorBidi" w:cstheme="majorBidi"/>
          <w:lang w:val="en-US"/>
        </w:rPr>
        <w:t>Directions’</w:t>
      </w:r>
      <w:proofErr w:type="gramEnd"/>
      <w:r w:rsidRPr="00670BBF">
        <w:rPr>
          <w:rFonts w:asciiTheme="majorBidi" w:hAnsiTheme="majorBidi" w:cstheme="majorBidi"/>
          <w:lang w:val="en-US"/>
        </w:rPr>
        <w:t>. </w:t>
      </w:r>
      <w:proofErr w:type="spellStart"/>
      <w:r w:rsidRPr="00C31AFF">
        <w:rPr>
          <w:rFonts w:asciiTheme="majorBidi" w:hAnsiTheme="majorBidi" w:cstheme="majorBidi"/>
        </w:rPr>
        <w:t>Frontiers</w:t>
      </w:r>
      <w:proofErr w:type="spellEnd"/>
      <w:r w:rsidRPr="00C31AFF">
        <w:rPr>
          <w:rFonts w:asciiTheme="majorBidi" w:hAnsiTheme="majorBidi" w:cstheme="majorBidi"/>
        </w:rPr>
        <w:t xml:space="preserve"> in Psychology, vol. 13, Jan. 2023, p. 1075818. DOI.org, </w:t>
      </w:r>
      <w:hyperlink r:id="rId94" w:history="1">
        <w:r w:rsidRPr="00C31AFF">
          <w:rPr>
            <w:rStyle w:val="Lienhypertexte"/>
            <w:rFonts w:asciiTheme="majorBidi" w:hAnsiTheme="majorBidi" w:cstheme="majorBidi"/>
          </w:rPr>
          <w:t>https://doi.org/10.3389/fpsyg.2022.1075818</w:t>
        </w:r>
      </w:hyperlink>
      <w:r w:rsidRPr="00C31AFF">
        <w:rPr>
          <w:rFonts w:asciiTheme="majorBidi" w:hAnsiTheme="majorBidi" w:cstheme="majorBidi"/>
        </w:rPr>
        <w:t>.</w:t>
      </w:r>
      <w:bookmarkEnd w:id="434"/>
    </w:p>
    <w:p w14:paraId="5C16F05D" w14:textId="77777777" w:rsidR="00345650" w:rsidRPr="00C31AF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rPr>
      </w:pPr>
      <w:bookmarkStart w:id="435" w:name="_Toc200486236"/>
      <w:r w:rsidRPr="00670BBF">
        <w:rPr>
          <w:rFonts w:asciiTheme="majorBidi" w:hAnsiTheme="majorBidi" w:cstheme="majorBidi"/>
          <w:lang w:val="en-US"/>
        </w:rPr>
        <w:t xml:space="preserve">Mohamed </w:t>
      </w:r>
      <w:proofErr w:type="spellStart"/>
      <w:r w:rsidRPr="00670BBF">
        <w:rPr>
          <w:rFonts w:asciiTheme="majorBidi" w:hAnsiTheme="majorBidi" w:cstheme="majorBidi"/>
          <w:lang w:val="en-US"/>
        </w:rPr>
        <w:t>Behiry</w:t>
      </w:r>
      <w:proofErr w:type="spellEnd"/>
      <w:r w:rsidRPr="00670BBF">
        <w:rPr>
          <w:rFonts w:asciiTheme="majorBidi" w:hAnsiTheme="majorBidi" w:cstheme="majorBidi"/>
          <w:lang w:val="en-US"/>
        </w:rPr>
        <w:t xml:space="preserve">, N., </w:t>
      </w:r>
      <w:proofErr w:type="spellStart"/>
      <w:r w:rsidRPr="00670BBF">
        <w:rPr>
          <w:rFonts w:asciiTheme="majorBidi" w:hAnsiTheme="majorBidi" w:cstheme="majorBidi"/>
          <w:lang w:val="en-US"/>
        </w:rPr>
        <w:t>Naguib</w:t>
      </w:r>
      <w:proofErr w:type="spellEnd"/>
      <w:r w:rsidRPr="00670BBF">
        <w:rPr>
          <w:rFonts w:asciiTheme="majorBidi" w:hAnsiTheme="majorBidi" w:cstheme="majorBidi"/>
          <w:lang w:val="en-US"/>
        </w:rPr>
        <w:t xml:space="preserve">, S.M., &amp; El </w:t>
      </w:r>
      <w:proofErr w:type="spellStart"/>
      <w:r w:rsidRPr="00670BBF">
        <w:rPr>
          <w:rFonts w:asciiTheme="majorBidi" w:hAnsiTheme="majorBidi" w:cstheme="majorBidi"/>
          <w:lang w:val="en-US"/>
        </w:rPr>
        <w:t>Bassuony</w:t>
      </w:r>
      <w:proofErr w:type="spellEnd"/>
      <w:r w:rsidRPr="00670BBF">
        <w:rPr>
          <w:rFonts w:asciiTheme="majorBidi" w:hAnsiTheme="majorBidi" w:cstheme="majorBidi"/>
          <w:lang w:val="en-US"/>
        </w:rPr>
        <w:t>, J. (2025). A Program Based on Online Professional Learning Communities to Develop Cognitive Authentic Assessment Skills of EFL Teachers. </w:t>
      </w:r>
      <w:r w:rsidRPr="00C31AFF">
        <w:rPr>
          <w:rFonts w:asciiTheme="majorBidi" w:hAnsiTheme="majorBidi" w:cstheme="majorBidi"/>
        </w:rPr>
        <w:t xml:space="preserve">Port </w:t>
      </w:r>
      <w:proofErr w:type="spellStart"/>
      <w:r w:rsidRPr="00C31AFF">
        <w:rPr>
          <w:rFonts w:asciiTheme="majorBidi" w:hAnsiTheme="majorBidi" w:cstheme="majorBidi"/>
        </w:rPr>
        <w:t>Said</w:t>
      </w:r>
      <w:proofErr w:type="spellEnd"/>
      <w:r w:rsidRPr="00C31AFF">
        <w:rPr>
          <w:rFonts w:asciiTheme="majorBidi" w:hAnsiTheme="majorBidi" w:cstheme="majorBidi"/>
        </w:rPr>
        <w:t xml:space="preserve"> Journal of </w:t>
      </w:r>
      <w:proofErr w:type="spellStart"/>
      <w:r w:rsidRPr="00C31AFF">
        <w:rPr>
          <w:rFonts w:asciiTheme="majorBidi" w:hAnsiTheme="majorBidi" w:cstheme="majorBidi"/>
        </w:rPr>
        <w:t>Educational</w:t>
      </w:r>
      <w:proofErr w:type="spellEnd"/>
      <w:r w:rsidRPr="00C31AFF">
        <w:rPr>
          <w:rFonts w:asciiTheme="majorBidi" w:hAnsiTheme="majorBidi" w:cstheme="majorBidi"/>
        </w:rPr>
        <w:t xml:space="preserve"> </w:t>
      </w:r>
      <w:proofErr w:type="spellStart"/>
      <w:r w:rsidRPr="00C31AFF">
        <w:rPr>
          <w:rFonts w:asciiTheme="majorBidi" w:hAnsiTheme="majorBidi" w:cstheme="majorBidi"/>
        </w:rPr>
        <w:t>Research</w:t>
      </w:r>
      <w:proofErr w:type="spellEnd"/>
      <w:r w:rsidRPr="00C31AFF">
        <w:rPr>
          <w:rFonts w:asciiTheme="majorBidi" w:hAnsiTheme="majorBidi" w:cstheme="majorBidi"/>
        </w:rPr>
        <w:t>.</w:t>
      </w:r>
      <w:bookmarkEnd w:id="435"/>
    </w:p>
    <w:p w14:paraId="77100649" w14:textId="77777777" w:rsidR="00345650" w:rsidRPr="00C31AF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rPr>
      </w:pPr>
      <w:bookmarkStart w:id="436" w:name="_Toc200486237"/>
      <w:proofErr w:type="spellStart"/>
      <w:r w:rsidRPr="00C31AFF">
        <w:rPr>
          <w:rFonts w:asciiTheme="majorBidi" w:hAnsiTheme="majorBidi" w:cstheme="majorBidi"/>
        </w:rPr>
        <w:t>Yildirim</w:t>
      </w:r>
      <w:proofErr w:type="spellEnd"/>
      <w:r w:rsidRPr="00C31AFF">
        <w:rPr>
          <w:rFonts w:asciiTheme="majorBidi" w:hAnsiTheme="majorBidi" w:cstheme="majorBidi"/>
        </w:rPr>
        <w:t xml:space="preserve">, A., </w:t>
      </w:r>
      <w:proofErr w:type="spellStart"/>
      <w:r w:rsidRPr="00C31AFF">
        <w:rPr>
          <w:rFonts w:asciiTheme="majorBidi" w:hAnsiTheme="majorBidi" w:cstheme="majorBidi"/>
        </w:rPr>
        <w:t>Stjernkvist</w:t>
      </w:r>
      <w:proofErr w:type="spellEnd"/>
      <w:r w:rsidRPr="00C31AFF">
        <w:rPr>
          <w:rFonts w:asciiTheme="majorBidi" w:hAnsiTheme="majorBidi" w:cstheme="majorBidi"/>
        </w:rPr>
        <w:t xml:space="preserve">, M.P., </w:t>
      </w:r>
      <w:proofErr w:type="spellStart"/>
      <w:r w:rsidRPr="00C31AFF">
        <w:rPr>
          <w:rFonts w:asciiTheme="majorBidi" w:hAnsiTheme="majorBidi" w:cstheme="majorBidi"/>
        </w:rPr>
        <w:t>Hildén</w:t>
      </w:r>
      <w:proofErr w:type="spellEnd"/>
      <w:r w:rsidRPr="00C31AFF">
        <w:rPr>
          <w:rFonts w:asciiTheme="majorBidi" w:hAnsiTheme="majorBidi" w:cstheme="majorBidi"/>
        </w:rPr>
        <w:t xml:space="preserve">, R., </w:t>
      </w:r>
      <w:proofErr w:type="spellStart"/>
      <w:r w:rsidRPr="00C31AFF">
        <w:rPr>
          <w:rFonts w:asciiTheme="majorBidi" w:hAnsiTheme="majorBidi" w:cstheme="majorBidi"/>
        </w:rPr>
        <w:t>Fröjdendahl</w:t>
      </w:r>
      <w:proofErr w:type="spellEnd"/>
      <w:r w:rsidRPr="00C31AFF">
        <w:rPr>
          <w:rFonts w:asciiTheme="majorBidi" w:hAnsiTheme="majorBidi" w:cstheme="majorBidi"/>
        </w:rPr>
        <w:t xml:space="preserve">, B., &amp; </w:t>
      </w:r>
      <w:proofErr w:type="spellStart"/>
      <w:r w:rsidRPr="00C31AFF">
        <w:rPr>
          <w:rFonts w:asciiTheme="majorBidi" w:hAnsiTheme="majorBidi" w:cstheme="majorBidi"/>
        </w:rPr>
        <w:t>Oscarson</w:t>
      </w:r>
      <w:proofErr w:type="spellEnd"/>
      <w:r w:rsidRPr="00C31AFF">
        <w:rPr>
          <w:rFonts w:asciiTheme="majorBidi" w:hAnsiTheme="majorBidi" w:cstheme="majorBidi"/>
        </w:rPr>
        <w:t xml:space="preserve">, A.D. (2024). </w:t>
      </w:r>
      <w:r w:rsidRPr="00670BBF">
        <w:rPr>
          <w:rFonts w:asciiTheme="majorBidi" w:hAnsiTheme="majorBidi" w:cstheme="majorBidi"/>
          <w:lang w:val="en-US"/>
        </w:rPr>
        <w:t>Developing summative assessment literacy: Novice language teachers' perceptions in Sweden and Finland. </w:t>
      </w:r>
      <w:proofErr w:type="spellStart"/>
      <w:r w:rsidRPr="00C31AFF">
        <w:rPr>
          <w:rFonts w:asciiTheme="majorBidi" w:hAnsiTheme="majorBidi" w:cstheme="majorBidi"/>
        </w:rPr>
        <w:t>Review</w:t>
      </w:r>
      <w:proofErr w:type="spellEnd"/>
      <w:r w:rsidRPr="00C31AFF">
        <w:rPr>
          <w:rFonts w:asciiTheme="majorBidi" w:hAnsiTheme="majorBidi" w:cstheme="majorBidi"/>
        </w:rPr>
        <w:t xml:space="preserve"> of Education.</w:t>
      </w:r>
      <w:bookmarkEnd w:id="436"/>
    </w:p>
    <w:p w14:paraId="3CCE0AF1" w14:textId="77777777" w:rsidR="00345650" w:rsidRPr="00C31AFF" w:rsidRDefault="00345650" w:rsidP="00FE6499">
      <w:pPr>
        <w:pStyle w:val="Paragraphedeliste"/>
        <w:numPr>
          <w:ilvl w:val="0"/>
          <w:numId w:val="13"/>
        </w:numPr>
        <w:spacing w:before="100" w:beforeAutospacing="1" w:after="100" w:afterAutospacing="1"/>
        <w:ind w:hanging="720"/>
        <w:contextualSpacing w:val="0"/>
        <w:rPr>
          <w:rFonts w:asciiTheme="majorBidi" w:hAnsiTheme="majorBidi" w:cstheme="majorBidi"/>
        </w:rPr>
      </w:pPr>
      <w:bookmarkStart w:id="437" w:name="_Toc200486238"/>
      <w:r w:rsidRPr="00670BBF">
        <w:rPr>
          <w:rFonts w:asciiTheme="majorBidi" w:hAnsiTheme="majorBidi" w:cstheme="majorBidi"/>
          <w:lang w:val="en-US"/>
        </w:rPr>
        <w:t>Kothari, C. R. (2004). </w:t>
      </w:r>
      <w:r w:rsidRPr="00670BBF">
        <w:rPr>
          <w:rFonts w:asciiTheme="majorBidi" w:hAnsiTheme="majorBidi" w:cstheme="majorBidi"/>
          <w:i/>
          <w:iCs/>
          <w:lang w:val="en-US"/>
        </w:rPr>
        <w:t>Research methodology: Methods and techniques</w:t>
      </w:r>
      <w:r w:rsidRPr="00670BBF">
        <w:rPr>
          <w:rFonts w:asciiTheme="majorBidi" w:hAnsiTheme="majorBidi" w:cstheme="majorBidi"/>
          <w:lang w:val="en-US"/>
        </w:rPr>
        <w:t xml:space="preserve">. </w:t>
      </w:r>
      <w:r w:rsidRPr="00C31AFF">
        <w:rPr>
          <w:rFonts w:asciiTheme="majorBidi" w:hAnsiTheme="majorBidi" w:cstheme="majorBidi"/>
        </w:rPr>
        <w:t>New Age International.</w:t>
      </w:r>
      <w:bookmarkEnd w:id="437"/>
    </w:p>
    <w:p w14:paraId="47869318" w14:textId="77777777" w:rsidR="00345650" w:rsidRDefault="00345650" w:rsidP="00FE6499">
      <w:pPr>
        <w:spacing w:before="100" w:beforeAutospacing="1" w:after="100" w:afterAutospacing="1"/>
        <w:ind w:hanging="720"/>
        <w:rPr>
          <w:rFonts w:asciiTheme="majorBidi" w:hAnsiTheme="majorBidi" w:cstheme="majorBidi"/>
        </w:rPr>
      </w:pPr>
    </w:p>
    <w:p w14:paraId="4654EED4" w14:textId="77777777" w:rsidR="00345650" w:rsidRDefault="00345650" w:rsidP="00FE6499">
      <w:pPr>
        <w:spacing w:before="100" w:beforeAutospacing="1" w:after="100" w:afterAutospacing="1"/>
        <w:ind w:hanging="720"/>
        <w:rPr>
          <w:rFonts w:asciiTheme="majorBidi" w:hAnsiTheme="majorBidi" w:cstheme="majorBidi"/>
        </w:rPr>
      </w:pPr>
    </w:p>
    <w:p w14:paraId="189AC2F7" w14:textId="77777777" w:rsidR="00345650" w:rsidRDefault="00345650" w:rsidP="002C67BF">
      <w:pPr>
        <w:ind w:hanging="2"/>
        <w:rPr>
          <w:rFonts w:asciiTheme="majorBidi" w:hAnsiTheme="majorBidi" w:cstheme="majorBidi"/>
        </w:rPr>
      </w:pPr>
    </w:p>
    <w:p w14:paraId="2874C893" w14:textId="77777777" w:rsidR="00E319DB" w:rsidRDefault="00E319DB" w:rsidP="00C31AFF">
      <w:pPr>
        <w:rPr>
          <w:rFonts w:asciiTheme="majorBidi" w:hAnsiTheme="majorBidi" w:cstheme="majorBidi"/>
        </w:rPr>
      </w:pPr>
    </w:p>
    <w:p w14:paraId="5DA01950" w14:textId="77777777" w:rsidR="003A7AA4" w:rsidRDefault="003A7AA4" w:rsidP="00C31AFF">
      <w:pPr>
        <w:rPr>
          <w:rFonts w:asciiTheme="majorBidi" w:hAnsiTheme="majorBidi" w:cstheme="majorBidi"/>
        </w:rPr>
      </w:pPr>
    </w:p>
    <w:p w14:paraId="7828BF35" w14:textId="77777777" w:rsidR="003A7AA4" w:rsidRDefault="003A7AA4" w:rsidP="00C31AFF">
      <w:pPr>
        <w:rPr>
          <w:rFonts w:asciiTheme="majorBidi" w:hAnsiTheme="majorBidi" w:cstheme="majorBidi"/>
        </w:rPr>
      </w:pPr>
    </w:p>
    <w:p w14:paraId="7C35F62D" w14:textId="77777777" w:rsidR="003A7AA4" w:rsidRDefault="003A7AA4" w:rsidP="00C31AFF">
      <w:pPr>
        <w:rPr>
          <w:rFonts w:asciiTheme="majorBidi" w:hAnsiTheme="majorBidi" w:cstheme="majorBidi"/>
        </w:rPr>
      </w:pPr>
    </w:p>
    <w:p w14:paraId="4419DA97" w14:textId="77777777" w:rsidR="003A7AA4" w:rsidRDefault="003A7AA4" w:rsidP="00C31AFF">
      <w:pPr>
        <w:rPr>
          <w:rFonts w:asciiTheme="majorBidi" w:hAnsiTheme="majorBidi" w:cstheme="majorBidi"/>
        </w:rPr>
      </w:pPr>
    </w:p>
    <w:p w14:paraId="70BB0AF2" w14:textId="77777777" w:rsidR="003A7AA4" w:rsidRDefault="003A7AA4" w:rsidP="00C31AFF">
      <w:pPr>
        <w:rPr>
          <w:rFonts w:asciiTheme="majorBidi" w:hAnsiTheme="majorBidi" w:cstheme="majorBidi"/>
        </w:rPr>
      </w:pPr>
    </w:p>
    <w:p w14:paraId="56B9F334" w14:textId="77777777" w:rsidR="003A7AA4" w:rsidRDefault="003A7AA4" w:rsidP="00C31AFF">
      <w:pPr>
        <w:rPr>
          <w:rFonts w:asciiTheme="majorBidi" w:hAnsiTheme="majorBidi" w:cstheme="majorBidi"/>
        </w:rPr>
      </w:pPr>
    </w:p>
    <w:p w14:paraId="337AA7A9" w14:textId="77777777" w:rsidR="003A7AA4" w:rsidRDefault="003A7AA4" w:rsidP="00C31AFF">
      <w:pPr>
        <w:rPr>
          <w:rFonts w:asciiTheme="majorBidi" w:hAnsiTheme="majorBidi" w:cstheme="majorBidi"/>
        </w:rPr>
      </w:pPr>
    </w:p>
    <w:p w14:paraId="3431A7DC" w14:textId="77777777" w:rsidR="003A7AA4" w:rsidRDefault="003A7AA4" w:rsidP="00C31AFF">
      <w:pPr>
        <w:rPr>
          <w:rFonts w:asciiTheme="majorBidi" w:hAnsiTheme="majorBidi" w:cstheme="majorBidi"/>
        </w:rPr>
      </w:pPr>
    </w:p>
    <w:p w14:paraId="0025642B" w14:textId="77777777" w:rsidR="003A7AA4" w:rsidRDefault="003A7AA4" w:rsidP="00C31AFF">
      <w:pPr>
        <w:rPr>
          <w:rFonts w:asciiTheme="majorBidi" w:hAnsiTheme="majorBidi" w:cstheme="majorBidi"/>
        </w:rPr>
      </w:pPr>
    </w:p>
    <w:p w14:paraId="1C2E4BB5" w14:textId="77777777" w:rsidR="003A7AA4" w:rsidRDefault="003A7AA4" w:rsidP="00C31AFF">
      <w:pPr>
        <w:rPr>
          <w:rFonts w:asciiTheme="majorBidi" w:hAnsiTheme="majorBidi" w:cstheme="majorBidi"/>
        </w:rPr>
      </w:pPr>
    </w:p>
    <w:p w14:paraId="26579EEF" w14:textId="77777777" w:rsidR="003A7AA4" w:rsidRDefault="003A7AA4" w:rsidP="00C31AFF">
      <w:pPr>
        <w:rPr>
          <w:rFonts w:asciiTheme="majorBidi" w:hAnsiTheme="majorBidi" w:cstheme="majorBidi"/>
        </w:rPr>
      </w:pPr>
    </w:p>
    <w:p w14:paraId="5D148E62" w14:textId="77777777" w:rsidR="003A7AA4" w:rsidRDefault="003A7AA4" w:rsidP="00C31AFF">
      <w:pPr>
        <w:rPr>
          <w:rFonts w:asciiTheme="majorBidi" w:hAnsiTheme="majorBidi" w:cstheme="majorBidi"/>
        </w:rPr>
      </w:pPr>
    </w:p>
    <w:p w14:paraId="4039EF08" w14:textId="77777777" w:rsidR="003A7AA4" w:rsidRDefault="003A7AA4" w:rsidP="00C31AFF">
      <w:pPr>
        <w:rPr>
          <w:rFonts w:asciiTheme="majorBidi" w:hAnsiTheme="majorBidi" w:cstheme="majorBidi"/>
        </w:rPr>
      </w:pPr>
    </w:p>
    <w:p w14:paraId="07DC00FF" w14:textId="77777777" w:rsidR="003A7AA4" w:rsidRDefault="003A7AA4" w:rsidP="00C31AFF">
      <w:pPr>
        <w:rPr>
          <w:rFonts w:asciiTheme="majorBidi" w:hAnsiTheme="majorBidi" w:cstheme="majorBidi"/>
        </w:rPr>
      </w:pPr>
    </w:p>
    <w:p w14:paraId="217B7E0E" w14:textId="77777777" w:rsidR="003A7AA4" w:rsidRDefault="003A7AA4" w:rsidP="00C31AFF">
      <w:pPr>
        <w:rPr>
          <w:rFonts w:asciiTheme="majorBidi" w:hAnsiTheme="majorBidi" w:cstheme="majorBidi"/>
        </w:rPr>
      </w:pPr>
    </w:p>
    <w:p w14:paraId="1E723A30" w14:textId="77777777" w:rsidR="003A7AA4" w:rsidRDefault="003A7AA4" w:rsidP="00C31AFF">
      <w:pPr>
        <w:rPr>
          <w:rFonts w:asciiTheme="majorBidi" w:hAnsiTheme="majorBidi" w:cstheme="majorBidi"/>
        </w:rPr>
      </w:pPr>
    </w:p>
    <w:p w14:paraId="697DECC3" w14:textId="77777777" w:rsidR="003A7AA4" w:rsidRDefault="003A7AA4" w:rsidP="00C31AFF">
      <w:pPr>
        <w:rPr>
          <w:rFonts w:asciiTheme="majorBidi" w:hAnsiTheme="majorBidi" w:cstheme="majorBidi"/>
        </w:rPr>
      </w:pPr>
    </w:p>
    <w:p w14:paraId="19C51D66" w14:textId="77777777" w:rsidR="003A7AA4" w:rsidRDefault="003A7AA4" w:rsidP="00C31AFF">
      <w:pPr>
        <w:rPr>
          <w:rFonts w:asciiTheme="majorBidi" w:hAnsiTheme="majorBidi" w:cstheme="majorBidi"/>
        </w:rPr>
      </w:pPr>
    </w:p>
    <w:p w14:paraId="03BAA33C" w14:textId="77777777" w:rsidR="003A7AA4" w:rsidRDefault="003A7AA4" w:rsidP="00C31AFF">
      <w:pPr>
        <w:rPr>
          <w:rFonts w:asciiTheme="majorBidi" w:hAnsiTheme="majorBidi" w:cstheme="majorBidi"/>
        </w:rPr>
      </w:pPr>
    </w:p>
    <w:p w14:paraId="7D6AAAC1" w14:textId="77777777" w:rsidR="003A7AA4" w:rsidRDefault="003A7AA4" w:rsidP="00C31AFF">
      <w:pPr>
        <w:rPr>
          <w:rFonts w:asciiTheme="majorBidi" w:hAnsiTheme="majorBidi" w:cstheme="majorBidi"/>
        </w:rPr>
      </w:pPr>
    </w:p>
    <w:p w14:paraId="426ED639" w14:textId="77777777" w:rsidR="003A7AA4" w:rsidRDefault="003A7AA4" w:rsidP="00C31AFF">
      <w:pPr>
        <w:rPr>
          <w:rFonts w:asciiTheme="majorBidi" w:hAnsiTheme="majorBidi" w:cstheme="majorBidi"/>
        </w:rPr>
      </w:pPr>
    </w:p>
    <w:p w14:paraId="446D244F" w14:textId="77777777" w:rsidR="003A7AA4" w:rsidRDefault="003A7AA4" w:rsidP="00C31AFF">
      <w:pPr>
        <w:rPr>
          <w:rFonts w:asciiTheme="majorBidi" w:hAnsiTheme="majorBidi" w:cstheme="majorBidi"/>
        </w:rPr>
      </w:pPr>
    </w:p>
    <w:p w14:paraId="44766B36" w14:textId="77777777" w:rsidR="003A7AA4" w:rsidRDefault="003A7AA4" w:rsidP="00C31AFF">
      <w:pPr>
        <w:rPr>
          <w:rFonts w:asciiTheme="majorBidi" w:hAnsiTheme="majorBidi" w:cstheme="majorBidi"/>
        </w:rPr>
      </w:pPr>
    </w:p>
    <w:p w14:paraId="12F42D99" w14:textId="77777777" w:rsidR="003A7AA4" w:rsidRDefault="003A7AA4" w:rsidP="00C31AFF">
      <w:pPr>
        <w:rPr>
          <w:rFonts w:asciiTheme="majorBidi" w:hAnsiTheme="majorBidi" w:cstheme="majorBidi"/>
        </w:rPr>
      </w:pPr>
    </w:p>
    <w:p w14:paraId="7C43F2B1" w14:textId="77777777" w:rsidR="003A7AA4" w:rsidRDefault="003A7AA4" w:rsidP="00C31AFF">
      <w:pPr>
        <w:rPr>
          <w:rFonts w:asciiTheme="majorBidi" w:hAnsiTheme="majorBidi" w:cstheme="majorBidi"/>
        </w:rPr>
      </w:pPr>
    </w:p>
    <w:p w14:paraId="215F9FA6" w14:textId="77777777" w:rsidR="003A7AA4" w:rsidRDefault="003A7AA4" w:rsidP="00C31AFF">
      <w:pPr>
        <w:rPr>
          <w:rFonts w:asciiTheme="majorBidi" w:hAnsiTheme="majorBidi" w:cstheme="majorBidi"/>
        </w:rPr>
      </w:pPr>
    </w:p>
    <w:p w14:paraId="411E06F0" w14:textId="77777777" w:rsidR="00144152" w:rsidRDefault="00144152" w:rsidP="00C31AFF">
      <w:pPr>
        <w:rPr>
          <w:rFonts w:asciiTheme="majorBidi" w:hAnsiTheme="majorBidi" w:cstheme="majorBidi"/>
        </w:rPr>
      </w:pPr>
    </w:p>
    <w:p w14:paraId="0B0573AE" w14:textId="77777777" w:rsidR="00345650" w:rsidRDefault="00345650" w:rsidP="002C67BF">
      <w:pPr>
        <w:ind w:hanging="2"/>
        <w:rPr>
          <w:rFonts w:asciiTheme="majorBidi" w:hAnsiTheme="majorBidi" w:cstheme="majorBidi"/>
        </w:rPr>
      </w:pPr>
    </w:p>
    <w:p w14:paraId="2FEFF4C8" w14:textId="77777777" w:rsidR="00345650" w:rsidRDefault="00345650" w:rsidP="00E319DB">
      <w:pPr>
        <w:rPr>
          <w:rFonts w:asciiTheme="majorBidi" w:hAnsiTheme="majorBidi" w:cstheme="majorBidi"/>
        </w:rPr>
      </w:pPr>
    </w:p>
    <w:p w14:paraId="6579EB72" w14:textId="77777777" w:rsidR="00345650" w:rsidRDefault="00345650" w:rsidP="002C67BF">
      <w:pPr>
        <w:ind w:hanging="2"/>
        <w:rPr>
          <w:rFonts w:asciiTheme="majorBidi" w:hAnsiTheme="majorBidi" w:cstheme="majorBidi"/>
        </w:rPr>
      </w:pPr>
    </w:p>
    <w:p w14:paraId="5A0B5AE6" w14:textId="77777777" w:rsidR="00F64A53" w:rsidRPr="00766384" w:rsidRDefault="00F64A53" w:rsidP="002C67BF">
      <w:pPr>
        <w:ind w:hanging="2"/>
        <w:sectPr w:rsidR="00F64A53" w:rsidRPr="00766384" w:rsidSect="004538F6">
          <w:pgSz w:w="11907" w:h="16840"/>
          <w:pgMar w:top="1440" w:right="1440" w:bottom="1440" w:left="1440" w:header="0" w:footer="0" w:gutter="0"/>
          <w:cols w:space="720"/>
        </w:sectPr>
      </w:pPr>
      <w:bookmarkStart w:id="438" w:name="_Toc199830545"/>
    </w:p>
    <w:p w14:paraId="14431194" w14:textId="77777777" w:rsidR="00345650" w:rsidRPr="00691526" w:rsidRDefault="00345650" w:rsidP="00AA5DBF">
      <w:pPr>
        <w:pStyle w:val="Titre1"/>
      </w:pPr>
      <w:bookmarkStart w:id="439" w:name="_Toc200486239"/>
      <w:r w:rsidRPr="00691526">
        <w:lastRenderedPageBreak/>
        <w:t>Appendices</w:t>
      </w:r>
      <w:bookmarkEnd w:id="438"/>
      <w:bookmarkEnd w:id="439"/>
    </w:p>
    <w:p w14:paraId="6F20F1D0" w14:textId="77777777" w:rsidR="00345650" w:rsidRPr="00345650" w:rsidRDefault="00345650" w:rsidP="002C67BF">
      <w:pPr>
        <w:ind w:hanging="2"/>
        <w:rPr>
          <w:lang w:bidi="ar-DZ"/>
        </w:rPr>
      </w:pPr>
    </w:p>
    <w:p w14:paraId="6C060985" w14:textId="77777777" w:rsidR="00345650" w:rsidRDefault="00345650" w:rsidP="00E319DB">
      <w:pPr>
        <w:ind w:hanging="2"/>
        <w:rPr>
          <w:b/>
          <w:bCs/>
        </w:rPr>
      </w:pPr>
      <w:bookmarkStart w:id="440" w:name="_Toc199830546"/>
      <w:bookmarkStart w:id="441" w:name="_Toc200486240"/>
      <w:r w:rsidRPr="00E319DB">
        <w:rPr>
          <w:b/>
          <w:bCs/>
        </w:rPr>
        <w:t>Appendix A</w:t>
      </w:r>
      <w:bookmarkEnd w:id="440"/>
      <w:bookmarkEnd w:id="441"/>
    </w:p>
    <w:p w14:paraId="3F4A247A" w14:textId="77777777" w:rsidR="00C31AFF" w:rsidRPr="00E319DB" w:rsidRDefault="00C31AFF" w:rsidP="00E319DB">
      <w:pPr>
        <w:ind w:hanging="2"/>
        <w:rPr>
          <w:b/>
          <w:bCs/>
        </w:rPr>
      </w:pPr>
    </w:p>
    <w:bookmarkStart w:id="442" w:name="_Toc200486241"/>
    <w:p w14:paraId="3EA81A58" w14:textId="77777777" w:rsidR="00345650" w:rsidRDefault="00345650" w:rsidP="002C67BF">
      <w:pPr>
        <w:ind w:hanging="2"/>
        <w:rPr>
          <w:rFonts w:asciiTheme="majorBidi" w:hAnsiTheme="majorBidi" w:cstheme="majorBidi"/>
          <w:b/>
          <w:bCs/>
        </w:rPr>
      </w:pPr>
      <w:r w:rsidRPr="005557A6">
        <w:rPr>
          <w:rFonts w:ascii="Calibri" w:eastAsia="Calibri" w:hAnsi="Calibri" w:cs="Arial"/>
          <w:noProof/>
          <w:lang w:val="fr-FR" w:eastAsia="fr-FR"/>
        </w:rPr>
        <mc:AlternateContent>
          <mc:Choice Requires="wps">
            <w:drawing>
              <wp:anchor distT="0" distB="0" distL="114300" distR="114300" simplePos="0" relativeHeight="251643904" behindDoc="0" locked="0" layoutInCell="1" allowOverlap="1" wp14:anchorId="42B0506E" wp14:editId="066D09D6">
                <wp:simplePos x="0" y="0"/>
                <wp:positionH relativeFrom="column">
                  <wp:posOffset>0</wp:posOffset>
                </wp:positionH>
                <wp:positionV relativeFrom="paragraph">
                  <wp:posOffset>-635</wp:posOffset>
                </wp:positionV>
                <wp:extent cx="2559050" cy="2520950"/>
                <wp:effectExtent l="0" t="0" r="12700" b="12700"/>
                <wp:wrapNone/>
                <wp:docPr id="1427437331" name="Zone de texte 2"/>
                <wp:cNvGraphicFramePr/>
                <a:graphic xmlns:a="http://schemas.openxmlformats.org/drawingml/2006/main">
                  <a:graphicData uri="http://schemas.microsoft.com/office/word/2010/wordprocessingShape">
                    <wps:wsp>
                      <wps:cNvSpPr txBox="1"/>
                      <wps:spPr>
                        <a:xfrm>
                          <a:off x="0" y="0"/>
                          <a:ext cx="2559050" cy="2520950"/>
                        </a:xfrm>
                        <a:prstGeom prst="rect">
                          <a:avLst/>
                        </a:prstGeom>
                        <a:solidFill>
                          <a:sysClr val="window" lastClr="FFFFFF"/>
                        </a:solidFill>
                        <a:ln w="6350">
                          <a:solidFill>
                            <a:prstClr val="black"/>
                          </a:solidFill>
                        </a:ln>
                      </wps:spPr>
                      <wps:txbx>
                        <w:txbxContent>
                          <w:p w14:paraId="021EF169" w14:textId="77777777" w:rsidR="00345650" w:rsidRDefault="00345650" w:rsidP="00345650">
                            <w:pPr>
                              <w:ind w:hanging="2"/>
                            </w:pPr>
                            <w:bookmarkStart w:id="443" w:name="_Toc200486242"/>
                            <w:r w:rsidRPr="00A161F4">
                              <w:rPr>
                                <w:noProof/>
                                <w:lang w:val="fr-FR" w:eastAsia="fr-FR"/>
                              </w:rPr>
                              <w:drawing>
                                <wp:inline distT="0" distB="0" distL="0" distR="0" wp14:anchorId="7C4B2708" wp14:editId="6A254BF9">
                                  <wp:extent cx="2343150" cy="2336800"/>
                                  <wp:effectExtent l="0" t="0" r="0" b="6350"/>
                                  <wp:docPr id="1655882952"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748477" name=""/>
                                          <pic:cNvPicPr/>
                                        </pic:nvPicPr>
                                        <pic:blipFill>
                                          <a:blip r:embed="rId95"/>
                                          <a:stretch>
                                            <a:fillRect/>
                                          </a:stretch>
                                        </pic:blipFill>
                                        <pic:spPr>
                                          <a:xfrm>
                                            <a:off x="0" y="0"/>
                                            <a:ext cx="2343150" cy="2336800"/>
                                          </a:xfrm>
                                          <a:prstGeom prst="rect">
                                            <a:avLst/>
                                          </a:prstGeom>
                                        </pic:spPr>
                                      </pic:pic>
                                    </a:graphicData>
                                  </a:graphic>
                                </wp:inline>
                              </w:drawing>
                            </w:r>
                            <w:bookmarkEnd w:id="443"/>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42B0506E" id="_x0000_t202" coordsize="21600,21600" o:spt="202" path="m,l,21600r21600,l21600,xe">
                <v:stroke joinstyle="miter"/>
                <v:path gradientshapeok="t" o:connecttype="rect"/>
              </v:shapetype>
              <v:shape id="Zone de texte 2" o:spid="_x0000_s1029" type="#_x0000_t202" style="position:absolute;margin-left:0;margin-top:-.05pt;width:201.5pt;height:198.5pt;z-index:251643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" fillcolor="window" strokeweight=".5pt">
                <v:textbox>
                  <w:txbxContent>
                    <w:p w14:paraId="021EF169" w14:textId="77777777" w:rsidR="00345650" w:rsidRDefault="00345650" w:rsidP="00345650">
                      <w:pPr>
                        <w:ind w:hanging="2"/>
                      </w:pPr>
                      <w:bookmarkStart w:id="450" w:name="_Toc200486242"/>
                      <w:r w:rsidRPr="00A161F4">
                        <w:rPr>
                          <w:noProof/>
                        </w:rPr>
                        <w:drawing>
                          <wp:inline distT="0" distB="0" distL="0" distR="0" wp14:anchorId="7C4B2708" wp14:editId="6A254BF9">
                            <wp:extent cx="2343150" cy="2336800"/>
                            <wp:effectExtent l="0" t="0" r="0" b="6350"/>
                            <wp:docPr id="1655882952"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748477" name=""/>
                                    <pic:cNvPicPr/>
                                  </pic:nvPicPr>
                                  <pic:blipFill>
                                    <a:blip r:embed="rId96"/>
                                    <a:stretch>
                                      <a:fillRect/>
                                    </a:stretch>
                                  </pic:blipFill>
                                  <pic:spPr>
                                    <a:xfrm>
                                      <a:off x="0" y="0"/>
                                      <a:ext cx="2343150" cy="2336800"/>
                                    </a:xfrm>
                                    <a:prstGeom prst="rect">
                                      <a:avLst/>
                                    </a:prstGeom>
                                  </pic:spPr>
                                </pic:pic>
                              </a:graphicData>
                            </a:graphic>
                          </wp:inline>
                        </w:drawing>
                      </w:r>
                      <w:bookmarkEnd w:id="450"/>
                    </w:p>
                  </w:txbxContent>
                </v:textbox>
              </v:shape>
            </w:pict>
          </mc:Fallback>
        </mc:AlternateContent>
      </w:r>
      <w:r w:rsidRPr="005557A6">
        <w:rPr>
          <w:rFonts w:ascii="Calibri" w:eastAsia="Calibri" w:hAnsi="Calibri" w:cs="Arial"/>
          <w:noProof/>
          <w:lang w:val="fr-FR" w:eastAsia="fr-FR"/>
        </w:rPr>
        <mc:AlternateContent>
          <mc:Choice Requires="wps">
            <w:drawing>
              <wp:anchor distT="0" distB="0" distL="114300" distR="114300" simplePos="0" relativeHeight="251644928" behindDoc="0" locked="0" layoutInCell="1" allowOverlap="1" wp14:anchorId="04133C20" wp14:editId="201EF7DD">
                <wp:simplePos x="0" y="0"/>
                <wp:positionH relativeFrom="margin">
                  <wp:posOffset>3009900</wp:posOffset>
                </wp:positionH>
                <wp:positionV relativeFrom="paragraph">
                  <wp:posOffset>24765</wp:posOffset>
                </wp:positionV>
                <wp:extent cx="2628900" cy="2501900"/>
                <wp:effectExtent l="0" t="0" r="19050" b="12700"/>
                <wp:wrapNone/>
                <wp:docPr id="77860410" name="Zone de texte 3"/>
                <wp:cNvGraphicFramePr/>
                <a:graphic xmlns:a="http://schemas.openxmlformats.org/drawingml/2006/main">
                  <a:graphicData uri="http://schemas.microsoft.com/office/word/2010/wordprocessingShape">
                    <wps:wsp>
                      <wps:cNvSpPr txBox="1"/>
                      <wps:spPr>
                        <a:xfrm>
                          <a:off x="0" y="0"/>
                          <a:ext cx="2628900" cy="2501900"/>
                        </a:xfrm>
                        <a:prstGeom prst="rect">
                          <a:avLst/>
                        </a:prstGeom>
                        <a:solidFill>
                          <a:sysClr val="window" lastClr="FFFFFF"/>
                        </a:solidFill>
                        <a:ln w="6350">
                          <a:solidFill>
                            <a:prstClr val="black"/>
                          </a:solidFill>
                        </a:ln>
                      </wps:spPr>
                      <wps:txbx>
                        <w:txbxContent>
                          <w:p w14:paraId="33E08937" w14:textId="77777777" w:rsidR="00345650" w:rsidRDefault="00345650" w:rsidP="00345650">
                            <w:pPr>
                              <w:ind w:hanging="2"/>
                            </w:pPr>
                            <w:bookmarkStart w:id="444" w:name="_Toc200486243"/>
                            <w:r w:rsidRPr="00A161F4">
                              <w:rPr>
                                <w:noProof/>
                                <w:lang w:val="fr-FR" w:eastAsia="fr-FR"/>
                              </w:rPr>
                              <w:drawing>
                                <wp:inline distT="0" distB="0" distL="0" distR="0" wp14:anchorId="4BA48AF8" wp14:editId="02742078">
                                  <wp:extent cx="2374900" cy="2404110"/>
                                  <wp:effectExtent l="0" t="0" r="6350" b="0"/>
                                  <wp:docPr id="1675048469"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82655" name=""/>
                                          <pic:cNvPicPr/>
                                        </pic:nvPicPr>
                                        <pic:blipFill>
                                          <a:blip r:embed="rId97"/>
                                          <a:stretch>
                                            <a:fillRect/>
                                          </a:stretch>
                                        </pic:blipFill>
                                        <pic:spPr>
                                          <a:xfrm>
                                            <a:off x="0" y="0"/>
                                            <a:ext cx="2374900" cy="2404110"/>
                                          </a:xfrm>
                                          <a:prstGeom prst="rect">
                                            <a:avLst/>
                                          </a:prstGeom>
                                        </pic:spPr>
                                      </pic:pic>
                                    </a:graphicData>
                                  </a:graphic>
                                </wp:inline>
                              </w:drawing>
                            </w:r>
                            <w:bookmarkEnd w:id="444"/>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4133C20" id="Zone de texte 3" o:spid="_x0000_s1030" type="#_x0000_t202" style="position:absolute;margin-left:237pt;margin-top:1.95pt;width:207pt;height:197pt;z-index:2516449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" fillcolor="window" strokeweight=".5pt">
                <v:textbox>
                  <w:txbxContent>
                    <w:p w14:paraId="33E08937" w14:textId="77777777" w:rsidR="00345650" w:rsidRDefault="00345650" w:rsidP="00345650">
                      <w:pPr>
                        <w:ind w:hanging="2"/>
                      </w:pPr>
                      <w:bookmarkStart w:id="452" w:name="_Toc200486243"/>
                      <w:r w:rsidRPr="00A161F4">
                        <w:rPr>
                          <w:noProof/>
                        </w:rPr>
                        <w:drawing>
                          <wp:inline distT="0" distB="0" distL="0" distR="0" wp14:anchorId="4BA48AF8" wp14:editId="02742078">
                            <wp:extent cx="2374900" cy="2404110"/>
                            <wp:effectExtent l="0" t="0" r="6350" b="0"/>
                            <wp:docPr id="1675048469"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82655" name=""/>
                                    <pic:cNvPicPr/>
                                  </pic:nvPicPr>
                                  <pic:blipFill>
                                    <a:blip r:embed="rId98"/>
                                    <a:stretch>
                                      <a:fillRect/>
                                    </a:stretch>
                                  </pic:blipFill>
                                  <pic:spPr>
                                    <a:xfrm>
                                      <a:off x="0" y="0"/>
                                      <a:ext cx="2374900" cy="2404110"/>
                                    </a:xfrm>
                                    <a:prstGeom prst="rect">
                                      <a:avLst/>
                                    </a:prstGeom>
                                  </pic:spPr>
                                </pic:pic>
                              </a:graphicData>
                            </a:graphic>
                          </wp:inline>
                        </w:drawing>
                      </w:r>
                      <w:bookmarkEnd w:id="452"/>
                    </w:p>
                  </w:txbxContent>
                </v:textbox>
                <w10:wrap anchorx="margin"/>
              </v:shape>
            </w:pict>
          </mc:Fallback>
        </mc:AlternateContent>
      </w:r>
      <w:r w:rsidRPr="005557A6">
        <w:rPr>
          <w:rFonts w:ascii="Calibri" w:eastAsia="Calibri" w:hAnsi="Calibri" w:cs="Arial"/>
          <w:noProof/>
          <w:lang w:val="fr-FR" w:eastAsia="fr-FR"/>
        </w:rPr>
        <mc:AlternateContent>
          <mc:Choice Requires="wps">
            <w:drawing>
              <wp:anchor distT="0" distB="0" distL="114300" distR="114300" simplePos="0" relativeHeight="251645952" behindDoc="0" locked="0" layoutInCell="1" allowOverlap="1" wp14:anchorId="35DC8865" wp14:editId="5F1797B3">
                <wp:simplePos x="0" y="0"/>
                <wp:positionH relativeFrom="column">
                  <wp:posOffset>749300</wp:posOffset>
                </wp:positionH>
                <wp:positionV relativeFrom="paragraph">
                  <wp:posOffset>2748915</wp:posOffset>
                </wp:positionV>
                <wp:extent cx="914400" cy="361950"/>
                <wp:effectExtent l="0" t="0" r="20320" b="19050"/>
                <wp:wrapNone/>
                <wp:docPr id="919011836" name="Zone de texte 5"/>
                <wp:cNvGraphicFramePr/>
                <a:graphic xmlns:a="http://schemas.openxmlformats.org/drawingml/2006/main">
                  <a:graphicData uri="http://schemas.microsoft.com/office/word/2010/wordprocessingShape">
                    <wps:wsp>
                      <wps:cNvSpPr txBox="1"/>
                      <wps:spPr>
                        <a:xfrm>
                          <a:off x="0" y="0"/>
                          <a:ext cx="914400" cy="361950"/>
                        </a:xfrm>
                        <a:prstGeom prst="rect">
                          <a:avLst/>
                        </a:prstGeom>
                        <a:solidFill>
                          <a:sysClr val="window" lastClr="FFFFFF"/>
                        </a:solidFill>
                        <a:ln w="6350">
                          <a:solidFill>
                            <a:prstClr val="black"/>
                          </a:solidFill>
                        </a:ln>
                      </wps:spPr>
                      <wps:txbx>
                        <w:txbxContent>
                          <w:p w14:paraId="3C0E3CF0" w14:textId="77777777" w:rsidR="00345650" w:rsidRPr="005557A6" w:rsidRDefault="00345650" w:rsidP="00345650">
                            <w:pPr>
                              <w:ind w:hanging="2"/>
                            </w:pPr>
                            <w:bookmarkStart w:id="445" w:name="_Toc200486244"/>
                            <w:r w:rsidRPr="005557A6">
                              <w:t>Image 1</w:t>
                            </w:r>
                            <w:bookmarkEnd w:id="445"/>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5DC8865" id="Zone de texte 5" o:spid="_x0000_s1031" type="#_x0000_t202" style="position:absolute;margin-left:59pt;margin-top:216.45pt;width:1in;height:28.5pt;z-index:251645952;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" fillcolor="window" strokeweight=".5pt">
                <v:textbox>
                  <w:txbxContent>
                    <w:p w14:paraId="3C0E3CF0" w14:textId="77777777" w:rsidR="00345650" w:rsidRPr="005557A6" w:rsidRDefault="00345650" w:rsidP="00345650">
                      <w:pPr>
                        <w:ind w:hanging="2"/>
                      </w:pPr>
                      <w:bookmarkStart w:id="454" w:name="_Toc200486244"/>
                      <w:r w:rsidRPr="005557A6">
                        <w:t>Image 1</w:t>
                      </w:r>
                      <w:bookmarkEnd w:id="454"/>
                    </w:p>
                  </w:txbxContent>
                </v:textbox>
              </v:shape>
            </w:pict>
          </mc:Fallback>
        </mc:AlternateContent>
      </w:r>
      <w:r w:rsidRPr="005557A6">
        <w:rPr>
          <w:rFonts w:ascii="Calibri" w:eastAsia="Calibri" w:hAnsi="Calibri" w:cs="Arial"/>
          <w:noProof/>
          <w:lang w:val="fr-FR" w:eastAsia="fr-FR"/>
        </w:rPr>
        <mc:AlternateContent>
          <mc:Choice Requires="wps">
            <w:drawing>
              <wp:anchor distT="0" distB="0" distL="114300" distR="114300" simplePos="0" relativeHeight="251646976" behindDoc="0" locked="0" layoutInCell="1" allowOverlap="1" wp14:anchorId="2F8FF814" wp14:editId="272393A2">
                <wp:simplePos x="0" y="0"/>
                <wp:positionH relativeFrom="column">
                  <wp:posOffset>4038600</wp:posOffset>
                </wp:positionH>
                <wp:positionV relativeFrom="paragraph">
                  <wp:posOffset>2761615</wp:posOffset>
                </wp:positionV>
                <wp:extent cx="914400" cy="361950"/>
                <wp:effectExtent l="0" t="0" r="20320" b="19050"/>
                <wp:wrapNone/>
                <wp:docPr id="651953568" name="Zone de texte 6"/>
                <wp:cNvGraphicFramePr/>
                <a:graphic xmlns:a="http://schemas.openxmlformats.org/drawingml/2006/main">
                  <a:graphicData uri="http://schemas.microsoft.com/office/word/2010/wordprocessingShape">
                    <wps:wsp>
                      <wps:cNvSpPr txBox="1"/>
                      <wps:spPr>
                        <a:xfrm>
                          <a:off x="0" y="0"/>
                          <a:ext cx="914400" cy="361950"/>
                        </a:xfrm>
                        <a:prstGeom prst="rect">
                          <a:avLst/>
                        </a:prstGeom>
                        <a:solidFill>
                          <a:sysClr val="window" lastClr="FFFFFF"/>
                        </a:solidFill>
                        <a:ln w="6350">
                          <a:solidFill>
                            <a:prstClr val="black"/>
                          </a:solidFill>
                        </a:ln>
                      </wps:spPr>
                      <wps:txbx>
                        <w:txbxContent>
                          <w:p w14:paraId="274EE979" w14:textId="77777777" w:rsidR="00345650" w:rsidRPr="005557A6" w:rsidRDefault="00345650" w:rsidP="00345650">
                            <w:pPr>
                              <w:ind w:hanging="2"/>
                            </w:pPr>
                            <w:bookmarkStart w:id="446" w:name="_Toc200486245"/>
                            <w:r w:rsidRPr="005557A6">
                              <w:t>Image 2</w:t>
                            </w:r>
                            <w:bookmarkEnd w:id="446"/>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F8FF814" id="Zone de texte 6" o:spid="_x0000_s1032" type="#_x0000_t202" style="position:absolute;margin-left:318pt;margin-top:217.45pt;width:1in;height:28.5pt;z-index:251646976;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" fillcolor="window" strokeweight=".5pt">
                <v:textbox>
                  <w:txbxContent>
                    <w:p w14:paraId="274EE979" w14:textId="77777777" w:rsidR="00345650" w:rsidRPr="005557A6" w:rsidRDefault="00345650" w:rsidP="00345650">
                      <w:pPr>
                        <w:ind w:hanging="2"/>
                      </w:pPr>
                      <w:bookmarkStart w:id="456" w:name="_Toc200486245"/>
                      <w:r w:rsidRPr="005557A6">
                        <w:t>Image 2</w:t>
                      </w:r>
                      <w:bookmarkEnd w:id="456"/>
                    </w:p>
                  </w:txbxContent>
                </v:textbox>
              </v:shape>
            </w:pict>
          </mc:Fallback>
        </mc:AlternateContent>
      </w:r>
      <w:bookmarkEnd w:id="442"/>
    </w:p>
    <w:p w14:paraId="52077284" w14:textId="77777777" w:rsidR="00345650" w:rsidRPr="00237A52" w:rsidRDefault="00345650" w:rsidP="002C67BF">
      <w:pPr>
        <w:ind w:hanging="2"/>
        <w:rPr>
          <w:rFonts w:asciiTheme="majorBidi" w:hAnsiTheme="majorBidi" w:cstheme="majorBidi"/>
        </w:rPr>
      </w:pPr>
    </w:p>
    <w:p w14:paraId="02C115E9" w14:textId="77777777" w:rsidR="00345650" w:rsidRPr="00237A52" w:rsidRDefault="00345650" w:rsidP="002C67BF">
      <w:pPr>
        <w:ind w:hanging="2"/>
        <w:rPr>
          <w:rFonts w:asciiTheme="majorBidi" w:hAnsiTheme="majorBidi" w:cstheme="majorBidi"/>
        </w:rPr>
      </w:pPr>
    </w:p>
    <w:p w14:paraId="44724AF6" w14:textId="77777777" w:rsidR="00345650" w:rsidRPr="00237A52" w:rsidRDefault="00345650" w:rsidP="002C67BF">
      <w:pPr>
        <w:ind w:hanging="2"/>
        <w:rPr>
          <w:rFonts w:asciiTheme="majorBidi" w:hAnsiTheme="majorBidi" w:cstheme="majorBidi"/>
        </w:rPr>
      </w:pPr>
    </w:p>
    <w:p w14:paraId="6FB28580" w14:textId="77777777" w:rsidR="00345650" w:rsidRPr="00237A52" w:rsidRDefault="00345650" w:rsidP="002C67BF">
      <w:pPr>
        <w:ind w:hanging="2"/>
        <w:rPr>
          <w:rFonts w:asciiTheme="majorBidi" w:hAnsiTheme="majorBidi" w:cstheme="majorBidi"/>
        </w:rPr>
      </w:pPr>
    </w:p>
    <w:p w14:paraId="2EB870F1" w14:textId="77777777" w:rsidR="00345650" w:rsidRPr="00237A52" w:rsidRDefault="00345650" w:rsidP="002C67BF">
      <w:pPr>
        <w:ind w:hanging="2"/>
        <w:rPr>
          <w:rFonts w:asciiTheme="majorBidi" w:hAnsiTheme="majorBidi" w:cstheme="majorBidi"/>
        </w:rPr>
      </w:pPr>
    </w:p>
    <w:p w14:paraId="74D1A7B0" w14:textId="77777777" w:rsidR="00345650" w:rsidRPr="00237A52" w:rsidRDefault="00345650" w:rsidP="002C67BF">
      <w:pPr>
        <w:ind w:hanging="2"/>
        <w:rPr>
          <w:rFonts w:asciiTheme="majorBidi" w:hAnsiTheme="majorBidi" w:cstheme="majorBidi"/>
        </w:rPr>
      </w:pPr>
    </w:p>
    <w:p w14:paraId="2A1AF87C" w14:textId="77777777" w:rsidR="00345650" w:rsidRPr="00237A52" w:rsidRDefault="00345650" w:rsidP="002C67BF">
      <w:pPr>
        <w:ind w:hanging="2"/>
        <w:rPr>
          <w:rFonts w:asciiTheme="majorBidi" w:hAnsiTheme="majorBidi" w:cstheme="majorBidi"/>
        </w:rPr>
      </w:pPr>
    </w:p>
    <w:p w14:paraId="67BB761A" w14:textId="77777777" w:rsidR="00345650" w:rsidRPr="00237A52" w:rsidRDefault="00345650" w:rsidP="002C67BF">
      <w:pPr>
        <w:ind w:hanging="2"/>
        <w:rPr>
          <w:rFonts w:asciiTheme="majorBidi" w:hAnsiTheme="majorBidi" w:cstheme="majorBidi"/>
        </w:rPr>
      </w:pPr>
    </w:p>
    <w:p w14:paraId="1DAEA11C" w14:textId="77777777" w:rsidR="00345650" w:rsidRDefault="00345650" w:rsidP="002C67BF">
      <w:pPr>
        <w:ind w:hanging="2"/>
        <w:rPr>
          <w:rFonts w:asciiTheme="majorBidi" w:hAnsiTheme="majorBidi" w:cstheme="majorBidi"/>
        </w:rPr>
      </w:pPr>
    </w:p>
    <w:p w14:paraId="6AA8AF4B" w14:textId="77777777" w:rsidR="00345650" w:rsidRDefault="00345650" w:rsidP="002C67BF">
      <w:pPr>
        <w:ind w:hanging="2"/>
        <w:rPr>
          <w:rFonts w:asciiTheme="majorBidi" w:hAnsiTheme="majorBidi" w:cstheme="majorBidi"/>
        </w:rPr>
      </w:pPr>
    </w:p>
    <w:p w14:paraId="628515A2" w14:textId="77777777" w:rsidR="00345650" w:rsidRDefault="00345650" w:rsidP="002C67BF">
      <w:pPr>
        <w:ind w:hanging="2"/>
        <w:rPr>
          <w:rFonts w:asciiTheme="majorBidi" w:hAnsiTheme="majorBidi" w:cstheme="majorBidi"/>
        </w:rPr>
      </w:pPr>
    </w:p>
    <w:p w14:paraId="40D28FEE" w14:textId="77777777" w:rsidR="00345650" w:rsidRDefault="00345650" w:rsidP="002C67BF">
      <w:pPr>
        <w:ind w:hanging="2"/>
        <w:rPr>
          <w:rFonts w:asciiTheme="majorBidi" w:hAnsiTheme="majorBidi" w:cstheme="majorBidi"/>
        </w:rPr>
      </w:pPr>
    </w:p>
    <w:p w14:paraId="087C4B4B" w14:textId="77777777" w:rsidR="00345650" w:rsidRPr="00237A52" w:rsidRDefault="00345650" w:rsidP="002C67BF">
      <w:pPr>
        <w:ind w:hanging="2"/>
        <w:rPr>
          <w:rFonts w:asciiTheme="majorBidi" w:hAnsiTheme="majorBidi" w:cstheme="majorBidi"/>
        </w:rPr>
      </w:pPr>
    </w:p>
    <w:p w14:paraId="4F676498" w14:textId="77777777" w:rsidR="00345650" w:rsidRDefault="00345650" w:rsidP="002C67BF">
      <w:pPr>
        <w:ind w:hanging="2"/>
        <w:rPr>
          <w:rFonts w:asciiTheme="majorBidi" w:hAnsiTheme="majorBidi" w:cstheme="majorBidi"/>
          <w:b/>
          <w:bCs/>
        </w:rPr>
      </w:pPr>
    </w:p>
    <w:p w14:paraId="5B923316" w14:textId="77777777" w:rsidR="00C31AFF" w:rsidRDefault="00C31AFF" w:rsidP="002C67BF">
      <w:pPr>
        <w:ind w:hanging="2"/>
        <w:rPr>
          <w:rFonts w:asciiTheme="majorBidi" w:hAnsiTheme="majorBidi" w:cstheme="majorBidi"/>
          <w:b/>
          <w:bCs/>
        </w:rPr>
      </w:pPr>
    </w:p>
    <w:p w14:paraId="0215DBEC" w14:textId="77777777" w:rsidR="00C31AFF" w:rsidRDefault="00C31AFF" w:rsidP="002C67BF">
      <w:pPr>
        <w:ind w:hanging="2"/>
        <w:rPr>
          <w:rFonts w:asciiTheme="majorBidi" w:hAnsiTheme="majorBidi" w:cstheme="majorBidi"/>
          <w:b/>
          <w:bCs/>
        </w:rPr>
      </w:pPr>
    </w:p>
    <w:p w14:paraId="0E474098" w14:textId="77777777" w:rsidR="00C31AFF" w:rsidRDefault="00C31AFF" w:rsidP="002C67BF">
      <w:pPr>
        <w:ind w:hanging="2"/>
        <w:rPr>
          <w:rFonts w:asciiTheme="majorBidi" w:hAnsiTheme="majorBidi" w:cstheme="majorBidi"/>
          <w:b/>
          <w:bCs/>
        </w:rPr>
      </w:pPr>
    </w:p>
    <w:p w14:paraId="520DBB13" w14:textId="77777777" w:rsidR="00C31AFF" w:rsidRDefault="00C31AFF" w:rsidP="002C67BF">
      <w:pPr>
        <w:ind w:hanging="2"/>
        <w:rPr>
          <w:rFonts w:asciiTheme="majorBidi" w:hAnsiTheme="majorBidi" w:cstheme="majorBidi"/>
          <w:b/>
          <w:bCs/>
        </w:rPr>
      </w:pPr>
    </w:p>
    <w:p w14:paraId="62768167" w14:textId="77777777" w:rsidR="00C31AFF" w:rsidRDefault="00C31AFF" w:rsidP="002C67BF">
      <w:pPr>
        <w:ind w:hanging="2"/>
        <w:rPr>
          <w:rFonts w:asciiTheme="majorBidi" w:hAnsiTheme="majorBidi" w:cstheme="majorBidi"/>
          <w:b/>
          <w:bCs/>
        </w:rPr>
      </w:pPr>
    </w:p>
    <w:bookmarkStart w:id="447" w:name="_Toc200486246"/>
    <w:p w14:paraId="4C8B089D" w14:textId="77777777" w:rsidR="00345650" w:rsidRDefault="00345650" w:rsidP="002C67BF">
      <w:pPr>
        <w:ind w:hanging="2"/>
        <w:rPr>
          <w:rFonts w:asciiTheme="majorBidi" w:hAnsiTheme="majorBidi" w:cstheme="majorBidi"/>
        </w:rPr>
      </w:pPr>
      <w:r>
        <w:rPr>
          <w:noProof/>
          <w:lang w:val="fr-FR" w:eastAsia="fr-FR"/>
        </w:rPr>
        <mc:AlternateContent>
          <mc:Choice Requires="wps">
            <w:drawing>
              <wp:anchor distT="0" distB="0" distL="114300" distR="114300" simplePos="0" relativeHeight="251651072" behindDoc="0" locked="0" layoutInCell="1" allowOverlap="1" wp14:anchorId="7172C9C6" wp14:editId="1AE36D05">
                <wp:simplePos x="0" y="0"/>
                <wp:positionH relativeFrom="column">
                  <wp:posOffset>0</wp:posOffset>
                </wp:positionH>
                <wp:positionV relativeFrom="paragraph">
                  <wp:posOffset>-635</wp:posOffset>
                </wp:positionV>
                <wp:extent cx="2495550" cy="2736850"/>
                <wp:effectExtent l="0" t="0" r="19050" b="25400"/>
                <wp:wrapNone/>
                <wp:docPr id="1390327291" name="Zone de texte 7"/>
                <wp:cNvGraphicFramePr/>
                <a:graphic xmlns:a="http://schemas.openxmlformats.org/drawingml/2006/main">
                  <a:graphicData uri="http://schemas.microsoft.com/office/word/2010/wordprocessingShape">
                    <wps:wsp>
                      <wps:cNvSpPr txBox="1"/>
                      <wps:spPr>
                        <a:xfrm>
                          <a:off x="0" y="0"/>
                          <a:ext cx="2495550" cy="2736850"/>
                        </a:xfrm>
                        <a:prstGeom prst="rect">
                          <a:avLst/>
                        </a:prstGeom>
                        <a:solidFill>
                          <a:schemeClr val="lt1"/>
                        </a:solidFill>
                        <a:ln w="6350">
                          <a:solidFill>
                            <a:prstClr val="black"/>
                          </a:solidFill>
                        </a:ln>
                      </wps:spPr>
                      <wps:txbx>
                        <w:txbxContent>
                          <w:p w14:paraId="7F787F87" w14:textId="77777777" w:rsidR="00345650" w:rsidRDefault="00345650" w:rsidP="00345650">
                            <w:pPr>
                              <w:ind w:hanging="2"/>
                            </w:pPr>
                            <w:bookmarkStart w:id="448" w:name="_Toc200486247"/>
                            <w:r w:rsidRPr="006C6C23">
                              <w:rPr>
                                <w:noProof/>
                                <w:lang w:val="fr-FR" w:eastAsia="fr-FR"/>
                              </w:rPr>
                              <w:drawing>
                                <wp:inline distT="0" distB="0" distL="0" distR="0" wp14:anchorId="2F1601FC" wp14:editId="7A56DCA3">
                                  <wp:extent cx="2235200" cy="2590800"/>
                                  <wp:effectExtent l="0" t="0" r="0" b="0"/>
                                  <wp:docPr id="1560156756"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1656813" name=""/>
                                          <pic:cNvPicPr/>
                                        </pic:nvPicPr>
                                        <pic:blipFill>
                                          <a:blip r:embed="rId99"/>
                                          <a:stretch>
                                            <a:fillRect/>
                                          </a:stretch>
                                        </pic:blipFill>
                                        <pic:spPr>
                                          <a:xfrm>
                                            <a:off x="0" y="0"/>
                                            <a:ext cx="2235200" cy="2590800"/>
                                          </a:xfrm>
                                          <a:prstGeom prst="rect">
                                            <a:avLst/>
                                          </a:prstGeom>
                                        </pic:spPr>
                                      </pic:pic>
                                    </a:graphicData>
                                  </a:graphic>
                                </wp:inline>
                              </w:drawing>
                            </w:r>
                            <w:bookmarkEnd w:id="448"/>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172C9C6" id="Zone de texte 7" o:spid="_x0000_s1033" type="#_x0000_t202" style="position:absolute;margin-left:0;margin-top:-.05pt;width:196.5pt;height:215.5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" fillcolor="white [3201]" strokeweight=".5pt">
                <v:textbox>
                  <w:txbxContent>
                    <w:p w14:paraId="7F787F87" w14:textId="77777777" w:rsidR="00345650" w:rsidRDefault="00345650" w:rsidP="00345650">
                      <w:pPr>
                        <w:ind w:hanging="2"/>
                      </w:pPr>
                      <w:bookmarkStart w:id="459" w:name="_Toc200486247"/>
                      <w:r w:rsidRPr="006C6C23">
                        <w:rPr>
                          <w:noProof/>
                        </w:rPr>
                        <w:drawing>
                          <wp:inline distT="0" distB="0" distL="0" distR="0" wp14:anchorId="2F1601FC" wp14:editId="7A56DCA3">
                            <wp:extent cx="2235200" cy="2590800"/>
                            <wp:effectExtent l="0" t="0" r="0" b="0"/>
                            <wp:docPr id="1560156756"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1656813" name=""/>
                                    <pic:cNvPicPr/>
                                  </pic:nvPicPr>
                                  <pic:blipFill>
                                    <a:blip r:embed="rId100"/>
                                    <a:stretch>
                                      <a:fillRect/>
                                    </a:stretch>
                                  </pic:blipFill>
                                  <pic:spPr>
                                    <a:xfrm>
                                      <a:off x="0" y="0"/>
                                      <a:ext cx="2235200" cy="2590800"/>
                                    </a:xfrm>
                                    <a:prstGeom prst="rect">
                                      <a:avLst/>
                                    </a:prstGeom>
                                  </pic:spPr>
                                </pic:pic>
                              </a:graphicData>
                            </a:graphic>
                          </wp:inline>
                        </w:drawing>
                      </w:r>
                      <w:bookmarkEnd w:id="459"/>
                    </w:p>
                  </w:txbxContent>
                </v:textbox>
              </v:shape>
            </w:pict>
          </mc:Fallback>
        </mc:AlternateContent>
      </w:r>
      <w:r>
        <w:rPr>
          <w:noProof/>
          <w:lang w:val="fr-FR" w:eastAsia="fr-FR"/>
        </w:rPr>
        <mc:AlternateContent>
          <mc:Choice Requires="wps">
            <w:drawing>
              <wp:anchor distT="0" distB="0" distL="114300" distR="114300" simplePos="0" relativeHeight="251656192" behindDoc="0" locked="0" layoutInCell="1" allowOverlap="1" wp14:anchorId="17883823" wp14:editId="21DA1104">
                <wp:simplePos x="0" y="0"/>
                <wp:positionH relativeFrom="column">
                  <wp:posOffset>863600</wp:posOffset>
                </wp:positionH>
                <wp:positionV relativeFrom="paragraph">
                  <wp:posOffset>3066415</wp:posOffset>
                </wp:positionV>
                <wp:extent cx="914400" cy="406400"/>
                <wp:effectExtent l="0" t="0" r="20320" b="12700"/>
                <wp:wrapNone/>
                <wp:docPr id="1320101333" name="Zone de texte 8"/>
                <wp:cNvGraphicFramePr/>
                <a:graphic xmlns:a="http://schemas.openxmlformats.org/drawingml/2006/main">
                  <a:graphicData uri="http://schemas.microsoft.com/office/word/2010/wordprocessingShape">
                    <wps:wsp>
                      <wps:cNvSpPr txBox="1"/>
                      <wps:spPr>
                        <a:xfrm>
                          <a:off x="0" y="0"/>
                          <a:ext cx="914400" cy="406400"/>
                        </a:xfrm>
                        <a:prstGeom prst="rect">
                          <a:avLst/>
                        </a:prstGeom>
                        <a:solidFill>
                          <a:schemeClr val="lt1"/>
                        </a:solidFill>
                        <a:ln w="6350">
                          <a:solidFill>
                            <a:prstClr val="black"/>
                          </a:solidFill>
                        </a:ln>
                      </wps:spPr>
                      <wps:txbx>
                        <w:txbxContent>
                          <w:p w14:paraId="715B4CFA" w14:textId="77777777" w:rsidR="00345650" w:rsidRPr="006C6C23" w:rsidRDefault="00345650" w:rsidP="00345650">
                            <w:pPr>
                              <w:ind w:hanging="2"/>
                              <w:rPr>
                                <w:rFonts w:asciiTheme="majorBidi" w:hAnsiTheme="majorBidi" w:cstheme="majorBidi"/>
                              </w:rPr>
                            </w:pPr>
                            <w:bookmarkStart w:id="449" w:name="_Toc200486248"/>
                            <w:r w:rsidRPr="006C6C23">
                              <w:rPr>
                                <w:rFonts w:asciiTheme="majorBidi" w:hAnsiTheme="majorBidi" w:cstheme="majorBidi"/>
                              </w:rPr>
                              <w:t>Image 3</w:t>
                            </w:r>
                            <w:bookmarkEnd w:id="449"/>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7883823" id="Zone de texte 8" o:spid="_x0000_s1034" type="#_x0000_t202" style="position:absolute;margin-left:68pt;margin-top:241.45pt;width:1in;height:32pt;z-index:251656192;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" fillcolor="white [3201]" strokeweight=".5pt">
                <v:textbox>
                  <w:txbxContent>
                    <w:p w14:paraId="715B4CFA" w14:textId="77777777" w:rsidR="00345650" w:rsidRPr="006C6C23" w:rsidRDefault="00345650" w:rsidP="00345650">
                      <w:pPr>
                        <w:ind w:hanging="2"/>
                        <w:rPr>
                          <w:rFonts w:asciiTheme="majorBidi" w:hAnsiTheme="majorBidi" w:cstheme="majorBidi"/>
                        </w:rPr>
                      </w:pPr>
                      <w:bookmarkStart w:id="461" w:name="_Toc200486248"/>
                      <w:r w:rsidRPr="006C6C23">
                        <w:rPr>
                          <w:rFonts w:asciiTheme="majorBidi" w:hAnsiTheme="majorBidi" w:cstheme="majorBidi"/>
                        </w:rPr>
                        <w:t>Image 3</w:t>
                      </w:r>
                      <w:bookmarkEnd w:id="461"/>
                    </w:p>
                  </w:txbxContent>
                </v:textbox>
              </v:shape>
            </w:pict>
          </mc:Fallback>
        </mc:AlternateContent>
      </w:r>
      <w:r>
        <w:rPr>
          <w:noProof/>
          <w:lang w:val="fr-FR" w:eastAsia="fr-FR"/>
        </w:rPr>
        <mc:AlternateContent>
          <mc:Choice Requires="wps">
            <w:drawing>
              <wp:anchor distT="0" distB="0" distL="114300" distR="114300" simplePos="0" relativeHeight="251661312" behindDoc="0" locked="0" layoutInCell="1" allowOverlap="1" wp14:anchorId="6DFC2988" wp14:editId="45CB82C5">
                <wp:simplePos x="0" y="0"/>
                <wp:positionH relativeFrom="margin">
                  <wp:posOffset>3035300</wp:posOffset>
                </wp:positionH>
                <wp:positionV relativeFrom="paragraph">
                  <wp:posOffset>12065</wp:posOffset>
                </wp:positionV>
                <wp:extent cx="2584450" cy="2647950"/>
                <wp:effectExtent l="0" t="0" r="25400" b="19050"/>
                <wp:wrapNone/>
                <wp:docPr id="380797685" name="Zone de texte 9"/>
                <wp:cNvGraphicFramePr/>
                <a:graphic xmlns:a="http://schemas.openxmlformats.org/drawingml/2006/main">
                  <a:graphicData uri="http://schemas.microsoft.com/office/word/2010/wordprocessingShape">
                    <wps:wsp>
                      <wps:cNvSpPr txBox="1"/>
                      <wps:spPr>
                        <a:xfrm>
                          <a:off x="0" y="0"/>
                          <a:ext cx="2584450" cy="2647950"/>
                        </a:xfrm>
                        <a:prstGeom prst="rect">
                          <a:avLst/>
                        </a:prstGeom>
                        <a:solidFill>
                          <a:schemeClr val="lt1"/>
                        </a:solidFill>
                        <a:ln w="6350">
                          <a:solidFill>
                            <a:prstClr val="black"/>
                          </a:solidFill>
                        </a:ln>
                      </wps:spPr>
                      <wps:txbx>
                        <w:txbxContent>
                          <w:p w14:paraId="13C0F6FC" w14:textId="77777777" w:rsidR="00345650" w:rsidRDefault="00345650" w:rsidP="00345650">
                            <w:pPr>
                              <w:ind w:hanging="2"/>
                            </w:pPr>
                            <w:bookmarkStart w:id="450" w:name="_Toc200486249"/>
                            <w:r w:rsidRPr="006C6C23">
                              <w:rPr>
                                <w:noProof/>
                                <w:lang w:val="fr-FR" w:eastAsia="fr-FR"/>
                              </w:rPr>
                              <w:drawing>
                                <wp:inline distT="0" distB="0" distL="0" distR="0" wp14:anchorId="7D096EE4" wp14:editId="6DF0163D">
                                  <wp:extent cx="2413000" cy="2550160"/>
                                  <wp:effectExtent l="0" t="0" r="6350" b="2540"/>
                                  <wp:docPr id="715626410"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5318844" name=""/>
                                          <pic:cNvPicPr/>
                                        </pic:nvPicPr>
                                        <pic:blipFill>
                                          <a:blip r:embed="rId101"/>
                                          <a:stretch>
                                            <a:fillRect/>
                                          </a:stretch>
                                        </pic:blipFill>
                                        <pic:spPr>
                                          <a:xfrm>
                                            <a:off x="0" y="0"/>
                                            <a:ext cx="2413000" cy="2550160"/>
                                          </a:xfrm>
                                          <a:prstGeom prst="rect">
                                            <a:avLst/>
                                          </a:prstGeom>
                                        </pic:spPr>
                                      </pic:pic>
                                    </a:graphicData>
                                  </a:graphic>
                                </wp:inline>
                              </w:drawing>
                            </w:r>
                            <w:bookmarkEnd w:id="450"/>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DFC2988" id="Zone de texte 9" o:spid="_x0000_s1035" type="#_x0000_t202" style="position:absolute;margin-left:239pt;margin-top:.95pt;width:203.5pt;height:208.5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" fillcolor="white [3201]" strokeweight=".5pt">
                <v:textbox>
                  <w:txbxContent>
                    <w:p w14:paraId="13C0F6FC" w14:textId="77777777" w:rsidR="00345650" w:rsidRDefault="00345650" w:rsidP="00345650">
                      <w:pPr>
                        <w:ind w:hanging="2"/>
                      </w:pPr>
                      <w:bookmarkStart w:id="463" w:name="_Toc200486249"/>
                      <w:r w:rsidRPr="006C6C23">
                        <w:rPr>
                          <w:noProof/>
                        </w:rPr>
                        <w:drawing>
                          <wp:inline distT="0" distB="0" distL="0" distR="0" wp14:anchorId="7D096EE4" wp14:editId="6DF0163D">
                            <wp:extent cx="2413000" cy="2550160"/>
                            <wp:effectExtent l="0" t="0" r="6350" b="2540"/>
                            <wp:docPr id="715626410"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5318844" name=""/>
                                    <pic:cNvPicPr/>
                                  </pic:nvPicPr>
                                  <pic:blipFill>
                                    <a:blip r:embed="rId102"/>
                                    <a:stretch>
                                      <a:fillRect/>
                                    </a:stretch>
                                  </pic:blipFill>
                                  <pic:spPr>
                                    <a:xfrm>
                                      <a:off x="0" y="0"/>
                                      <a:ext cx="2413000" cy="2550160"/>
                                    </a:xfrm>
                                    <a:prstGeom prst="rect">
                                      <a:avLst/>
                                    </a:prstGeom>
                                  </pic:spPr>
                                </pic:pic>
                              </a:graphicData>
                            </a:graphic>
                          </wp:inline>
                        </w:drawing>
                      </w:r>
                      <w:bookmarkEnd w:id="463"/>
                    </w:p>
                  </w:txbxContent>
                </v:textbox>
                <w10:wrap anchorx="margin"/>
              </v:shape>
            </w:pict>
          </mc:Fallback>
        </mc:AlternateContent>
      </w:r>
      <w:r>
        <w:rPr>
          <w:noProof/>
          <w:lang w:val="fr-FR" w:eastAsia="fr-FR"/>
        </w:rPr>
        <mc:AlternateContent>
          <mc:Choice Requires="wps">
            <w:drawing>
              <wp:anchor distT="0" distB="0" distL="114300" distR="114300" simplePos="0" relativeHeight="251666432" behindDoc="0" locked="0" layoutInCell="1" allowOverlap="1" wp14:anchorId="0356A99A" wp14:editId="2B64A1E0">
                <wp:simplePos x="0" y="0"/>
                <wp:positionH relativeFrom="column">
                  <wp:posOffset>4013200</wp:posOffset>
                </wp:positionH>
                <wp:positionV relativeFrom="paragraph">
                  <wp:posOffset>3085465</wp:posOffset>
                </wp:positionV>
                <wp:extent cx="914400" cy="355600"/>
                <wp:effectExtent l="0" t="0" r="20320" b="25400"/>
                <wp:wrapNone/>
                <wp:docPr id="588094398" name="Zone de texte 10"/>
                <wp:cNvGraphicFramePr/>
                <a:graphic xmlns:a="http://schemas.openxmlformats.org/drawingml/2006/main">
                  <a:graphicData uri="http://schemas.microsoft.com/office/word/2010/wordprocessingShape">
                    <wps:wsp>
                      <wps:cNvSpPr txBox="1"/>
                      <wps:spPr>
                        <a:xfrm>
                          <a:off x="0" y="0"/>
                          <a:ext cx="914400" cy="355600"/>
                        </a:xfrm>
                        <a:prstGeom prst="rect">
                          <a:avLst/>
                        </a:prstGeom>
                        <a:solidFill>
                          <a:schemeClr val="lt1"/>
                        </a:solidFill>
                        <a:ln w="6350">
                          <a:solidFill>
                            <a:prstClr val="black"/>
                          </a:solidFill>
                        </a:ln>
                      </wps:spPr>
                      <wps:txbx>
                        <w:txbxContent>
                          <w:p w14:paraId="2E921447" w14:textId="77777777" w:rsidR="00345650" w:rsidRPr="004C5154" w:rsidRDefault="00345650" w:rsidP="00345650">
                            <w:pPr>
                              <w:ind w:hanging="2"/>
                              <w:rPr>
                                <w:rFonts w:asciiTheme="majorBidi" w:hAnsiTheme="majorBidi" w:cstheme="majorBidi"/>
                              </w:rPr>
                            </w:pPr>
                            <w:bookmarkStart w:id="451" w:name="_Toc200486250"/>
                            <w:r w:rsidRPr="004C5154">
                              <w:rPr>
                                <w:rFonts w:asciiTheme="majorBidi" w:hAnsiTheme="majorBidi" w:cstheme="majorBidi"/>
                              </w:rPr>
                              <w:t>Image 4</w:t>
                            </w:r>
                            <w:bookmarkEnd w:id="451"/>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356A99A" id="Zone de texte 10" o:spid="_x0000_s1036" type="#_x0000_t202" style="position:absolute;margin-left:316pt;margin-top:242.95pt;width:1in;height:28pt;z-index:251666432;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" fillcolor="white [3201]" strokeweight=".5pt">
                <v:textbox>
                  <w:txbxContent>
                    <w:p w14:paraId="2E921447" w14:textId="77777777" w:rsidR="00345650" w:rsidRPr="004C5154" w:rsidRDefault="00345650" w:rsidP="00345650">
                      <w:pPr>
                        <w:ind w:hanging="2"/>
                        <w:rPr>
                          <w:rFonts w:asciiTheme="majorBidi" w:hAnsiTheme="majorBidi" w:cstheme="majorBidi"/>
                        </w:rPr>
                      </w:pPr>
                      <w:bookmarkStart w:id="465" w:name="_Toc200486250"/>
                      <w:r w:rsidRPr="004C5154">
                        <w:rPr>
                          <w:rFonts w:asciiTheme="majorBidi" w:hAnsiTheme="majorBidi" w:cstheme="majorBidi"/>
                        </w:rPr>
                        <w:t>Image 4</w:t>
                      </w:r>
                      <w:bookmarkEnd w:id="465"/>
                    </w:p>
                  </w:txbxContent>
                </v:textbox>
              </v:shape>
            </w:pict>
          </mc:Fallback>
        </mc:AlternateContent>
      </w:r>
      <w:bookmarkEnd w:id="447"/>
    </w:p>
    <w:p w14:paraId="0CD6505F" w14:textId="77777777" w:rsidR="00345650" w:rsidRPr="0043144D" w:rsidRDefault="00345650" w:rsidP="002C67BF">
      <w:pPr>
        <w:ind w:hanging="2"/>
        <w:rPr>
          <w:rFonts w:asciiTheme="majorBidi" w:hAnsiTheme="majorBidi" w:cstheme="majorBidi"/>
        </w:rPr>
      </w:pPr>
    </w:p>
    <w:p w14:paraId="14D5FE1E" w14:textId="77777777" w:rsidR="00345650" w:rsidRPr="0043144D" w:rsidRDefault="00345650" w:rsidP="002C67BF">
      <w:pPr>
        <w:ind w:hanging="2"/>
        <w:rPr>
          <w:rFonts w:asciiTheme="majorBidi" w:hAnsiTheme="majorBidi" w:cstheme="majorBidi"/>
        </w:rPr>
      </w:pPr>
    </w:p>
    <w:p w14:paraId="708281D0" w14:textId="77777777" w:rsidR="00345650" w:rsidRPr="0043144D" w:rsidRDefault="00345650" w:rsidP="002C67BF">
      <w:pPr>
        <w:ind w:hanging="2"/>
        <w:rPr>
          <w:rFonts w:asciiTheme="majorBidi" w:hAnsiTheme="majorBidi" w:cstheme="majorBidi"/>
        </w:rPr>
      </w:pPr>
    </w:p>
    <w:p w14:paraId="59BAFC40" w14:textId="77777777" w:rsidR="00345650" w:rsidRPr="0043144D" w:rsidRDefault="00345650" w:rsidP="002C67BF">
      <w:pPr>
        <w:ind w:hanging="2"/>
        <w:rPr>
          <w:rFonts w:asciiTheme="majorBidi" w:hAnsiTheme="majorBidi" w:cstheme="majorBidi"/>
        </w:rPr>
      </w:pPr>
    </w:p>
    <w:p w14:paraId="756C0E78" w14:textId="77777777" w:rsidR="00345650" w:rsidRPr="0043144D" w:rsidRDefault="00345650" w:rsidP="002C67BF">
      <w:pPr>
        <w:ind w:hanging="2"/>
        <w:rPr>
          <w:rFonts w:asciiTheme="majorBidi" w:hAnsiTheme="majorBidi" w:cstheme="majorBidi"/>
        </w:rPr>
      </w:pPr>
    </w:p>
    <w:p w14:paraId="4D740F06" w14:textId="77777777" w:rsidR="00345650" w:rsidRPr="0043144D" w:rsidRDefault="00345650" w:rsidP="002C67BF">
      <w:pPr>
        <w:ind w:hanging="2"/>
        <w:rPr>
          <w:rFonts w:asciiTheme="majorBidi" w:hAnsiTheme="majorBidi" w:cstheme="majorBidi"/>
        </w:rPr>
      </w:pPr>
    </w:p>
    <w:p w14:paraId="787135B7" w14:textId="77777777" w:rsidR="00345650" w:rsidRPr="0043144D" w:rsidRDefault="00345650" w:rsidP="002C67BF">
      <w:pPr>
        <w:ind w:hanging="2"/>
        <w:rPr>
          <w:rFonts w:asciiTheme="majorBidi" w:hAnsiTheme="majorBidi" w:cstheme="majorBidi"/>
        </w:rPr>
      </w:pPr>
    </w:p>
    <w:p w14:paraId="2A2693D6" w14:textId="77777777" w:rsidR="00345650" w:rsidRPr="0043144D" w:rsidRDefault="00345650" w:rsidP="002C67BF">
      <w:pPr>
        <w:ind w:hanging="2"/>
        <w:rPr>
          <w:rFonts w:asciiTheme="majorBidi" w:hAnsiTheme="majorBidi" w:cstheme="majorBidi"/>
        </w:rPr>
      </w:pPr>
    </w:p>
    <w:p w14:paraId="25023104" w14:textId="77777777" w:rsidR="00345650" w:rsidRPr="0043144D" w:rsidRDefault="00345650" w:rsidP="002C67BF">
      <w:pPr>
        <w:ind w:hanging="2"/>
        <w:rPr>
          <w:rFonts w:asciiTheme="majorBidi" w:hAnsiTheme="majorBidi" w:cstheme="majorBidi"/>
        </w:rPr>
      </w:pPr>
    </w:p>
    <w:p w14:paraId="601F29BD" w14:textId="77777777" w:rsidR="00345650" w:rsidRDefault="00345650" w:rsidP="002C67BF">
      <w:pPr>
        <w:ind w:hanging="2"/>
        <w:rPr>
          <w:rFonts w:asciiTheme="majorBidi" w:hAnsiTheme="majorBidi" w:cstheme="majorBidi"/>
        </w:rPr>
      </w:pPr>
    </w:p>
    <w:p w14:paraId="6034979D" w14:textId="77777777" w:rsidR="00345650" w:rsidRDefault="00345650" w:rsidP="002C67BF">
      <w:pPr>
        <w:ind w:hanging="2"/>
        <w:rPr>
          <w:rFonts w:asciiTheme="majorBidi" w:hAnsiTheme="majorBidi" w:cstheme="majorBidi"/>
        </w:rPr>
      </w:pPr>
    </w:p>
    <w:p w14:paraId="658459DC" w14:textId="77777777" w:rsidR="00345650" w:rsidRDefault="00345650" w:rsidP="002C67BF">
      <w:pPr>
        <w:ind w:hanging="2"/>
        <w:rPr>
          <w:rFonts w:asciiTheme="majorBidi" w:hAnsiTheme="majorBidi" w:cstheme="majorBidi"/>
        </w:rPr>
      </w:pPr>
    </w:p>
    <w:p w14:paraId="1EA0FCE5" w14:textId="77777777" w:rsidR="00345650" w:rsidRDefault="00345650" w:rsidP="002C67BF">
      <w:pPr>
        <w:ind w:hanging="2"/>
        <w:rPr>
          <w:rFonts w:asciiTheme="majorBidi" w:hAnsiTheme="majorBidi" w:cstheme="majorBidi"/>
        </w:rPr>
      </w:pPr>
    </w:p>
    <w:p w14:paraId="62F3C2E2" w14:textId="77777777" w:rsidR="00345650" w:rsidRDefault="00345650" w:rsidP="002C67BF">
      <w:pPr>
        <w:ind w:hanging="2"/>
        <w:rPr>
          <w:rFonts w:asciiTheme="majorBidi" w:hAnsiTheme="majorBidi" w:cstheme="majorBidi"/>
        </w:rPr>
      </w:pPr>
    </w:p>
    <w:p w14:paraId="51BF8767" w14:textId="77777777" w:rsidR="00345650" w:rsidRDefault="00345650" w:rsidP="002C67BF">
      <w:pPr>
        <w:ind w:hanging="2"/>
        <w:rPr>
          <w:rFonts w:asciiTheme="majorBidi" w:hAnsiTheme="majorBidi" w:cstheme="majorBidi"/>
        </w:rPr>
      </w:pPr>
    </w:p>
    <w:p w14:paraId="747BEDF3" w14:textId="77777777" w:rsidR="00345650" w:rsidRDefault="00345650" w:rsidP="002C67BF">
      <w:pPr>
        <w:ind w:hanging="2"/>
        <w:rPr>
          <w:rFonts w:asciiTheme="majorBidi" w:hAnsiTheme="majorBidi" w:cstheme="majorBidi"/>
        </w:rPr>
      </w:pPr>
    </w:p>
    <w:p w14:paraId="173D410F" w14:textId="77777777" w:rsidR="00345650" w:rsidRDefault="00345650" w:rsidP="002C67BF">
      <w:pPr>
        <w:ind w:hanging="2"/>
        <w:rPr>
          <w:rFonts w:asciiTheme="majorBidi" w:hAnsiTheme="majorBidi" w:cstheme="majorBidi"/>
        </w:rPr>
      </w:pPr>
    </w:p>
    <w:p w14:paraId="1EE165CC" w14:textId="77777777" w:rsidR="00345650" w:rsidRDefault="00345650" w:rsidP="002C67BF">
      <w:pPr>
        <w:ind w:hanging="2"/>
        <w:rPr>
          <w:rFonts w:asciiTheme="majorBidi" w:hAnsiTheme="majorBidi" w:cstheme="majorBidi"/>
        </w:rPr>
      </w:pPr>
    </w:p>
    <w:p w14:paraId="6A9C67E4" w14:textId="77777777" w:rsidR="00345650" w:rsidRDefault="00345650" w:rsidP="002C67BF">
      <w:pPr>
        <w:ind w:hanging="2"/>
        <w:rPr>
          <w:rFonts w:asciiTheme="majorBidi" w:hAnsiTheme="majorBidi" w:cstheme="majorBidi"/>
        </w:rPr>
      </w:pPr>
    </w:p>
    <w:p w14:paraId="7EAA4242" w14:textId="77777777" w:rsidR="00345650" w:rsidRDefault="00345650" w:rsidP="002C67BF">
      <w:pPr>
        <w:ind w:hanging="2"/>
        <w:rPr>
          <w:rFonts w:asciiTheme="majorBidi" w:hAnsiTheme="majorBidi" w:cstheme="majorBidi"/>
        </w:rPr>
      </w:pPr>
    </w:p>
    <w:p w14:paraId="3E67A814" w14:textId="77777777" w:rsidR="00345650" w:rsidRDefault="00345650" w:rsidP="002C67BF">
      <w:pPr>
        <w:ind w:hanging="2"/>
        <w:rPr>
          <w:rFonts w:asciiTheme="majorBidi" w:hAnsiTheme="majorBidi" w:cstheme="majorBidi"/>
        </w:rPr>
      </w:pPr>
    </w:p>
    <w:p w14:paraId="2928B256" w14:textId="77777777" w:rsidR="00345650" w:rsidRDefault="00345650" w:rsidP="002C67BF">
      <w:pPr>
        <w:ind w:hanging="2"/>
        <w:rPr>
          <w:rFonts w:asciiTheme="majorBidi" w:hAnsiTheme="majorBidi" w:cstheme="majorBidi"/>
        </w:rPr>
      </w:pPr>
    </w:p>
    <w:p w14:paraId="6B5A75E6" w14:textId="77777777" w:rsidR="00345650" w:rsidRDefault="00345650" w:rsidP="002C67BF">
      <w:pPr>
        <w:ind w:hanging="2"/>
        <w:rPr>
          <w:rFonts w:asciiTheme="majorBidi" w:hAnsiTheme="majorBidi" w:cstheme="majorBidi"/>
        </w:rPr>
      </w:pPr>
    </w:p>
    <w:p w14:paraId="269115D9" w14:textId="77777777" w:rsidR="00345650" w:rsidRDefault="00345650" w:rsidP="002C67BF">
      <w:pPr>
        <w:ind w:hanging="2"/>
        <w:rPr>
          <w:rFonts w:asciiTheme="majorBidi" w:hAnsiTheme="majorBidi" w:cstheme="majorBidi"/>
        </w:rPr>
      </w:pPr>
      <w:r>
        <w:rPr>
          <w:rFonts w:asciiTheme="majorBidi" w:hAnsiTheme="majorBidi" w:cstheme="majorBidi"/>
        </w:rPr>
        <w:tab/>
      </w:r>
    </w:p>
    <w:p w14:paraId="0252FFF3" w14:textId="77777777" w:rsidR="00EE198C" w:rsidRDefault="00EE198C" w:rsidP="002C67BF">
      <w:pPr>
        <w:ind w:hanging="2"/>
        <w:rPr>
          <w:rFonts w:asciiTheme="majorBidi" w:hAnsiTheme="majorBidi" w:cstheme="majorBidi"/>
        </w:rPr>
      </w:pPr>
    </w:p>
    <w:p w14:paraId="1F974AFB" w14:textId="77777777" w:rsidR="00EE198C" w:rsidRDefault="00EE198C" w:rsidP="002C67BF">
      <w:pPr>
        <w:ind w:hanging="2"/>
        <w:rPr>
          <w:rFonts w:asciiTheme="majorBidi" w:hAnsiTheme="majorBidi" w:cstheme="majorBidi"/>
        </w:rPr>
      </w:pPr>
    </w:p>
    <w:p w14:paraId="2CDA4AFC" w14:textId="77777777" w:rsidR="00EE198C" w:rsidRDefault="00EE198C" w:rsidP="002C67BF">
      <w:pPr>
        <w:ind w:hanging="2"/>
        <w:rPr>
          <w:rFonts w:asciiTheme="majorBidi" w:hAnsiTheme="majorBidi" w:cstheme="majorBidi"/>
        </w:rPr>
      </w:pPr>
    </w:p>
    <w:p w14:paraId="26FFE5AC" w14:textId="77777777" w:rsidR="00345650" w:rsidRDefault="00345650" w:rsidP="002C67BF">
      <w:pPr>
        <w:ind w:hanging="2"/>
        <w:rPr>
          <w:rFonts w:asciiTheme="majorBidi" w:hAnsiTheme="majorBidi" w:cstheme="majorBidi"/>
        </w:rPr>
      </w:pPr>
    </w:p>
    <w:p w14:paraId="421AC808" w14:textId="77777777" w:rsidR="00345650" w:rsidRDefault="00345650" w:rsidP="002C67BF">
      <w:pPr>
        <w:ind w:hanging="2"/>
        <w:rPr>
          <w:rFonts w:asciiTheme="majorBidi" w:hAnsiTheme="majorBidi" w:cstheme="majorBidi"/>
        </w:rPr>
      </w:pPr>
    </w:p>
    <w:p w14:paraId="1878BEDD" w14:textId="77777777" w:rsidR="00345650" w:rsidRDefault="00345650" w:rsidP="002C67BF">
      <w:pPr>
        <w:ind w:hanging="2"/>
        <w:rPr>
          <w:rFonts w:asciiTheme="majorBidi" w:hAnsiTheme="majorBidi" w:cstheme="majorBidi"/>
        </w:rPr>
      </w:pPr>
    </w:p>
    <w:p w14:paraId="6B3EE399" w14:textId="77777777" w:rsidR="00345650" w:rsidRDefault="00345650" w:rsidP="002C67BF">
      <w:pPr>
        <w:ind w:hanging="2"/>
        <w:rPr>
          <w:rFonts w:asciiTheme="majorBidi" w:hAnsiTheme="majorBidi" w:cstheme="majorBidi"/>
        </w:rPr>
      </w:pPr>
    </w:p>
    <w:bookmarkStart w:id="452" w:name="_Toc200486251"/>
    <w:p w14:paraId="66AE5113" w14:textId="77777777" w:rsidR="00345650" w:rsidRDefault="00345650" w:rsidP="002C67BF">
      <w:pPr>
        <w:ind w:hanging="2"/>
        <w:rPr>
          <w:rFonts w:asciiTheme="majorBidi" w:hAnsiTheme="majorBidi" w:cstheme="majorBidi"/>
        </w:rPr>
      </w:pPr>
      <w:r w:rsidRPr="0043144D">
        <w:rPr>
          <w:rFonts w:ascii="Calibri" w:eastAsia="Calibri" w:hAnsi="Calibri" w:cs="Arial"/>
          <w:noProof/>
          <w:lang w:val="fr-FR" w:eastAsia="fr-FR"/>
        </w:rPr>
        <mc:AlternateContent>
          <mc:Choice Requires="wps">
            <w:drawing>
              <wp:anchor distT="0" distB="0" distL="114300" distR="114300" simplePos="0" relativeHeight="251691008" behindDoc="0" locked="0" layoutInCell="1" allowOverlap="1" wp14:anchorId="78F16BD5" wp14:editId="4EA2CDD7">
                <wp:simplePos x="0" y="0"/>
                <wp:positionH relativeFrom="column">
                  <wp:posOffset>-279400</wp:posOffset>
                </wp:positionH>
                <wp:positionV relativeFrom="paragraph">
                  <wp:posOffset>-374650</wp:posOffset>
                </wp:positionV>
                <wp:extent cx="2438400" cy="2908300"/>
                <wp:effectExtent l="0" t="0" r="19050" b="25400"/>
                <wp:wrapNone/>
                <wp:docPr id="215603302" name="Zone de texte 11"/>
                <wp:cNvGraphicFramePr/>
                <a:graphic xmlns:a="http://schemas.openxmlformats.org/drawingml/2006/main">
                  <a:graphicData uri="http://schemas.microsoft.com/office/word/2010/wordprocessingShape">
                    <wps:wsp>
                      <wps:cNvSpPr txBox="1"/>
                      <wps:spPr>
                        <a:xfrm>
                          <a:off x="0" y="0"/>
                          <a:ext cx="2438400" cy="2908300"/>
                        </a:xfrm>
                        <a:prstGeom prst="rect">
                          <a:avLst/>
                        </a:prstGeom>
                        <a:solidFill>
                          <a:sysClr val="window" lastClr="FFFFFF"/>
                        </a:solidFill>
                        <a:ln w="6350">
                          <a:solidFill>
                            <a:prstClr val="black"/>
                          </a:solidFill>
                        </a:ln>
                      </wps:spPr>
                      <wps:txbx>
                        <w:txbxContent>
                          <w:p w14:paraId="42A04D52" w14:textId="77777777" w:rsidR="00345650" w:rsidRDefault="00345650" w:rsidP="00345650">
                            <w:pPr>
                              <w:ind w:hanging="2"/>
                            </w:pPr>
                            <w:bookmarkStart w:id="453" w:name="_Toc200486252"/>
                            <w:r w:rsidRPr="004C5154">
                              <w:rPr>
                                <w:noProof/>
                                <w:lang w:val="fr-FR" w:eastAsia="fr-FR"/>
                              </w:rPr>
                              <w:drawing>
                                <wp:inline distT="0" distB="0" distL="0" distR="0" wp14:anchorId="48C3EE74" wp14:editId="1F9FC610">
                                  <wp:extent cx="2279650" cy="2806700"/>
                                  <wp:effectExtent l="0" t="0" r="6350" b="0"/>
                                  <wp:docPr id="291559330"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4075165" name=""/>
                                          <pic:cNvPicPr/>
                                        </pic:nvPicPr>
                                        <pic:blipFill>
                                          <a:blip r:embed="rId103"/>
                                          <a:stretch>
                                            <a:fillRect/>
                                          </a:stretch>
                                        </pic:blipFill>
                                        <pic:spPr>
                                          <a:xfrm>
                                            <a:off x="0" y="0"/>
                                            <a:ext cx="2279650" cy="2806700"/>
                                          </a:xfrm>
                                          <a:prstGeom prst="rect">
                                            <a:avLst/>
                                          </a:prstGeom>
                                        </pic:spPr>
                                      </pic:pic>
                                    </a:graphicData>
                                  </a:graphic>
                                </wp:inline>
                              </w:drawing>
                            </w:r>
                            <w:bookmarkEnd w:id="453"/>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8F16BD5" id="Zone de texte 11" o:spid="_x0000_s1037" type="#_x0000_t202" style="position:absolute;margin-left:-22pt;margin-top:-29.5pt;width:192pt;height:229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" fillcolor="window" strokeweight=".5pt">
                <v:textbox>
                  <w:txbxContent>
                    <w:p w14:paraId="42A04D52" w14:textId="77777777" w:rsidR="00345650" w:rsidRDefault="00345650" w:rsidP="00345650">
                      <w:pPr>
                        <w:ind w:hanging="2"/>
                      </w:pPr>
                      <w:bookmarkStart w:id="468" w:name="_Toc200486252"/>
                      <w:r w:rsidRPr="004C5154">
                        <w:rPr>
                          <w:noProof/>
                        </w:rPr>
                        <w:drawing>
                          <wp:inline distT="0" distB="0" distL="0" distR="0" wp14:anchorId="48C3EE74" wp14:editId="1F9FC610">
                            <wp:extent cx="2279650" cy="2806700"/>
                            <wp:effectExtent l="0" t="0" r="6350" b="0"/>
                            <wp:docPr id="291559330"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4075165" name=""/>
                                    <pic:cNvPicPr/>
                                  </pic:nvPicPr>
                                  <pic:blipFill>
                                    <a:blip r:embed="rId104"/>
                                    <a:stretch>
                                      <a:fillRect/>
                                    </a:stretch>
                                  </pic:blipFill>
                                  <pic:spPr>
                                    <a:xfrm>
                                      <a:off x="0" y="0"/>
                                      <a:ext cx="2279650" cy="2806700"/>
                                    </a:xfrm>
                                    <a:prstGeom prst="rect">
                                      <a:avLst/>
                                    </a:prstGeom>
                                  </pic:spPr>
                                </pic:pic>
                              </a:graphicData>
                            </a:graphic>
                          </wp:inline>
                        </w:drawing>
                      </w:r>
                      <w:bookmarkEnd w:id="468"/>
                    </w:p>
                  </w:txbxContent>
                </v:textbox>
              </v:shape>
            </w:pict>
          </mc:Fallback>
        </mc:AlternateContent>
      </w:r>
      <w:r w:rsidRPr="0043144D">
        <w:rPr>
          <w:rFonts w:ascii="Calibri" w:eastAsia="Calibri" w:hAnsi="Calibri" w:cs="Arial"/>
          <w:noProof/>
          <w:lang w:val="fr-FR" w:eastAsia="fr-FR"/>
        </w:rPr>
        <mc:AlternateContent>
          <mc:Choice Requires="wps">
            <w:drawing>
              <wp:anchor distT="0" distB="0" distL="114300" distR="114300" simplePos="0" relativeHeight="251712512" behindDoc="0" locked="0" layoutInCell="1" allowOverlap="1" wp14:anchorId="2AC8D48D" wp14:editId="56BF852D">
                <wp:simplePos x="0" y="0"/>
                <wp:positionH relativeFrom="column">
                  <wp:posOffset>654050</wp:posOffset>
                </wp:positionH>
                <wp:positionV relativeFrom="paragraph">
                  <wp:posOffset>2876550</wp:posOffset>
                </wp:positionV>
                <wp:extent cx="806450" cy="330200"/>
                <wp:effectExtent l="0" t="0" r="12700" b="12700"/>
                <wp:wrapNone/>
                <wp:docPr id="1815664848" name="Zone de texte 12"/>
                <wp:cNvGraphicFramePr/>
                <a:graphic xmlns:a="http://schemas.openxmlformats.org/drawingml/2006/main">
                  <a:graphicData uri="http://schemas.microsoft.com/office/word/2010/wordprocessingShape">
                    <wps:wsp>
                      <wps:cNvSpPr txBox="1"/>
                      <wps:spPr>
                        <a:xfrm>
                          <a:off x="0" y="0"/>
                          <a:ext cx="806450" cy="330200"/>
                        </a:xfrm>
                        <a:prstGeom prst="rect">
                          <a:avLst/>
                        </a:prstGeom>
                        <a:solidFill>
                          <a:sysClr val="window" lastClr="FFFFFF"/>
                        </a:solidFill>
                        <a:ln w="6350">
                          <a:solidFill>
                            <a:prstClr val="black"/>
                          </a:solidFill>
                        </a:ln>
                      </wps:spPr>
                      <wps:txbx>
                        <w:txbxContent>
                          <w:p w14:paraId="4F7E1932" w14:textId="77777777" w:rsidR="00345650" w:rsidRDefault="00345650" w:rsidP="00345650">
                            <w:pPr>
                              <w:ind w:hanging="2"/>
                            </w:pPr>
                            <w:bookmarkStart w:id="454" w:name="_Toc200486253"/>
                            <w:r>
                              <w:t>Image 5</w:t>
                            </w:r>
                            <w:bookmarkEnd w:id="454"/>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AC8D48D" id="Zone de texte 12" o:spid="_x0000_s1038" type="#_x0000_t202" style="position:absolute;margin-left:51.5pt;margin-top:226.5pt;width:63.5pt;height:26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" fillcolor="window" strokeweight=".5pt">
                <v:textbox>
                  <w:txbxContent>
                    <w:p w14:paraId="4F7E1932" w14:textId="77777777" w:rsidR="00345650" w:rsidRDefault="00345650" w:rsidP="00345650">
                      <w:pPr>
                        <w:ind w:hanging="2"/>
                      </w:pPr>
                      <w:bookmarkStart w:id="470" w:name="_Toc200486253"/>
                      <w:r>
                        <w:t>Image 5</w:t>
                      </w:r>
                      <w:bookmarkEnd w:id="470"/>
                    </w:p>
                  </w:txbxContent>
                </v:textbox>
              </v:shape>
            </w:pict>
          </mc:Fallback>
        </mc:AlternateContent>
      </w:r>
      <w:r w:rsidRPr="0043144D">
        <w:rPr>
          <w:rFonts w:ascii="Calibri" w:eastAsia="Calibri" w:hAnsi="Calibri" w:cs="Arial"/>
          <w:noProof/>
          <w:lang w:val="fr-FR" w:eastAsia="fr-FR"/>
        </w:rPr>
        <mc:AlternateContent>
          <mc:Choice Requires="wps">
            <w:drawing>
              <wp:anchor distT="0" distB="0" distL="114300" distR="114300" simplePos="0" relativeHeight="251734016" behindDoc="0" locked="0" layoutInCell="1" allowOverlap="1" wp14:anchorId="081E4E89" wp14:editId="0C64E18C">
                <wp:simplePos x="0" y="0"/>
                <wp:positionH relativeFrom="column">
                  <wp:posOffset>2705100</wp:posOffset>
                </wp:positionH>
                <wp:positionV relativeFrom="paragraph">
                  <wp:posOffset>-374650</wp:posOffset>
                </wp:positionV>
                <wp:extent cx="2470150" cy="2882900"/>
                <wp:effectExtent l="0" t="0" r="25400" b="12700"/>
                <wp:wrapNone/>
                <wp:docPr id="1944226429" name="Zone de texte 13"/>
                <wp:cNvGraphicFramePr/>
                <a:graphic xmlns:a="http://schemas.openxmlformats.org/drawingml/2006/main">
                  <a:graphicData uri="http://schemas.microsoft.com/office/word/2010/wordprocessingShape">
                    <wps:wsp>
                      <wps:cNvSpPr txBox="1"/>
                      <wps:spPr>
                        <a:xfrm>
                          <a:off x="0" y="0"/>
                          <a:ext cx="2470150" cy="2882900"/>
                        </a:xfrm>
                        <a:prstGeom prst="rect">
                          <a:avLst/>
                        </a:prstGeom>
                        <a:solidFill>
                          <a:sysClr val="window" lastClr="FFFFFF"/>
                        </a:solidFill>
                        <a:ln w="6350">
                          <a:solidFill>
                            <a:prstClr val="black"/>
                          </a:solidFill>
                        </a:ln>
                      </wps:spPr>
                      <wps:txbx>
                        <w:txbxContent>
                          <w:p w14:paraId="211CC3D9" w14:textId="77777777" w:rsidR="00345650" w:rsidRDefault="00345650" w:rsidP="00345650">
                            <w:pPr>
                              <w:ind w:hanging="2"/>
                            </w:pPr>
                            <w:bookmarkStart w:id="455" w:name="_Toc200486254"/>
                            <w:r w:rsidRPr="002C0487">
                              <w:rPr>
                                <w:noProof/>
                                <w:lang w:val="fr-FR" w:eastAsia="fr-FR"/>
                              </w:rPr>
                              <w:drawing>
                                <wp:inline distT="0" distB="0" distL="0" distR="0" wp14:anchorId="6990194D" wp14:editId="58278327">
                                  <wp:extent cx="2324100" cy="2785110"/>
                                  <wp:effectExtent l="0" t="0" r="0" b="0"/>
                                  <wp:docPr id="978012789"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228782" name=""/>
                                          <pic:cNvPicPr/>
                                        </pic:nvPicPr>
                                        <pic:blipFill>
                                          <a:blip r:embed="rId105"/>
                                          <a:stretch>
                                            <a:fillRect/>
                                          </a:stretch>
                                        </pic:blipFill>
                                        <pic:spPr>
                                          <a:xfrm>
                                            <a:off x="0" y="0"/>
                                            <a:ext cx="2324100" cy="2785110"/>
                                          </a:xfrm>
                                          <a:prstGeom prst="rect">
                                            <a:avLst/>
                                          </a:prstGeom>
                                        </pic:spPr>
                                      </pic:pic>
                                    </a:graphicData>
                                  </a:graphic>
                                </wp:inline>
                              </w:drawing>
                            </w:r>
                            <w:bookmarkEnd w:id="455"/>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81E4E89" id="Zone de texte 13" o:spid="_x0000_s1039" type="#_x0000_t202" style="position:absolute;margin-left:213pt;margin-top:-29.5pt;width:194.5pt;height:227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" fillcolor="window" strokeweight=".5pt">
                <v:textbox>
                  <w:txbxContent>
                    <w:p w14:paraId="211CC3D9" w14:textId="77777777" w:rsidR="00345650" w:rsidRDefault="00345650" w:rsidP="00345650">
                      <w:pPr>
                        <w:ind w:hanging="2"/>
                      </w:pPr>
                      <w:bookmarkStart w:id="472" w:name="_Toc200486254"/>
                      <w:r w:rsidRPr="002C0487">
                        <w:rPr>
                          <w:noProof/>
                        </w:rPr>
                        <w:drawing>
                          <wp:inline distT="0" distB="0" distL="0" distR="0" wp14:anchorId="6990194D" wp14:editId="58278327">
                            <wp:extent cx="2324100" cy="2785110"/>
                            <wp:effectExtent l="0" t="0" r="0" b="0"/>
                            <wp:docPr id="978012789"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228782" name=""/>
                                    <pic:cNvPicPr/>
                                  </pic:nvPicPr>
                                  <pic:blipFill>
                                    <a:blip r:embed="rId106"/>
                                    <a:stretch>
                                      <a:fillRect/>
                                    </a:stretch>
                                  </pic:blipFill>
                                  <pic:spPr>
                                    <a:xfrm>
                                      <a:off x="0" y="0"/>
                                      <a:ext cx="2324100" cy="2785110"/>
                                    </a:xfrm>
                                    <a:prstGeom prst="rect">
                                      <a:avLst/>
                                    </a:prstGeom>
                                  </pic:spPr>
                                </pic:pic>
                              </a:graphicData>
                            </a:graphic>
                          </wp:inline>
                        </w:drawing>
                      </w:r>
                      <w:bookmarkEnd w:id="472"/>
                    </w:p>
                  </w:txbxContent>
                </v:textbox>
              </v:shape>
            </w:pict>
          </mc:Fallback>
        </mc:AlternateContent>
      </w:r>
      <w:r w:rsidRPr="0043144D">
        <w:rPr>
          <w:rFonts w:ascii="Calibri" w:eastAsia="Calibri" w:hAnsi="Calibri" w:cs="Arial"/>
          <w:noProof/>
          <w:lang w:val="fr-FR" w:eastAsia="fr-FR"/>
        </w:rPr>
        <mc:AlternateContent>
          <mc:Choice Requires="wps">
            <w:drawing>
              <wp:anchor distT="0" distB="0" distL="114300" distR="114300" simplePos="0" relativeHeight="251755520" behindDoc="0" locked="0" layoutInCell="1" allowOverlap="1" wp14:anchorId="543B075B" wp14:editId="152D754E">
                <wp:simplePos x="0" y="0"/>
                <wp:positionH relativeFrom="column">
                  <wp:posOffset>3435350</wp:posOffset>
                </wp:positionH>
                <wp:positionV relativeFrom="paragraph">
                  <wp:posOffset>2832100</wp:posOffset>
                </wp:positionV>
                <wp:extent cx="800100" cy="323850"/>
                <wp:effectExtent l="0" t="0" r="19050" b="19050"/>
                <wp:wrapNone/>
                <wp:docPr id="1513867078" name="Zone de texte 14"/>
                <wp:cNvGraphicFramePr/>
                <a:graphic xmlns:a="http://schemas.openxmlformats.org/drawingml/2006/main">
                  <a:graphicData uri="http://schemas.microsoft.com/office/word/2010/wordprocessingShape">
                    <wps:wsp>
                      <wps:cNvSpPr txBox="1"/>
                      <wps:spPr>
                        <a:xfrm>
                          <a:off x="0" y="0"/>
                          <a:ext cx="800100" cy="323850"/>
                        </a:xfrm>
                        <a:prstGeom prst="rect">
                          <a:avLst/>
                        </a:prstGeom>
                        <a:solidFill>
                          <a:sysClr val="window" lastClr="FFFFFF"/>
                        </a:solidFill>
                        <a:ln w="6350">
                          <a:solidFill>
                            <a:prstClr val="black"/>
                          </a:solidFill>
                        </a:ln>
                      </wps:spPr>
                      <wps:txbx>
                        <w:txbxContent>
                          <w:p w14:paraId="7EDF4362" w14:textId="77777777" w:rsidR="00345650" w:rsidRPr="0043144D" w:rsidRDefault="00345650" w:rsidP="00345650">
                            <w:pPr>
                              <w:ind w:hanging="2"/>
                            </w:pPr>
                            <w:bookmarkStart w:id="456" w:name="_Toc200486255"/>
                            <w:r w:rsidRPr="0043144D">
                              <w:t>Image 6</w:t>
                            </w:r>
                            <w:bookmarkEnd w:id="456"/>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43B075B" id="Zone de texte 14" o:spid="_x0000_s1040" type="#_x0000_t202" style="position:absolute;margin-left:270.5pt;margin-top:223pt;width:63pt;height:25.5pt;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" fillcolor="window" strokeweight=".5pt">
                <v:textbox>
                  <w:txbxContent>
                    <w:p w14:paraId="7EDF4362" w14:textId="77777777" w:rsidR="00345650" w:rsidRPr="0043144D" w:rsidRDefault="00345650" w:rsidP="00345650">
                      <w:pPr>
                        <w:ind w:hanging="2"/>
                      </w:pPr>
                      <w:bookmarkStart w:id="474" w:name="_Toc200486255"/>
                      <w:r w:rsidRPr="0043144D">
                        <w:t>Image 6</w:t>
                      </w:r>
                      <w:bookmarkEnd w:id="474"/>
                    </w:p>
                  </w:txbxContent>
                </v:textbox>
              </v:shape>
            </w:pict>
          </mc:Fallback>
        </mc:AlternateContent>
      </w:r>
      <w:r w:rsidRPr="0043144D">
        <w:rPr>
          <w:rFonts w:ascii="Calibri" w:eastAsia="Calibri" w:hAnsi="Calibri" w:cs="Arial"/>
          <w:noProof/>
          <w:lang w:val="fr-FR" w:eastAsia="fr-FR"/>
        </w:rPr>
        <mc:AlternateContent>
          <mc:Choice Requires="wps">
            <w:drawing>
              <wp:anchor distT="0" distB="0" distL="114300" distR="114300" simplePos="0" relativeHeight="251777024" behindDoc="0" locked="0" layoutInCell="1" allowOverlap="1" wp14:anchorId="504FA485" wp14:editId="0BF9E2B8">
                <wp:simplePos x="0" y="0"/>
                <wp:positionH relativeFrom="column">
                  <wp:posOffset>-203200</wp:posOffset>
                </wp:positionH>
                <wp:positionV relativeFrom="paragraph">
                  <wp:posOffset>3632200</wp:posOffset>
                </wp:positionV>
                <wp:extent cx="2343150" cy="3282950"/>
                <wp:effectExtent l="0" t="0" r="19050" b="12700"/>
                <wp:wrapNone/>
                <wp:docPr id="606815887" name="Zone de texte 15"/>
                <wp:cNvGraphicFramePr/>
                <a:graphic xmlns:a="http://schemas.openxmlformats.org/drawingml/2006/main">
                  <a:graphicData uri="http://schemas.microsoft.com/office/word/2010/wordprocessingShape">
                    <wps:wsp>
                      <wps:cNvSpPr txBox="1"/>
                      <wps:spPr>
                        <a:xfrm>
                          <a:off x="0" y="0"/>
                          <a:ext cx="2343150" cy="3282950"/>
                        </a:xfrm>
                        <a:prstGeom prst="rect">
                          <a:avLst/>
                        </a:prstGeom>
                        <a:solidFill>
                          <a:sysClr val="window" lastClr="FFFFFF"/>
                        </a:solidFill>
                        <a:ln w="6350">
                          <a:solidFill>
                            <a:prstClr val="black"/>
                          </a:solidFill>
                        </a:ln>
                      </wps:spPr>
                      <wps:txbx>
                        <w:txbxContent>
                          <w:p w14:paraId="7FE853B7" w14:textId="77777777" w:rsidR="00345650" w:rsidRDefault="00345650" w:rsidP="00345650">
                            <w:pPr>
                              <w:ind w:hanging="2"/>
                            </w:pPr>
                            <w:bookmarkStart w:id="457" w:name="_Toc200486256"/>
                            <w:r w:rsidRPr="00FC24FE">
                              <w:rPr>
                                <w:noProof/>
                                <w:lang w:val="fr-FR" w:eastAsia="fr-FR"/>
                              </w:rPr>
                              <w:drawing>
                                <wp:inline distT="0" distB="0" distL="0" distR="0" wp14:anchorId="596608B2" wp14:editId="3A6879D1">
                                  <wp:extent cx="2203450" cy="3185160"/>
                                  <wp:effectExtent l="0" t="0" r="6350" b="0"/>
                                  <wp:docPr id="881572470"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8541460" name=""/>
                                          <pic:cNvPicPr/>
                                        </pic:nvPicPr>
                                        <pic:blipFill>
                                          <a:blip r:embed="rId107"/>
                                          <a:stretch>
                                            <a:fillRect/>
                                          </a:stretch>
                                        </pic:blipFill>
                                        <pic:spPr>
                                          <a:xfrm>
                                            <a:off x="0" y="0"/>
                                            <a:ext cx="2203450" cy="3185160"/>
                                          </a:xfrm>
                                          <a:prstGeom prst="rect">
                                            <a:avLst/>
                                          </a:prstGeom>
                                        </pic:spPr>
                                      </pic:pic>
                                    </a:graphicData>
                                  </a:graphic>
                                </wp:inline>
                              </w:drawing>
                            </w:r>
                            <w:bookmarkEnd w:id="457"/>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04FA485" id="Zone de texte 15" o:spid="_x0000_s1041" type="#_x0000_t202" style="position:absolute;margin-left:-16pt;margin-top:286pt;width:184.5pt;height:258.5pt;z-index:251777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" fillcolor="window" strokeweight=".5pt">
                <v:textbox>
                  <w:txbxContent>
                    <w:p w14:paraId="7FE853B7" w14:textId="77777777" w:rsidR="00345650" w:rsidRDefault="00345650" w:rsidP="00345650">
                      <w:pPr>
                        <w:ind w:hanging="2"/>
                      </w:pPr>
                      <w:bookmarkStart w:id="476" w:name="_Toc200486256"/>
                      <w:r w:rsidRPr="00FC24FE">
                        <w:rPr>
                          <w:noProof/>
                        </w:rPr>
                        <w:drawing>
                          <wp:inline distT="0" distB="0" distL="0" distR="0" wp14:anchorId="596608B2" wp14:editId="3A6879D1">
                            <wp:extent cx="2203450" cy="3185160"/>
                            <wp:effectExtent l="0" t="0" r="6350" b="0"/>
                            <wp:docPr id="881572470"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8541460" name=""/>
                                    <pic:cNvPicPr/>
                                  </pic:nvPicPr>
                                  <pic:blipFill>
                                    <a:blip r:embed="rId108"/>
                                    <a:stretch>
                                      <a:fillRect/>
                                    </a:stretch>
                                  </pic:blipFill>
                                  <pic:spPr>
                                    <a:xfrm>
                                      <a:off x="0" y="0"/>
                                      <a:ext cx="2203450" cy="3185160"/>
                                    </a:xfrm>
                                    <a:prstGeom prst="rect">
                                      <a:avLst/>
                                    </a:prstGeom>
                                  </pic:spPr>
                                </pic:pic>
                              </a:graphicData>
                            </a:graphic>
                          </wp:inline>
                        </w:drawing>
                      </w:r>
                      <w:bookmarkEnd w:id="476"/>
                    </w:p>
                  </w:txbxContent>
                </v:textbox>
              </v:shape>
            </w:pict>
          </mc:Fallback>
        </mc:AlternateContent>
      </w:r>
      <w:r w:rsidRPr="0043144D">
        <w:rPr>
          <w:rFonts w:ascii="Calibri" w:eastAsia="Calibri" w:hAnsi="Calibri" w:cs="Arial"/>
          <w:noProof/>
          <w:lang w:val="fr-FR" w:eastAsia="fr-FR"/>
        </w:rPr>
        <mc:AlternateContent>
          <mc:Choice Requires="wps">
            <w:drawing>
              <wp:anchor distT="0" distB="0" distL="114300" distR="114300" simplePos="0" relativeHeight="251798528" behindDoc="0" locked="0" layoutInCell="1" allowOverlap="1" wp14:anchorId="0D49998C" wp14:editId="0C7B54DC">
                <wp:simplePos x="0" y="0"/>
                <wp:positionH relativeFrom="column">
                  <wp:posOffset>2736850</wp:posOffset>
                </wp:positionH>
                <wp:positionV relativeFrom="paragraph">
                  <wp:posOffset>3644900</wp:posOffset>
                </wp:positionV>
                <wp:extent cx="2482850" cy="3251200"/>
                <wp:effectExtent l="0" t="0" r="12700" b="25400"/>
                <wp:wrapNone/>
                <wp:docPr id="1909797668" name="Zone de texte 16"/>
                <wp:cNvGraphicFramePr/>
                <a:graphic xmlns:a="http://schemas.openxmlformats.org/drawingml/2006/main">
                  <a:graphicData uri="http://schemas.microsoft.com/office/word/2010/wordprocessingShape">
                    <wps:wsp>
                      <wps:cNvSpPr txBox="1"/>
                      <wps:spPr>
                        <a:xfrm>
                          <a:off x="0" y="0"/>
                          <a:ext cx="2482850" cy="3251200"/>
                        </a:xfrm>
                        <a:prstGeom prst="rect">
                          <a:avLst/>
                        </a:prstGeom>
                        <a:solidFill>
                          <a:sysClr val="window" lastClr="FFFFFF"/>
                        </a:solidFill>
                        <a:ln w="6350">
                          <a:solidFill>
                            <a:prstClr val="black"/>
                          </a:solidFill>
                        </a:ln>
                      </wps:spPr>
                      <wps:txbx>
                        <w:txbxContent>
                          <w:p w14:paraId="55162902" w14:textId="77777777" w:rsidR="00345650" w:rsidRDefault="00345650" w:rsidP="00345650">
                            <w:pPr>
                              <w:ind w:hanging="2"/>
                            </w:pPr>
                            <w:bookmarkStart w:id="458" w:name="_Toc200486257"/>
                            <w:r w:rsidRPr="00FC24FE">
                              <w:rPr>
                                <w:noProof/>
                                <w:lang w:val="fr-FR" w:eastAsia="fr-FR"/>
                              </w:rPr>
                              <w:drawing>
                                <wp:inline distT="0" distB="0" distL="0" distR="0" wp14:anchorId="22E27ABD" wp14:editId="658B75BB">
                                  <wp:extent cx="2293620" cy="3130550"/>
                                  <wp:effectExtent l="0" t="0" r="0" b="0"/>
                                  <wp:docPr id="1588145535"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5509903" name=""/>
                                          <pic:cNvPicPr/>
                                        </pic:nvPicPr>
                                        <pic:blipFill>
                                          <a:blip r:embed="rId109"/>
                                          <a:stretch>
                                            <a:fillRect/>
                                          </a:stretch>
                                        </pic:blipFill>
                                        <pic:spPr>
                                          <a:xfrm>
                                            <a:off x="0" y="0"/>
                                            <a:ext cx="2293620" cy="3130550"/>
                                          </a:xfrm>
                                          <a:prstGeom prst="rect">
                                            <a:avLst/>
                                          </a:prstGeom>
                                        </pic:spPr>
                                      </pic:pic>
                                    </a:graphicData>
                                  </a:graphic>
                                </wp:inline>
                              </w:drawing>
                            </w:r>
                            <w:bookmarkEnd w:id="458"/>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D49998C" id="Zone de texte 16" o:spid="_x0000_s1042" type="#_x0000_t202" style="position:absolute;margin-left:215.5pt;margin-top:287pt;width:195.5pt;height:256pt;z-index:251798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" fillcolor="window" strokeweight=".5pt">
                <v:textbox>
                  <w:txbxContent>
                    <w:p w14:paraId="55162902" w14:textId="77777777" w:rsidR="00345650" w:rsidRDefault="00345650" w:rsidP="00345650">
                      <w:pPr>
                        <w:ind w:hanging="2"/>
                      </w:pPr>
                      <w:bookmarkStart w:id="478" w:name="_Toc200486257"/>
                      <w:r w:rsidRPr="00FC24FE">
                        <w:rPr>
                          <w:noProof/>
                        </w:rPr>
                        <w:drawing>
                          <wp:inline distT="0" distB="0" distL="0" distR="0" wp14:anchorId="22E27ABD" wp14:editId="658B75BB">
                            <wp:extent cx="2293620" cy="3130550"/>
                            <wp:effectExtent l="0" t="0" r="0" b="0"/>
                            <wp:docPr id="1588145535"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5509903" name=""/>
                                    <pic:cNvPicPr/>
                                  </pic:nvPicPr>
                                  <pic:blipFill>
                                    <a:blip r:embed="rId110"/>
                                    <a:stretch>
                                      <a:fillRect/>
                                    </a:stretch>
                                  </pic:blipFill>
                                  <pic:spPr>
                                    <a:xfrm>
                                      <a:off x="0" y="0"/>
                                      <a:ext cx="2293620" cy="3130550"/>
                                    </a:xfrm>
                                    <a:prstGeom prst="rect">
                                      <a:avLst/>
                                    </a:prstGeom>
                                  </pic:spPr>
                                </pic:pic>
                              </a:graphicData>
                            </a:graphic>
                          </wp:inline>
                        </w:drawing>
                      </w:r>
                      <w:bookmarkEnd w:id="478"/>
                    </w:p>
                  </w:txbxContent>
                </v:textbox>
              </v:shape>
            </w:pict>
          </mc:Fallback>
        </mc:AlternateContent>
      </w:r>
      <w:bookmarkEnd w:id="452"/>
    </w:p>
    <w:p w14:paraId="486946B4" w14:textId="77777777" w:rsidR="00345650" w:rsidRPr="00A61801" w:rsidRDefault="00345650" w:rsidP="002C67BF">
      <w:pPr>
        <w:ind w:hanging="2"/>
        <w:rPr>
          <w:rFonts w:asciiTheme="majorBidi" w:hAnsiTheme="majorBidi" w:cstheme="majorBidi"/>
        </w:rPr>
      </w:pPr>
    </w:p>
    <w:p w14:paraId="09CA4A73" w14:textId="77777777" w:rsidR="00345650" w:rsidRPr="00A61801" w:rsidRDefault="00345650" w:rsidP="002C67BF">
      <w:pPr>
        <w:ind w:hanging="2"/>
        <w:rPr>
          <w:rFonts w:asciiTheme="majorBidi" w:hAnsiTheme="majorBidi" w:cstheme="majorBidi"/>
        </w:rPr>
      </w:pPr>
    </w:p>
    <w:p w14:paraId="3096D633" w14:textId="77777777" w:rsidR="00345650" w:rsidRPr="00A61801" w:rsidRDefault="00345650" w:rsidP="002C67BF">
      <w:pPr>
        <w:ind w:hanging="2"/>
        <w:rPr>
          <w:rFonts w:asciiTheme="majorBidi" w:hAnsiTheme="majorBidi" w:cstheme="majorBidi"/>
        </w:rPr>
      </w:pPr>
    </w:p>
    <w:p w14:paraId="25A433C0" w14:textId="77777777" w:rsidR="00345650" w:rsidRPr="00A61801" w:rsidRDefault="00345650" w:rsidP="002C67BF">
      <w:pPr>
        <w:ind w:hanging="2"/>
        <w:rPr>
          <w:rFonts w:asciiTheme="majorBidi" w:hAnsiTheme="majorBidi" w:cstheme="majorBidi"/>
        </w:rPr>
      </w:pPr>
    </w:p>
    <w:p w14:paraId="276222B2" w14:textId="77777777" w:rsidR="00345650" w:rsidRPr="00A61801" w:rsidRDefault="00345650" w:rsidP="002C67BF">
      <w:pPr>
        <w:ind w:hanging="2"/>
        <w:rPr>
          <w:rFonts w:asciiTheme="majorBidi" w:hAnsiTheme="majorBidi" w:cstheme="majorBidi"/>
        </w:rPr>
      </w:pPr>
    </w:p>
    <w:p w14:paraId="7AD9C740" w14:textId="77777777" w:rsidR="00345650" w:rsidRPr="00A61801" w:rsidRDefault="00345650" w:rsidP="002C67BF">
      <w:pPr>
        <w:ind w:hanging="2"/>
        <w:rPr>
          <w:rFonts w:asciiTheme="majorBidi" w:hAnsiTheme="majorBidi" w:cstheme="majorBidi"/>
        </w:rPr>
      </w:pPr>
    </w:p>
    <w:p w14:paraId="0FBDD21F" w14:textId="77777777" w:rsidR="00345650" w:rsidRPr="00A61801" w:rsidRDefault="00345650" w:rsidP="002C67BF">
      <w:pPr>
        <w:ind w:hanging="2"/>
        <w:rPr>
          <w:rFonts w:asciiTheme="majorBidi" w:hAnsiTheme="majorBidi" w:cstheme="majorBidi"/>
        </w:rPr>
      </w:pPr>
    </w:p>
    <w:p w14:paraId="0032AA16" w14:textId="77777777" w:rsidR="00345650" w:rsidRPr="00A61801" w:rsidRDefault="00345650" w:rsidP="002C67BF">
      <w:pPr>
        <w:ind w:hanging="2"/>
        <w:rPr>
          <w:rFonts w:asciiTheme="majorBidi" w:hAnsiTheme="majorBidi" w:cstheme="majorBidi"/>
        </w:rPr>
      </w:pPr>
    </w:p>
    <w:p w14:paraId="32B3B1A9" w14:textId="77777777" w:rsidR="00345650" w:rsidRPr="00A61801" w:rsidRDefault="00345650" w:rsidP="002C67BF">
      <w:pPr>
        <w:ind w:hanging="2"/>
        <w:rPr>
          <w:rFonts w:asciiTheme="majorBidi" w:hAnsiTheme="majorBidi" w:cstheme="majorBidi"/>
        </w:rPr>
      </w:pPr>
    </w:p>
    <w:p w14:paraId="32B3658E" w14:textId="77777777" w:rsidR="00345650" w:rsidRPr="00A61801" w:rsidRDefault="00345650" w:rsidP="002C67BF">
      <w:pPr>
        <w:ind w:hanging="2"/>
        <w:rPr>
          <w:rFonts w:asciiTheme="majorBidi" w:hAnsiTheme="majorBidi" w:cstheme="majorBidi"/>
        </w:rPr>
      </w:pPr>
    </w:p>
    <w:p w14:paraId="274BD38D" w14:textId="77777777" w:rsidR="00345650" w:rsidRPr="00A61801" w:rsidRDefault="00345650" w:rsidP="002C67BF">
      <w:pPr>
        <w:ind w:hanging="2"/>
        <w:rPr>
          <w:rFonts w:asciiTheme="majorBidi" w:hAnsiTheme="majorBidi" w:cstheme="majorBidi"/>
        </w:rPr>
      </w:pPr>
    </w:p>
    <w:p w14:paraId="22FF8F55" w14:textId="77777777" w:rsidR="00345650" w:rsidRPr="00A61801" w:rsidRDefault="00345650" w:rsidP="002C67BF">
      <w:pPr>
        <w:ind w:hanging="2"/>
        <w:rPr>
          <w:rFonts w:asciiTheme="majorBidi" w:hAnsiTheme="majorBidi" w:cstheme="majorBidi"/>
        </w:rPr>
      </w:pPr>
    </w:p>
    <w:p w14:paraId="412A71D1" w14:textId="77777777" w:rsidR="00345650" w:rsidRPr="00A61801" w:rsidRDefault="00345650" w:rsidP="002C67BF">
      <w:pPr>
        <w:ind w:hanging="2"/>
        <w:rPr>
          <w:rFonts w:asciiTheme="majorBidi" w:hAnsiTheme="majorBidi" w:cstheme="majorBidi"/>
        </w:rPr>
      </w:pPr>
    </w:p>
    <w:p w14:paraId="145D32C6" w14:textId="77777777" w:rsidR="00345650" w:rsidRPr="00A61801" w:rsidRDefault="00345650" w:rsidP="002C67BF">
      <w:pPr>
        <w:ind w:hanging="2"/>
        <w:rPr>
          <w:rFonts w:asciiTheme="majorBidi" w:hAnsiTheme="majorBidi" w:cstheme="majorBidi"/>
        </w:rPr>
      </w:pPr>
    </w:p>
    <w:p w14:paraId="56719338" w14:textId="77777777" w:rsidR="00345650" w:rsidRPr="00A61801" w:rsidRDefault="00345650" w:rsidP="002C67BF">
      <w:pPr>
        <w:ind w:hanging="2"/>
        <w:rPr>
          <w:rFonts w:asciiTheme="majorBidi" w:hAnsiTheme="majorBidi" w:cstheme="majorBidi"/>
        </w:rPr>
      </w:pPr>
    </w:p>
    <w:p w14:paraId="5E29BB83" w14:textId="77777777" w:rsidR="00345650" w:rsidRPr="00A61801" w:rsidRDefault="00345650" w:rsidP="002C67BF">
      <w:pPr>
        <w:ind w:hanging="2"/>
        <w:rPr>
          <w:rFonts w:asciiTheme="majorBidi" w:hAnsiTheme="majorBidi" w:cstheme="majorBidi"/>
        </w:rPr>
      </w:pPr>
    </w:p>
    <w:p w14:paraId="020B6736" w14:textId="77777777" w:rsidR="00345650" w:rsidRPr="00A61801" w:rsidRDefault="00345650" w:rsidP="002C67BF">
      <w:pPr>
        <w:ind w:hanging="2"/>
        <w:rPr>
          <w:rFonts w:asciiTheme="majorBidi" w:hAnsiTheme="majorBidi" w:cstheme="majorBidi"/>
        </w:rPr>
      </w:pPr>
    </w:p>
    <w:p w14:paraId="0A833533" w14:textId="77777777" w:rsidR="00345650" w:rsidRPr="00A61801" w:rsidRDefault="00345650" w:rsidP="002C67BF">
      <w:pPr>
        <w:ind w:hanging="2"/>
        <w:rPr>
          <w:rFonts w:asciiTheme="majorBidi" w:hAnsiTheme="majorBidi" w:cstheme="majorBidi"/>
        </w:rPr>
      </w:pPr>
    </w:p>
    <w:p w14:paraId="669C89F1" w14:textId="77777777" w:rsidR="00345650" w:rsidRPr="00A61801" w:rsidRDefault="00345650" w:rsidP="002C67BF">
      <w:pPr>
        <w:ind w:hanging="2"/>
        <w:rPr>
          <w:rFonts w:asciiTheme="majorBidi" w:hAnsiTheme="majorBidi" w:cstheme="majorBidi"/>
        </w:rPr>
      </w:pPr>
    </w:p>
    <w:p w14:paraId="1E64DE07" w14:textId="77777777" w:rsidR="00345650" w:rsidRPr="00A61801" w:rsidRDefault="00345650" w:rsidP="002C67BF">
      <w:pPr>
        <w:ind w:hanging="2"/>
        <w:rPr>
          <w:rFonts w:asciiTheme="majorBidi" w:hAnsiTheme="majorBidi" w:cstheme="majorBidi"/>
        </w:rPr>
      </w:pPr>
    </w:p>
    <w:p w14:paraId="1EA663EC" w14:textId="77777777" w:rsidR="00345650" w:rsidRPr="00A61801" w:rsidRDefault="00345650" w:rsidP="002C67BF">
      <w:pPr>
        <w:ind w:hanging="2"/>
        <w:rPr>
          <w:rFonts w:asciiTheme="majorBidi" w:hAnsiTheme="majorBidi" w:cstheme="majorBidi"/>
        </w:rPr>
      </w:pPr>
    </w:p>
    <w:p w14:paraId="7054231B" w14:textId="77777777" w:rsidR="00345650" w:rsidRPr="00A61801" w:rsidRDefault="00345650" w:rsidP="002C67BF">
      <w:pPr>
        <w:ind w:hanging="2"/>
        <w:rPr>
          <w:rFonts w:asciiTheme="majorBidi" w:hAnsiTheme="majorBidi" w:cstheme="majorBidi"/>
        </w:rPr>
      </w:pPr>
    </w:p>
    <w:p w14:paraId="66D3C2DC" w14:textId="77777777" w:rsidR="00345650" w:rsidRPr="00A61801" w:rsidRDefault="00345650" w:rsidP="002C67BF">
      <w:pPr>
        <w:ind w:hanging="2"/>
        <w:rPr>
          <w:rFonts w:asciiTheme="majorBidi" w:hAnsiTheme="majorBidi" w:cstheme="majorBidi"/>
        </w:rPr>
      </w:pPr>
    </w:p>
    <w:p w14:paraId="639BA641" w14:textId="77777777" w:rsidR="00345650" w:rsidRDefault="00345650" w:rsidP="002C67BF">
      <w:pPr>
        <w:ind w:hanging="2"/>
        <w:rPr>
          <w:rFonts w:asciiTheme="majorBidi" w:hAnsiTheme="majorBidi" w:cstheme="majorBidi"/>
        </w:rPr>
      </w:pPr>
    </w:p>
    <w:p w14:paraId="49155B8F" w14:textId="77777777" w:rsidR="00345650" w:rsidRDefault="00345650" w:rsidP="002C67BF">
      <w:pPr>
        <w:ind w:hanging="2"/>
        <w:rPr>
          <w:rFonts w:asciiTheme="majorBidi" w:hAnsiTheme="majorBidi" w:cstheme="majorBidi"/>
        </w:rPr>
      </w:pPr>
    </w:p>
    <w:p w14:paraId="1681478D" w14:textId="77777777" w:rsidR="00345650" w:rsidRDefault="00345650" w:rsidP="002C67BF">
      <w:pPr>
        <w:ind w:hanging="2"/>
        <w:rPr>
          <w:rFonts w:asciiTheme="majorBidi" w:hAnsiTheme="majorBidi" w:cstheme="majorBidi"/>
        </w:rPr>
      </w:pPr>
    </w:p>
    <w:p w14:paraId="13D7F08E" w14:textId="77777777" w:rsidR="00345650" w:rsidRDefault="00345650" w:rsidP="002C67BF">
      <w:pPr>
        <w:ind w:hanging="2"/>
        <w:rPr>
          <w:rFonts w:asciiTheme="majorBidi" w:hAnsiTheme="majorBidi" w:cstheme="majorBidi"/>
        </w:rPr>
      </w:pPr>
    </w:p>
    <w:p w14:paraId="11062644" w14:textId="77777777" w:rsidR="00345650" w:rsidRDefault="00345650" w:rsidP="002C67BF">
      <w:pPr>
        <w:ind w:hanging="2"/>
        <w:rPr>
          <w:rFonts w:asciiTheme="majorBidi" w:hAnsiTheme="majorBidi" w:cstheme="majorBidi"/>
        </w:rPr>
      </w:pPr>
    </w:p>
    <w:p w14:paraId="1AA85A2E" w14:textId="77777777" w:rsidR="00345650" w:rsidRDefault="00345650" w:rsidP="002C67BF">
      <w:pPr>
        <w:ind w:hanging="2"/>
        <w:rPr>
          <w:rFonts w:asciiTheme="majorBidi" w:hAnsiTheme="majorBidi" w:cstheme="majorBidi"/>
        </w:rPr>
      </w:pPr>
    </w:p>
    <w:p w14:paraId="376BB03B" w14:textId="77777777" w:rsidR="00345650" w:rsidRDefault="00345650" w:rsidP="002C67BF">
      <w:pPr>
        <w:ind w:hanging="2"/>
        <w:rPr>
          <w:rFonts w:asciiTheme="majorBidi" w:hAnsiTheme="majorBidi" w:cstheme="majorBidi"/>
        </w:rPr>
      </w:pPr>
    </w:p>
    <w:p w14:paraId="00093D1B" w14:textId="77777777" w:rsidR="00345650" w:rsidRDefault="00345650" w:rsidP="002C67BF">
      <w:pPr>
        <w:ind w:hanging="2"/>
        <w:rPr>
          <w:rFonts w:asciiTheme="majorBidi" w:hAnsiTheme="majorBidi" w:cstheme="majorBidi"/>
        </w:rPr>
      </w:pPr>
    </w:p>
    <w:p w14:paraId="4619697D" w14:textId="77777777" w:rsidR="00345650" w:rsidRDefault="00345650" w:rsidP="002C67BF">
      <w:pPr>
        <w:ind w:hanging="2"/>
        <w:rPr>
          <w:rFonts w:asciiTheme="majorBidi" w:hAnsiTheme="majorBidi" w:cstheme="majorBidi"/>
        </w:rPr>
      </w:pPr>
    </w:p>
    <w:p w14:paraId="4B1FE429" w14:textId="77777777" w:rsidR="00345650" w:rsidRDefault="00345650" w:rsidP="002C67BF">
      <w:pPr>
        <w:ind w:hanging="2"/>
        <w:rPr>
          <w:rFonts w:asciiTheme="majorBidi" w:hAnsiTheme="majorBidi" w:cstheme="majorBidi"/>
        </w:rPr>
      </w:pPr>
    </w:p>
    <w:p w14:paraId="669A0289" w14:textId="77777777" w:rsidR="00345650" w:rsidRDefault="00345650" w:rsidP="002C67BF">
      <w:pPr>
        <w:ind w:hanging="2"/>
        <w:rPr>
          <w:rFonts w:asciiTheme="majorBidi" w:hAnsiTheme="majorBidi" w:cstheme="majorBidi"/>
        </w:rPr>
      </w:pPr>
    </w:p>
    <w:p w14:paraId="2DCD61CA" w14:textId="77777777" w:rsidR="00345650" w:rsidRDefault="00345650" w:rsidP="002C67BF">
      <w:pPr>
        <w:ind w:hanging="2"/>
        <w:rPr>
          <w:rFonts w:asciiTheme="majorBidi" w:hAnsiTheme="majorBidi" w:cstheme="majorBidi"/>
        </w:rPr>
      </w:pPr>
    </w:p>
    <w:p w14:paraId="54F0171F" w14:textId="77777777" w:rsidR="00345650" w:rsidRDefault="00345650" w:rsidP="002C67BF">
      <w:pPr>
        <w:ind w:hanging="2"/>
        <w:rPr>
          <w:rFonts w:asciiTheme="majorBidi" w:hAnsiTheme="majorBidi" w:cstheme="majorBidi"/>
        </w:rPr>
      </w:pPr>
    </w:p>
    <w:p w14:paraId="251BD99A" w14:textId="77777777" w:rsidR="00345650" w:rsidRDefault="00345650" w:rsidP="002C67BF">
      <w:pPr>
        <w:ind w:hanging="2"/>
        <w:rPr>
          <w:rFonts w:asciiTheme="majorBidi" w:hAnsiTheme="majorBidi" w:cstheme="majorBidi"/>
        </w:rPr>
      </w:pPr>
    </w:p>
    <w:p w14:paraId="60486670" w14:textId="77777777" w:rsidR="00345650" w:rsidRDefault="00345650" w:rsidP="002C67BF">
      <w:pPr>
        <w:ind w:hanging="2"/>
        <w:rPr>
          <w:rFonts w:asciiTheme="majorBidi" w:hAnsiTheme="majorBidi" w:cstheme="majorBidi"/>
        </w:rPr>
      </w:pPr>
    </w:p>
    <w:p w14:paraId="04A353DA" w14:textId="77777777" w:rsidR="00345650" w:rsidRDefault="00345650" w:rsidP="002C67BF">
      <w:pPr>
        <w:ind w:hanging="2"/>
        <w:rPr>
          <w:rFonts w:asciiTheme="majorBidi" w:hAnsiTheme="majorBidi" w:cstheme="majorBidi"/>
        </w:rPr>
      </w:pPr>
    </w:p>
    <w:bookmarkStart w:id="459" w:name="_Toc200486258"/>
    <w:p w14:paraId="64E75C18" w14:textId="08D48753" w:rsidR="00345650" w:rsidRDefault="00345650" w:rsidP="002C67BF">
      <w:pPr>
        <w:ind w:hanging="2"/>
        <w:rPr>
          <w:rFonts w:asciiTheme="majorBidi" w:hAnsiTheme="majorBidi" w:cstheme="majorBidi"/>
        </w:rPr>
      </w:pPr>
      <w:r w:rsidRPr="00A61801">
        <w:rPr>
          <w:rFonts w:ascii="Calibri" w:eastAsia="Calibri" w:hAnsi="Calibri" w:cs="Arial"/>
          <w:noProof/>
          <w:lang w:val="fr-FR" w:eastAsia="fr-FR"/>
        </w:rPr>
        <mc:AlternateContent>
          <mc:Choice Requires="wps">
            <w:drawing>
              <wp:anchor distT="0" distB="0" distL="114300" distR="114300" simplePos="0" relativeHeight="251820032" behindDoc="0" locked="0" layoutInCell="1" allowOverlap="1" wp14:anchorId="630D3EB9" wp14:editId="72732F3F">
                <wp:simplePos x="0" y="0"/>
                <wp:positionH relativeFrom="column">
                  <wp:posOffset>520700</wp:posOffset>
                </wp:positionH>
                <wp:positionV relativeFrom="paragraph">
                  <wp:posOffset>113665</wp:posOffset>
                </wp:positionV>
                <wp:extent cx="761365" cy="323850"/>
                <wp:effectExtent l="0" t="0" r="19685" b="19050"/>
                <wp:wrapNone/>
                <wp:docPr id="283345748" name="Zone de texte 17"/>
                <wp:cNvGraphicFramePr/>
                <a:graphic xmlns:a="http://schemas.openxmlformats.org/drawingml/2006/main">
                  <a:graphicData uri="http://schemas.microsoft.com/office/word/2010/wordprocessingShape">
                    <wps:wsp>
                      <wps:cNvSpPr txBox="1"/>
                      <wps:spPr>
                        <a:xfrm>
                          <a:off x="0" y="0"/>
                          <a:ext cx="761365" cy="323850"/>
                        </a:xfrm>
                        <a:prstGeom prst="rect">
                          <a:avLst/>
                        </a:prstGeom>
                        <a:solidFill>
                          <a:sysClr val="window" lastClr="FFFFFF"/>
                        </a:solidFill>
                        <a:ln w="6350">
                          <a:solidFill>
                            <a:prstClr val="black"/>
                          </a:solidFill>
                        </a:ln>
                      </wps:spPr>
                      <wps:txbx>
                        <w:txbxContent>
                          <w:p w14:paraId="3230754E" w14:textId="77777777" w:rsidR="00345650" w:rsidRPr="00A61801" w:rsidRDefault="00345650" w:rsidP="00345650">
                            <w:pPr>
                              <w:ind w:hanging="2"/>
                            </w:pPr>
                            <w:bookmarkStart w:id="460" w:name="_Toc200486259"/>
                            <w:r w:rsidRPr="00A61801">
                              <w:t>Image 7</w:t>
                            </w:r>
                            <w:bookmarkEnd w:id="460"/>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30D3EB9" id="Zone de texte 17" o:spid="_x0000_s1043" type="#_x0000_t202" style="position:absolute;margin-left:41pt;margin-top:8.95pt;width:59.95pt;height:25.5pt;z-index:251820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" fillcolor="window" strokeweight=".5pt">
                <v:textbox>
                  <w:txbxContent>
                    <w:p w14:paraId="3230754E" w14:textId="77777777" w:rsidR="00345650" w:rsidRPr="00A61801" w:rsidRDefault="00345650" w:rsidP="00345650">
                      <w:pPr>
                        <w:ind w:hanging="2"/>
                      </w:pPr>
                      <w:bookmarkStart w:id="481" w:name="_Toc200486259"/>
                      <w:r w:rsidRPr="00A61801">
                        <w:t>Image 7</w:t>
                      </w:r>
                      <w:bookmarkEnd w:id="481"/>
                    </w:p>
                  </w:txbxContent>
                </v:textbox>
              </v:shape>
            </w:pict>
          </mc:Fallback>
        </mc:AlternateContent>
      </w:r>
      <w:r w:rsidRPr="00A61801">
        <w:rPr>
          <w:rFonts w:ascii="Calibri" w:eastAsia="Calibri" w:hAnsi="Calibri" w:cs="Arial"/>
          <w:noProof/>
          <w:lang w:val="fr-FR" w:eastAsia="fr-FR"/>
        </w:rPr>
        <mc:AlternateContent>
          <mc:Choice Requires="wps">
            <w:drawing>
              <wp:anchor distT="0" distB="0" distL="114300" distR="114300" simplePos="0" relativeHeight="251841536" behindDoc="0" locked="0" layoutInCell="1" allowOverlap="1" wp14:anchorId="4CF7B0F6" wp14:editId="47E86DFC">
                <wp:simplePos x="0" y="0"/>
                <wp:positionH relativeFrom="column">
                  <wp:posOffset>3606800</wp:posOffset>
                </wp:positionH>
                <wp:positionV relativeFrom="paragraph">
                  <wp:posOffset>43815</wp:posOffset>
                </wp:positionV>
                <wp:extent cx="831850" cy="355600"/>
                <wp:effectExtent l="0" t="0" r="25400" b="25400"/>
                <wp:wrapNone/>
                <wp:docPr id="1003093175" name="Zone de texte 18"/>
                <wp:cNvGraphicFramePr/>
                <a:graphic xmlns:a="http://schemas.openxmlformats.org/drawingml/2006/main">
                  <a:graphicData uri="http://schemas.microsoft.com/office/word/2010/wordprocessingShape">
                    <wps:wsp>
                      <wps:cNvSpPr txBox="1"/>
                      <wps:spPr>
                        <a:xfrm>
                          <a:off x="0" y="0"/>
                          <a:ext cx="831850" cy="355600"/>
                        </a:xfrm>
                        <a:prstGeom prst="rect">
                          <a:avLst/>
                        </a:prstGeom>
                        <a:solidFill>
                          <a:sysClr val="window" lastClr="FFFFFF"/>
                        </a:solidFill>
                        <a:ln w="6350">
                          <a:solidFill>
                            <a:prstClr val="black"/>
                          </a:solidFill>
                        </a:ln>
                      </wps:spPr>
                      <wps:txbx>
                        <w:txbxContent>
                          <w:p w14:paraId="0E5A0C61" w14:textId="77777777" w:rsidR="00345650" w:rsidRPr="00A61801" w:rsidRDefault="00345650" w:rsidP="00345650">
                            <w:pPr>
                              <w:ind w:hanging="2"/>
                            </w:pPr>
                            <w:bookmarkStart w:id="461" w:name="_Toc200486260"/>
                            <w:r w:rsidRPr="00A61801">
                              <w:t>Image 8</w:t>
                            </w:r>
                            <w:bookmarkEnd w:id="461"/>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CF7B0F6" id="Zone de texte 18" o:spid="_x0000_s1044" type="#_x0000_t202" style="position:absolute;margin-left:284pt;margin-top:3.45pt;width:65.5pt;height:28pt;z-index:251841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" fillcolor="window" strokeweight=".5pt">
                <v:textbox>
                  <w:txbxContent>
                    <w:p w14:paraId="0E5A0C61" w14:textId="77777777" w:rsidR="00345650" w:rsidRPr="00A61801" w:rsidRDefault="00345650" w:rsidP="00345650">
                      <w:pPr>
                        <w:ind w:hanging="2"/>
                      </w:pPr>
                      <w:bookmarkStart w:id="483" w:name="_Toc200486260"/>
                      <w:r w:rsidRPr="00A61801">
                        <w:t>Image 8</w:t>
                      </w:r>
                      <w:bookmarkEnd w:id="483"/>
                    </w:p>
                  </w:txbxContent>
                </v:textbox>
              </v:shape>
            </w:pict>
          </mc:Fallback>
        </mc:AlternateContent>
      </w:r>
      <w:bookmarkEnd w:id="459"/>
    </w:p>
    <w:p w14:paraId="1AC4ED52" w14:textId="77777777" w:rsidR="00345650" w:rsidRDefault="00345650" w:rsidP="002C67BF">
      <w:pPr>
        <w:ind w:hanging="2"/>
        <w:rPr>
          <w:rFonts w:asciiTheme="majorBidi" w:hAnsiTheme="majorBidi" w:cstheme="majorBidi"/>
        </w:rPr>
      </w:pPr>
    </w:p>
    <w:p w14:paraId="15ECA97A" w14:textId="77777777" w:rsidR="00EE198C" w:rsidRDefault="00EE198C" w:rsidP="00A9650A">
      <w:pPr>
        <w:rPr>
          <w:rFonts w:asciiTheme="majorBidi" w:hAnsiTheme="majorBidi" w:cstheme="majorBidi"/>
        </w:rPr>
      </w:pPr>
    </w:p>
    <w:p w14:paraId="77BE136E" w14:textId="77777777" w:rsidR="00345650" w:rsidRDefault="00345650" w:rsidP="002C67BF">
      <w:pPr>
        <w:ind w:hanging="2"/>
        <w:rPr>
          <w:rFonts w:asciiTheme="majorBidi" w:hAnsiTheme="majorBidi" w:cstheme="majorBidi"/>
        </w:rPr>
      </w:pPr>
    </w:p>
    <w:p w14:paraId="577C0456" w14:textId="77777777" w:rsidR="00345650" w:rsidRPr="00DA4D7E" w:rsidRDefault="00345650" w:rsidP="002C67BF">
      <w:pPr>
        <w:ind w:hanging="2"/>
        <w:rPr>
          <w:b/>
          <w:bCs/>
        </w:rPr>
      </w:pPr>
      <w:bookmarkStart w:id="462" w:name="_Toc199830547"/>
      <w:bookmarkStart w:id="463" w:name="_Toc200486261"/>
      <w:r w:rsidRPr="00DA4D7E">
        <w:rPr>
          <w:b/>
          <w:bCs/>
        </w:rPr>
        <w:t>Appendix B</w:t>
      </w:r>
      <w:bookmarkEnd w:id="462"/>
      <w:bookmarkEnd w:id="463"/>
    </w:p>
    <w:p w14:paraId="4BBF4623" w14:textId="77777777" w:rsidR="00345650" w:rsidRDefault="00345650" w:rsidP="002C67BF">
      <w:pPr>
        <w:ind w:hanging="2"/>
        <w:rPr>
          <w:rFonts w:asciiTheme="majorBidi" w:eastAsia="Calibri" w:hAnsiTheme="majorBidi" w:cstheme="majorBidi"/>
          <w:b/>
          <w:bCs/>
          <w:sz w:val="20"/>
          <w:szCs w:val="20"/>
        </w:rPr>
      </w:pPr>
      <w:bookmarkStart w:id="464" w:name="_Toc200486262"/>
      <w:r w:rsidRPr="00581091">
        <w:rPr>
          <w:rFonts w:asciiTheme="majorBidi" w:eastAsia="Calibri" w:hAnsiTheme="majorBidi" w:cstheme="majorBidi"/>
          <w:b/>
          <w:bCs/>
          <w:sz w:val="20"/>
          <w:szCs w:val="20"/>
        </w:rPr>
        <w:t>Interview with Middle School Teachers of English</w:t>
      </w:r>
      <w:bookmarkEnd w:id="464"/>
    </w:p>
    <w:p w14:paraId="24415520" w14:textId="77777777" w:rsidR="00EF5E15" w:rsidRPr="00581091" w:rsidRDefault="00EF5E15" w:rsidP="002C67BF">
      <w:pPr>
        <w:ind w:hanging="2"/>
        <w:rPr>
          <w:rFonts w:asciiTheme="majorBidi" w:eastAsia="Calibri" w:hAnsiTheme="majorBidi" w:cstheme="majorBidi"/>
          <w:b/>
          <w:bCs/>
          <w:sz w:val="20"/>
          <w:szCs w:val="20"/>
        </w:rPr>
      </w:pPr>
    </w:p>
    <w:p w14:paraId="03F27FF7" w14:textId="01CC981D" w:rsidR="00345650" w:rsidRPr="00581091" w:rsidRDefault="00345650" w:rsidP="002C67BF">
      <w:pPr>
        <w:ind w:hanging="2"/>
        <w:rPr>
          <w:rFonts w:asciiTheme="majorBidi" w:eastAsia="Calibri" w:hAnsiTheme="majorBidi" w:cstheme="majorBidi"/>
          <w:b/>
          <w:bCs/>
          <w:sz w:val="20"/>
          <w:szCs w:val="20"/>
        </w:rPr>
      </w:pPr>
      <w:bookmarkStart w:id="465" w:name="_Toc200486263"/>
      <w:r w:rsidRPr="00581091">
        <w:rPr>
          <w:rFonts w:asciiTheme="majorBidi" w:eastAsia="Calibri" w:hAnsiTheme="majorBidi" w:cstheme="majorBidi"/>
          <w:b/>
          <w:bCs/>
          <w:sz w:val="20"/>
          <w:szCs w:val="20"/>
        </w:rPr>
        <w:t xml:space="preserve">Interview </w:t>
      </w:r>
      <w:proofErr w:type="gramStart"/>
      <w:r w:rsidRPr="00581091">
        <w:rPr>
          <w:rFonts w:asciiTheme="majorBidi" w:eastAsia="Calibri" w:hAnsiTheme="majorBidi" w:cstheme="majorBidi"/>
          <w:b/>
          <w:bCs/>
          <w:sz w:val="20"/>
          <w:szCs w:val="20"/>
        </w:rPr>
        <w:t>1</w:t>
      </w:r>
      <w:proofErr w:type="gramEnd"/>
      <w:r w:rsidR="00A9650A">
        <w:rPr>
          <w:rFonts w:asciiTheme="majorBidi" w:eastAsia="Calibri" w:hAnsiTheme="majorBidi" w:cstheme="majorBidi"/>
          <w:b/>
          <w:bCs/>
          <w:sz w:val="20"/>
          <w:szCs w:val="20"/>
        </w:rPr>
        <w:t xml:space="preserve"> Sample</w:t>
      </w:r>
      <w:r w:rsidRPr="00581091">
        <w:rPr>
          <w:rFonts w:asciiTheme="majorBidi" w:eastAsia="Calibri" w:hAnsiTheme="majorBidi" w:cstheme="majorBidi"/>
          <w:b/>
          <w:bCs/>
          <w:sz w:val="20"/>
          <w:szCs w:val="20"/>
        </w:rPr>
        <w:t>:</w:t>
      </w:r>
      <w:bookmarkEnd w:id="465"/>
      <w:r w:rsidRPr="00581091">
        <w:rPr>
          <w:rFonts w:asciiTheme="majorBidi" w:eastAsia="Calibri" w:hAnsiTheme="majorBidi" w:cstheme="majorBidi"/>
          <w:b/>
          <w:bCs/>
          <w:sz w:val="20"/>
          <w:szCs w:val="20"/>
        </w:rPr>
        <w:t xml:space="preserve"> </w:t>
      </w:r>
    </w:p>
    <w:p w14:paraId="0923D2A4" w14:textId="77777777" w:rsidR="00345650" w:rsidRPr="00581091" w:rsidRDefault="00345650" w:rsidP="002C67BF">
      <w:pPr>
        <w:ind w:hanging="2"/>
        <w:rPr>
          <w:rFonts w:asciiTheme="majorBidi" w:eastAsia="Calibri" w:hAnsiTheme="majorBidi" w:cstheme="majorBidi"/>
          <w:sz w:val="20"/>
          <w:szCs w:val="20"/>
        </w:rPr>
      </w:pPr>
      <w:bookmarkStart w:id="466" w:name="_Toc200486264"/>
      <w:r w:rsidRPr="00581091">
        <w:rPr>
          <w:rFonts w:asciiTheme="majorBidi" w:eastAsia="Calibri" w:hAnsiTheme="majorBidi" w:cstheme="majorBidi"/>
          <w:b/>
          <w:bCs/>
          <w:sz w:val="20"/>
          <w:szCs w:val="20"/>
        </w:rPr>
        <w:t>Interviewer:</w:t>
      </w:r>
      <w:r w:rsidRPr="00581091">
        <w:rPr>
          <w:rFonts w:asciiTheme="majorBidi" w:eastAsia="Calibri" w:hAnsiTheme="majorBidi" w:cstheme="majorBidi"/>
          <w:sz w:val="20"/>
          <w:szCs w:val="20"/>
        </w:rPr>
        <w:t xml:space="preserve"> Have discussions in online teacher communities shaped your understanding of assessment concepts like validity, reliability and consistency with learning objectives?</w:t>
      </w:r>
      <w:bookmarkEnd w:id="466"/>
    </w:p>
    <w:p w14:paraId="3E54A1FD" w14:textId="77777777" w:rsidR="00345650" w:rsidRPr="00581091" w:rsidRDefault="00345650" w:rsidP="002C67BF">
      <w:pPr>
        <w:ind w:hanging="2"/>
        <w:rPr>
          <w:rFonts w:asciiTheme="majorBidi" w:eastAsia="Calibri" w:hAnsiTheme="majorBidi" w:cstheme="majorBidi"/>
          <w:sz w:val="20"/>
          <w:szCs w:val="20"/>
        </w:rPr>
      </w:pPr>
      <w:bookmarkStart w:id="467" w:name="_Toc200486265"/>
      <w:r w:rsidRPr="00581091">
        <w:rPr>
          <w:rFonts w:asciiTheme="majorBidi" w:eastAsia="Calibri" w:hAnsiTheme="majorBidi" w:cstheme="majorBidi"/>
          <w:b/>
          <w:bCs/>
          <w:sz w:val="20"/>
          <w:szCs w:val="20"/>
        </w:rPr>
        <w:t>Teacher 1:</w:t>
      </w:r>
      <w:r w:rsidRPr="00581091">
        <w:rPr>
          <w:rFonts w:asciiTheme="majorBidi" w:eastAsia="Calibri" w:hAnsiTheme="majorBidi" w:cstheme="majorBidi"/>
          <w:sz w:val="20"/>
          <w:szCs w:val="20"/>
        </w:rPr>
        <w:t xml:space="preserve"> For me, discussions in such communities had a great impact on my understanding to these concepts because the more I engage with more content, I understand more the criteria of better assessment tools like: validity of my tests, how reliable are they, to what extent they align with the learning objectives... etc.</w:t>
      </w:r>
      <w:bookmarkEnd w:id="467"/>
    </w:p>
    <w:p w14:paraId="4FD73A88" w14:textId="77777777" w:rsidR="00345650" w:rsidRPr="00581091" w:rsidRDefault="00345650" w:rsidP="002C67BF">
      <w:pPr>
        <w:ind w:hanging="2"/>
        <w:rPr>
          <w:rFonts w:asciiTheme="majorBidi" w:eastAsia="Calibri" w:hAnsiTheme="majorBidi" w:cstheme="majorBidi"/>
          <w:sz w:val="20"/>
          <w:szCs w:val="20"/>
        </w:rPr>
      </w:pPr>
      <w:bookmarkStart w:id="468" w:name="_Toc200486266"/>
      <w:r w:rsidRPr="00581091">
        <w:rPr>
          <w:rFonts w:asciiTheme="majorBidi" w:eastAsia="Calibri" w:hAnsiTheme="majorBidi" w:cstheme="majorBidi"/>
          <w:b/>
          <w:bCs/>
          <w:sz w:val="20"/>
          <w:szCs w:val="20"/>
        </w:rPr>
        <w:t>Interviewer:</w:t>
      </w:r>
      <w:r w:rsidRPr="00581091">
        <w:rPr>
          <w:rFonts w:asciiTheme="majorBidi" w:eastAsia="Calibri" w:hAnsiTheme="majorBidi" w:cstheme="majorBidi"/>
          <w:sz w:val="20"/>
          <w:szCs w:val="20"/>
        </w:rPr>
        <w:t xml:space="preserve"> How do OTC help you evaluate the effectiveness of assessment tools?</w:t>
      </w:r>
      <w:bookmarkEnd w:id="468"/>
    </w:p>
    <w:p w14:paraId="0EED4229" w14:textId="77777777" w:rsidR="00345650" w:rsidRPr="00581091" w:rsidRDefault="00345650" w:rsidP="002C67BF">
      <w:pPr>
        <w:ind w:hanging="2"/>
        <w:rPr>
          <w:rFonts w:asciiTheme="majorBidi" w:eastAsia="Calibri" w:hAnsiTheme="majorBidi" w:cstheme="majorBidi"/>
          <w:sz w:val="20"/>
          <w:szCs w:val="20"/>
        </w:rPr>
      </w:pPr>
      <w:bookmarkStart w:id="469" w:name="_Toc200486267"/>
      <w:r w:rsidRPr="00581091">
        <w:rPr>
          <w:rFonts w:asciiTheme="majorBidi" w:eastAsia="Calibri" w:hAnsiTheme="majorBidi" w:cstheme="majorBidi"/>
          <w:b/>
          <w:bCs/>
          <w:sz w:val="20"/>
          <w:szCs w:val="20"/>
        </w:rPr>
        <w:t>Teacher 1:</w:t>
      </w:r>
      <w:r w:rsidRPr="00581091">
        <w:rPr>
          <w:rFonts w:asciiTheme="majorBidi" w:eastAsia="Calibri" w:hAnsiTheme="majorBidi" w:cstheme="majorBidi"/>
          <w:sz w:val="20"/>
          <w:szCs w:val="20"/>
        </w:rPr>
        <w:t xml:space="preserve"> These communities indeed help a lot because the more engagement, the more feedback I receive about how reliable are my assessment tools. This is due to the availability of different experienced teachers in such communities through which we novice ones learn from.</w:t>
      </w:r>
      <w:bookmarkEnd w:id="469"/>
    </w:p>
    <w:p w14:paraId="3F0FCEB3" w14:textId="77777777" w:rsidR="00345650" w:rsidRPr="00581091" w:rsidRDefault="00345650" w:rsidP="002C67BF">
      <w:pPr>
        <w:ind w:hanging="2"/>
        <w:rPr>
          <w:rFonts w:asciiTheme="majorBidi" w:eastAsia="Calibri" w:hAnsiTheme="majorBidi" w:cstheme="majorBidi"/>
          <w:sz w:val="20"/>
          <w:szCs w:val="20"/>
        </w:rPr>
      </w:pPr>
      <w:bookmarkStart w:id="470" w:name="_Toc200486268"/>
      <w:r w:rsidRPr="00581091">
        <w:rPr>
          <w:rFonts w:asciiTheme="majorBidi" w:eastAsia="Calibri" w:hAnsiTheme="majorBidi" w:cstheme="majorBidi"/>
          <w:b/>
          <w:bCs/>
          <w:sz w:val="20"/>
          <w:szCs w:val="20"/>
        </w:rPr>
        <w:t>Interviewer:</w:t>
      </w:r>
      <w:r w:rsidRPr="00581091">
        <w:rPr>
          <w:rFonts w:asciiTheme="majorBidi" w:eastAsia="Calibri" w:hAnsiTheme="majorBidi" w:cstheme="majorBidi"/>
          <w:sz w:val="20"/>
          <w:szCs w:val="20"/>
        </w:rPr>
        <w:t xml:space="preserve"> How do they help you to grade projects and portfolios?</w:t>
      </w:r>
      <w:bookmarkEnd w:id="470"/>
    </w:p>
    <w:p w14:paraId="5C797E85" w14:textId="77777777" w:rsidR="00345650" w:rsidRPr="00581091" w:rsidRDefault="00345650" w:rsidP="002C67BF">
      <w:pPr>
        <w:ind w:hanging="2"/>
        <w:rPr>
          <w:rFonts w:asciiTheme="majorBidi" w:eastAsia="Calibri" w:hAnsiTheme="majorBidi" w:cstheme="majorBidi"/>
          <w:sz w:val="20"/>
          <w:szCs w:val="20"/>
        </w:rPr>
      </w:pPr>
      <w:bookmarkStart w:id="471" w:name="_Toc200486269"/>
      <w:r w:rsidRPr="00581091">
        <w:rPr>
          <w:rFonts w:asciiTheme="majorBidi" w:eastAsia="Calibri" w:hAnsiTheme="majorBidi" w:cstheme="majorBidi"/>
          <w:b/>
          <w:bCs/>
          <w:sz w:val="20"/>
          <w:szCs w:val="20"/>
        </w:rPr>
        <w:t>Teacher 1:</w:t>
      </w:r>
      <w:r w:rsidRPr="00581091">
        <w:rPr>
          <w:rFonts w:asciiTheme="majorBidi" w:eastAsia="Calibri" w:hAnsiTheme="majorBidi" w:cstheme="majorBidi"/>
          <w:sz w:val="20"/>
          <w:szCs w:val="20"/>
        </w:rPr>
        <w:t xml:space="preserve"> These communities indeed help in grading projects and portfolios since sharing my </w:t>
      </w:r>
      <w:proofErr w:type="gramStart"/>
      <w:r w:rsidRPr="00581091">
        <w:rPr>
          <w:rFonts w:asciiTheme="majorBidi" w:eastAsia="Calibri" w:hAnsiTheme="majorBidi" w:cstheme="majorBidi"/>
          <w:sz w:val="20"/>
          <w:szCs w:val="20"/>
        </w:rPr>
        <w:t>students</w:t>
      </w:r>
      <w:proofErr w:type="gramEnd"/>
      <w:r w:rsidRPr="00581091">
        <w:rPr>
          <w:rFonts w:asciiTheme="majorBidi" w:eastAsia="Calibri" w:hAnsiTheme="majorBidi" w:cstheme="majorBidi"/>
          <w:sz w:val="20"/>
          <w:szCs w:val="20"/>
        </w:rPr>
        <w:t xml:space="preserve"> works and receiving more feedback in addition to mine helps my evaluation skills get more sharpened, focused and effective.</w:t>
      </w:r>
      <w:bookmarkEnd w:id="471"/>
    </w:p>
    <w:p w14:paraId="3BF797D2" w14:textId="77777777" w:rsidR="00345650" w:rsidRPr="00581091" w:rsidRDefault="00345650" w:rsidP="002C67BF">
      <w:pPr>
        <w:ind w:hanging="2"/>
        <w:rPr>
          <w:rFonts w:asciiTheme="majorBidi" w:eastAsia="Calibri" w:hAnsiTheme="majorBidi" w:cstheme="majorBidi"/>
          <w:sz w:val="20"/>
          <w:szCs w:val="20"/>
        </w:rPr>
      </w:pPr>
      <w:bookmarkStart w:id="472" w:name="_Toc200486270"/>
      <w:r w:rsidRPr="00581091">
        <w:rPr>
          <w:rFonts w:asciiTheme="majorBidi" w:eastAsia="Calibri" w:hAnsiTheme="majorBidi" w:cstheme="majorBidi"/>
          <w:b/>
          <w:bCs/>
          <w:sz w:val="20"/>
          <w:szCs w:val="20"/>
        </w:rPr>
        <w:t>Interviewer:</w:t>
      </w:r>
      <w:r w:rsidRPr="00581091">
        <w:rPr>
          <w:rFonts w:asciiTheme="majorBidi" w:eastAsia="Calibri" w:hAnsiTheme="majorBidi" w:cstheme="majorBidi"/>
          <w:sz w:val="20"/>
          <w:szCs w:val="20"/>
        </w:rPr>
        <w:t xml:space="preserve"> To what extent do you use OTC in your summative assessment practices?</w:t>
      </w:r>
      <w:bookmarkEnd w:id="472"/>
      <w:r w:rsidRPr="00581091">
        <w:rPr>
          <w:rFonts w:asciiTheme="majorBidi" w:eastAsia="Calibri" w:hAnsiTheme="majorBidi" w:cstheme="majorBidi"/>
          <w:sz w:val="20"/>
          <w:szCs w:val="20"/>
        </w:rPr>
        <w:t xml:space="preserve"> </w:t>
      </w:r>
    </w:p>
    <w:p w14:paraId="24883586" w14:textId="77777777" w:rsidR="00345650" w:rsidRPr="00581091" w:rsidRDefault="00345650" w:rsidP="002C67BF">
      <w:pPr>
        <w:ind w:hanging="2"/>
        <w:rPr>
          <w:rFonts w:asciiTheme="majorBidi" w:eastAsia="Calibri" w:hAnsiTheme="majorBidi" w:cstheme="majorBidi"/>
          <w:sz w:val="20"/>
          <w:szCs w:val="20"/>
        </w:rPr>
      </w:pPr>
      <w:bookmarkStart w:id="473" w:name="_Toc200486271"/>
      <w:r w:rsidRPr="00581091">
        <w:rPr>
          <w:rFonts w:asciiTheme="majorBidi" w:eastAsia="Calibri" w:hAnsiTheme="majorBidi" w:cstheme="majorBidi"/>
          <w:b/>
          <w:bCs/>
          <w:sz w:val="20"/>
          <w:szCs w:val="20"/>
        </w:rPr>
        <w:t>Teacher 1:</w:t>
      </w:r>
      <w:r w:rsidRPr="00581091">
        <w:rPr>
          <w:rFonts w:asciiTheme="majorBidi" w:eastAsia="Calibri" w:hAnsiTheme="majorBidi" w:cstheme="majorBidi"/>
          <w:sz w:val="20"/>
          <w:szCs w:val="20"/>
        </w:rPr>
        <w:t xml:space="preserve"> I sometimes use them. I share my tests or exams and wait for other teachers’ feedback. This helps me get more competent in designing more engaging and effective tools.</w:t>
      </w:r>
      <w:bookmarkEnd w:id="473"/>
    </w:p>
    <w:p w14:paraId="187A0E2E" w14:textId="77777777" w:rsidR="00345650" w:rsidRPr="00581091" w:rsidRDefault="00345650" w:rsidP="002C67BF">
      <w:pPr>
        <w:ind w:hanging="2"/>
        <w:rPr>
          <w:rFonts w:asciiTheme="majorBidi" w:eastAsia="Calibri" w:hAnsiTheme="majorBidi" w:cstheme="majorBidi"/>
          <w:sz w:val="20"/>
          <w:szCs w:val="20"/>
        </w:rPr>
      </w:pPr>
      <w:bookmarkStart w:id="474" w:name="_Toc200486272"/>
      <w:r w:rsidRPr="00581091">
        <w:rPr>
          <w:rFonts w:asciiTheme="majorBidi" w:eastAsia="Calibri" w:hAnsiTheme="majorBidi" w:cstheme="majorBidi"/>
          <w:b/>
          <w:bCs/>
          <w:sz w:val="20"/>
          <w:szCs w:val="20"/>
        </w:rPr>
        <w:t>Interviewer:</w:t>
      </w:r>
      <w:r w:rsidRPr="00581091">
        <w:rPr>
          <w:rFonts w:asciiTheme="majorBidi" w:eastAsia="Calibri" w:hAnsiTheme="majorBidi" w:cstheme="majorBidi"/>
          <w:sz w:val="20"/>
          <w:szCs w:val="20"/>
        </w:rPr>
        <w:t xml:space="preserve"> How do these communities influence your creativity and confidence in developing assessment tools?</w:t>
      </w:r>
      <w:bookmarkEnd w:id="474"/>
    </w:p>
    <w:p w14:paraId="1D7EAC8A" w14:textId="77777777" w:rsidR="00345650" w:rsidRPr="00581091" w:rsidRDefault="00345650" w:rsidP="002C67BF">
      <w:pPr>
        <w:ind w:hanging="2"/>
        <w:rPr>
          <w:rFonts w:asciiTheme="majorBidi" w:eastAsia="Calibri" w:hAnsiTheme="majorBidi" w:cstheme="majorBidi"/>
          <w:sz w:val="20"/>
          <w:szCs w:val="20"/>
        </w:rPr>
      </w:pPr>
      <w:bookmarkStart w:id="475" w:name="_Toc200486273"/>
      <w:r w:rsidRPr="00581091">
        <w:rPr>
          <w:rFonts w:asciiTheme="majorBidi" w:eastAsia="Calibri" w:hAnsiTheme="majorBidi" w:cstheme="majorBidi"/>
          <w:b/>
          <w:bCs/>
          <w:sz w:val="20"/>
          <w:szCs w:val="20"/>
        </w:rPr>
        <w:t>Teacher 1:</w:t>
      </w:r>
      <w:r w:rsidRPr="00581091">
        <w:rPr>
          <w:rFonts w:asciiTheme="majorBidi" w:eastAsia="Calibri" w:hAnsiTheme="majorBidi" w:cstheme="majorBidi"/>
          <w:sz w:val="20"/>
          <w:szCs w:val="20"/>
        </w:rPr>
        <w:t xml:space="preserve"> They are supper helpful indeed. Because the more I receive constructive feedback, it reshapes my skills and helps in addition to </w:t>
      </w:r>
      <w:proofErr w:type="gramStart"/>
      <w:r w:rsidRPr="00581091">
        <w:rPr>
          <w:rFonts w:asciiTheme="majorBidi" w:eastAsia="Calibri" w:hAnsiTheme="majorBidi" w:cstheme="majorBidi"/>
          <w:sz w:val="20"/>
          <w:szCs w:val="20"/>
        </w:rPr>
        <w:t>fosters</w:t>
      </w:r>
      <w:proofErr w:type="gramEnd"/>
      <w:r w:rsidRPr="00581091">
        <w:rPr>
          <w:rFonts w:asciiTheme="majorBidi" w:eastAsia="Calibri" w:hAnsiTheme="majorBidi" w:cstheme="majorBidi"/>
          <w:sz w:val="20"/>
          <w:szCs w:val="20"/>
        </w:rPr>
        <w:t xml:space="preserve"> my creativity in designing better tools in the future.</w:t>
      </w:r>
      <w:bookmarkEnd w:id="475"/>
    </w:p>
    <w:p w14:paraId="1FADFBF5" w14:textId="77777777" w:rsidR="00345650" w:rsidRPr="00581091" w:rsidRDefault="00345650" w:rsidP="002C67BF">
      <w:pPr>
        <w:ind w:hanging="2"/>
        <w:rPr>
          <w:rFonts w:asciiTheme="majorBidi" w:eastAsia="Calibri" w:hAnsiTheme="majorBidi" w:cstheme="majorBidi"/>
          <w:sz w:val="20"/>
          <w:szCs w:val="20"/>
        </w:rPr>
      </w:pPr>
      <w:bookmarkStart w:id="476" w:name="_Toc200486274"/>
      <w:r w:rsidRPr="00581091">
        <w:rPr>
          <w:rFonts w:asciiTheme="majorBidi" w:eastAsia="Calibri" w:hAnsiTheme="majorBidi" w:cstheme="majorBidi"/>
          <w:b/>
          <w:bCs/>
          <w:sz w:val="20"/>
          <w:szCs w:val="20"/>
        </w:rPr>
        <w:t>Interviewer:</w:t>
      </w:r>
      <w:r w:rsidRPr="00581091">
        <w:rPr>
          <w:rFonts w:asciiTheme="majorBidi" w:eastAsia="Calibri" w:hAnsiTheme="majorBidi" w:cstheme="majorBidi"/>
          <w:sz w:val="20"/>
          <w:szCs w:val="20"/>
        </w:rPr>
        <w:t xml:space="preserve"> How has participation in OTC enhanced your digital literacy (use of technology) in relation to summative assessment practices?</w:t>
      </w:r>
      <w:bookmarkEnd w:id="476"/>
    </w:p>
    <w:p w14:paraId="70A7A6F7" w14:textId="77777777" w:rsidR="00345650" w:rsidRPr="00581091" w:rsidRDefault="00345650" w:rsidP="002C67BF">
      <w:pPr>
        <w:ind w:hanging="2"/>
        <w:rPr>
          <w:rFonts w:asciiTheme="majorBidi" w:eastAsia="Calibri" w:hAnsiTheme="majorBidi" w:cstheme="majorBidi"/>
          <w:sz w:val="20"/>
          <w:szCs w:val="20"/>
        </w:rPr>
      </w:pPr>
      <w:bookmarkStart w:id="477" w:name="_Toc200486275"/>
      <w:r w:rsidRPr="00581091">
        <w:rPr>
          <w:rFonts w:asciiTheme="majorBidi" w:eastAsia="Calibri" w:hAnsiTheme="majorBidi" w:cstheme="majorBidi"/>
          <w:b/>
          <w:bCs/>
          <w:sz w:val="20"/>
          <w:szCs w:val="20"/>
        </w:rPr>
        <w:t>Teacher 1:</w:t>
      </w:r>
      <w:r w:rsidRPr="00581091">
        <w:rPr>
          <w:rFonts w:asciiTheme="majorBidi" w:eastAsia="Calibri" w:hAnsiTheme="majorBidi" w:cstheme="majorBidi"/>
          <w:sz w:val="20"/>
          <w:szCs w:val="20"/>
        </w:rPr>
        <w:t xml:space="preserve"> Participating in such communities helped me indeed in developing my ability to use technology because the more I use them, the more skills I get on how to use technical tools like</w:t>
      </w:r>
      <w:bookmarkEnd w:id="477"/>
    </w:p>
    <w:p w14:paraId="6ABD3E13" w14:textId="77777777" w:rsidR="00345650" w:rsidRPr="00581091" w:rsidRDefault="00345650" w:rsidP="002C67BF">
      <w:pPr>
        <w:ind w:hanging="2"/>
        <w:rPr>
          <w:rFonts w:asciiTheme="majorBidi" w:eastAsia="Calibri" w:hAnsiTheme="majorBidi" w:cstheme="majorBidi"/>
          <w:sz w:val="20"/>
          <w:szCs w:val="20"/>
        </w:rPr>
      </w:pPr>
      <w:bookmarkStart w:id="478" w:name="_Toc200486276"/>
      <w:proofErr w:type="gramStart"/>
      <w:r w:rsidRPr="00581091">
        <w:rPr>
          <w:rFonts w:asciiTheme="majorBidi" w:eastAsia="Calibri" w:hAnsiTheme="majorBidi" w:cstheme="majorBidi"/>
          <w:sz w:val="20"/>
          <w:szCs w:val="20"/>
        </w:rPr>
        <w:t>the</w:t>
      </w:r>
      <w:proofErr w:type="gramEnd"/>
      <w:r w:rsidRPr="00581091">
        <w:rPr>
          <w:rFonts w:asciiTheme="majorBidi" w:eastAsia="Calibri" w:hAnsiTheme="majorBidi" w:cstheme="majorBidi"/>
          <w:sz w:val="20"/>
          <w:szCs w:val="20"/>
        </w:rPr>
        <w:t xml:space="preserve"> computer, internet and tools of creating tests and exams. The engagement with using those communities creates kind of a connection between </w:t>
      </w:r>
      <w:proofErr w:type="gramStart"/>
      <w:r w:rsidRPr="00581091">
        <w:rPr>
          <w:rFonts w:asciiTheme="majorBidi" w:eastAsia="Calibri" w:hAnsiTheme="majorBidi" w:cstheme="majorBidi"/>
          <w:sz w:val="20"/>
          <w:szCs w:val="20"/>
        </w:rPr>
        <w:t>me and technology,</w:t>
      </w:r>
      <w:proofErr w:type="gramEnd"/>
      <w:r w:rsidRPr="00581091">
        <w:rPr>
          <w:rFonts w:asciiTheme="majorBidi" w:eastAsia="Calibri" w:hAnsiTheme="majorBidi" w:cstheme="majorBidi"/>
          <w:sz w:val="20"/>
          <w:szCs w:val="20"/>
        </w:rPr>
        <w:t xml:space="preserve"> and yet this led to the development of my technical competence more likely. </w:t>
      </w:r>
      <w:proofErr w:type="gramStart"/>
      <w:r w:rsidRPr="00581091">
        <w:rPr>
          <w:rFonts w:asciiTheme="majorBidi" w:eastAsia="Calibri" w:hAnsiTheme="majorBidi" w:cstheme="majorBidi"/>
          <w:sz w:val="20"/>
          <w:szCs w:val="20"/>
        </w:rPr>
        <w:t>Also</w:t>
      </w:r>
      <w:proofErr w:type="gramEnd"/>
      <w:r w:rsidRPr="00581091">
        <w:rPr>
          <w:rFonts w:asciiTheme="majorBidi" w:eastAsia="Calibri" w:hAnsiTheme="majorBidi" w:cstheme="majorBidi"/>
          <w:sz w:val="20"/>
          <w:szCs w:val="20"/>
        </w:rPr>
        <w:t>, this connection led to developing my skills in designing creative tests and exams either or the level of technology use (use computer or word or designing tools and sites) or the competence level.</w:t>
      </w:r>
      <w:bookmarkEnd w:id="478"/>
    </w:p>
    <w:p w14:paraId="790351EA" w14:textId="77777777" w:rsidR="00345650" w:rsidRPr="00581091" w:rsidRDefault="00345650" w:rsidP="002C67BF">
      <w:pPr>
        <w:ind w:hanging="2"/>
        <w:rPr>
          <w:rFonts w:asciiTheme="majorBidi" w:eastAsia="Calibri" w:hAnsiTheme="majorBidi" w:cstheme="majorBidi"/>
          <w:sz w:val="20"/>
          <w:szCs w:val="20"/>
        </w:rPr>
      </w:pPr>
    </w:p>
    <w:p w14:paraId="61E6DF65" w14:textId="34582C8A" w:rsidR="00345650" w:rsidRPr="00A9650A" w:rsidRDefault="00345650" w:rsidP="002C67BF">
      <w:pPr>
        <w:ind w:hanging="2"/>
        <w:rPr>
          <w:b/>
          <w:bCs/>
        </w:rPr>
      </w:pPr>
      <w:bookmarkStart w:id="479" w:name="_Toc199830548"/>
      <w:bookmarkStart w:id="480" w:name="_Toc200486342"/>
      <w:r w:rsidRPr="00A9650A">
        <w:rPr>
          <w:b/>
          <w:bCs/>
        </w:rPr>
        <w:t>Appendix C</w:t>
      </w:r>
      <w:bookmarkEnd w:id="479"/>
      <w:bookmarkEnd w:id="480"/>
    </w:p>
    <w:p w14:paraId="7115145C" w14:textId="77777777" w:rsidR="00345650" w:rsidRDefault="00345650" w:rsidP="002C67BF">
      <w:pPr>
        <w:ind w:hanging="2"/>
        <w:rPr>
          <w:rFonts w:asciiTheme="majorBidi" w:hAnsiTheme="majorBidi" w:cstheme="majorBidi"/>
          <w:b/>
          <w:bCs/>
          <w:sz w:val="20"/>
          <w:szCs w:val="20"/>
        </w:rPr>
      </w:pPr>
      <w:bookmarkStart w:id="481" w:name="_Toc200486343"/>
      <w:r w:rsidRPr="00581091">
        <w:rPr>
          <w:rFonts w:asciiTheme="majorBidi" w:hAnsiTheme="majorBidi" w:cstheme="majorBidi"/>
          <w:b/>
          <w:bCs/>
          <w:sz w:val="20"/>
          <w:szCs w:val="20"/>
        </w:rPr>
        <w:t>Interview with inspector of Middle School Teachers of English</w:t>
      </w:r>
      <w:bookmarkEnd w:id="481"/>
    </w:p>
    <w:p w14:paraId="66C75CEF" w14:textId="77777777" w:rsidR="00EF5E15" w:rsidRPr="00581091" w:rsidRDefault="00EF5E15" w:rsidP="002C67BF">
      <w:pPr>
        <w:ind w:hanging="2"/>
        <w:rPr>
          <w:rFonts w:asciiTheme="majorBidi" w:hAnsiTheme="majorBidi" w:cstheme="majorBidi"/>
          <w:b/>
          <w:bCs/>
          <w:sz w:val="20"/>
          <w:szCs w:val="20"/>
        </w:rPr>
      </w:pPr>
    </w:p>
    <w:p w14:paraId="50BAF220" w14:textId="77777777" w:rsidR="00345650" w:rsidRPr="00581091" w:rsidRDefault="00345650" w:rsidP="002C67BF">
      <w:pPr>
        <w:ind w:hanging="2"/>
        <w:rPr>
          <w:rFonts w:asciiTheme="majorBidi" w:hAnsiTheme="majorBidi" w:cstheme="majorBidi"/>
          <w:sz w:val="20"/>
          <w:szCs w:val="20"/>
        </w:rPr>
      </w:pPr>
      <w:bookmarkStart w:id="482" w:name="_Toc200486344"/>
      <w:r w:rsidRPr="00581091">
        <w:rPr>
          <w:rFonts w:asciiTheme="majorBidi" w:hAnsiTheme="majorBidi" w:cstheme="majorBidi"/>
          <w:b/>
          <w:bCs/>
          <w:sz w:val="20"/>
          <w:szCs w:val="20"/>
        </w:rPr>
        <w:t>Interviewer:</w:t>
      </w:r>
      <w:r w:rsidRPr="00581091">
        <w:rPr>
          <w:rFonts w:asciiTheme="majorBidi" w:hAnsiTheme="majorBidi" w:cstheme="majorBidi"/>
          <w:sz w:val="20"/>
          <w:szCs w:val="20"/>
        </w:rPr>
        <w:t xml:space="preserve"> Hello Mr. </w:t>
      </w:r>
      <w:proofErr w:type="spellStart"/>
      <w:r w:rsidRPr="00581091">
        <w:rPr>
          <w:rFonts w:asciiTheme="majorBidi" w:hAnsiTheme="majorBidi" w:cstheme="majorBidi"/>
          <w:sz w:val="20"/>
          <w:szCs w:val="20"/>
        </w:rPr>
        <w:t>Othmani</w:t>
      </w:r>
      <w:proofErr w:type="spellEnd"/>
      <w:r w:rsidRPr="00581091">
        <w:rPr>
          <w:rFonts w:asciiTheme="majorBidi" w:hAnsiTheme="majorBidi" w:cstheme="majorBidi"/>
          <w:sz w:val="20"/>
          <w:szCs w:val="20"/>
        </w:rPr>
        <w:t xml:space="preserve">. We would like to thank you for devoting your time to respond to my questions today. We are currently conducting research on the role of online teacher communities in enhancing teacher’s language summative assessment literacy. Online teacher learning communities (OTLC), such as District 4 Teacher Corner, are virtual spaces in which teachers engage in to collaborate, share experiences and discuss issues. This interview aims to gather and explore participants’ perceptions to fully comprehend how teachers engage with and benefit from such communities. Your responses </w:t>
      </w:r>
      <w:proofErr w:type="gramStart"/>
      <w:r w:rsidRPr="00581091">
        <w:rPr>
          <w:rFonts w:asciiTheme="majorBidi" w:hAnsiTheme="majorBidi" w:cstheme="majorBidi"/>
          <w:sz w:val="20"/>
          <w:szCs w:val="20"/>
        </w:rPr>
        <w:t>will be kept confidential and used only for research purposes</w:t>
      </w:r>
      <w:proofErr w:type="gramEnd"/>
      <w:r w:rsidRPr="00581091">
        <w:rPr>
          <w:rFonts w:asciiTheme="majorBidi" w:hAnsiTheme="majorBidi" w:cstheme="majorBidi"/>
          <w:sz w:val="20"/>
          <w:szCs w:val="20"/>
        </w:rPr>
        <w:t>. If you permit, we would like to initiate the interview now.</w:t>
      </w:r>
      <w:bookmarkEnd w:id="482"/>
    </w:p>
    <w:p w14:paraId="2EE79443" w14:textId="77777777" w:rsidR="00345650" w:rsidRPr="00581091" w:rsidRDefault="00345650" w:rsidP="002C67BF">
      <w:pPr>
        <w:ind w:hanging="2"/>
        <w:rPr>
          <w:rFonts w:asciiTheme="majorBidi" w:hAnsiTheme="majorBidi" w:cstheme="majorBidi"/>
          <w:sz w:val="20"/>
          <w:szCs w:val="20"/>
        </w:rPr>
      </w:pPr>
      <w:bookmarkStart w:id="483" w:name="_Toc200486345"/>
      <w:r w:rsidRPr="00581091">
        <w:rPr>
          <w:rFonts w:asciiTheme="majorBidi" w:hAnsiTheme="majorBidi" w:cstheme="majorBidi"/>
          <w:b/>
          <w:bCs/>
          <w:sz w:val="20"/>
          <w:szCs w:val="20"/>
        </w:rPr>
        <w:t>Inspector:</w:t>
      </w:r>
      <w:r w:rsidRPr="00581091">
        <w:rPr>
          <w:rFonts w:asciiTheme="majorBidi" w:hAnsiTheme="majorBidi" w:cstheme="majorBidi"/>
          <w:sz w:val="20"/>
          <w:szCs w:val="20"/>
        </w:rPr>
        <w:t xml:space="preserve"> Let me kick things off by saying a huge thank you to both of you: Sabrina and </w:t>
      </w:r>
      <w:proofErr w:type="spellStart"/>
      <w:r w:rsidRPr="00581091">
        <w:rPr>
          <w:rFonts w:asciiTheme="majorBidi" w:hAnsiTheme="majorBidi" w:cstheme="majorBidi"/>
          <w:sz w:val="20"/>
          <w:szCs w:val="20"/>
        </w:rPr>
        <w:t>Warda</w:t>
      </w:r>
      <w:proofErr w:type="spellEnd"/>
      <w:r w:rsidRPr="00581091">
        <w:rPr>
          <w:rFonts w:asciiTheme="majorBidi" w:hAnsiTheme="majorBidi" w:cstheme="majorBidi"/>
          <w:sz w:val="20"/>
          <w:szCs w:val="20"/>
        </w:rPr>
        <w:t xml:space="preserve"> for inviting me to chat about such an important topic—how online communities are transforming the way teachers design and rethink assessments like tests and exams. </w:t>
      </w:r>
      <w:proofErr w:type="gramStart"/>
      <w:r w:rsidRPr="00581091">
        <w:rPr>
          <w:rFonts w:asciiTheme="majorBidi" w:hAnsiTheme="majorBidi" w:cstheme="majorBidi"/>
          <w:sz w:val="20"/>
          <w:szCs w:val="20"/>
        </w:rPr>
        <w:t>It’s</w:t>
      </w:r>
      <w:proofErr w:type="gramEnd"/>
      <w:r w:rsidRPr="00581091">
        <w:rPr>
          <w:rFonts w:asciiTheme="majorBidi" w:hAnsiTheme="majorBidi" w:cstheme="majorBidi"/>
          <w:sz w:val="20"/>
          <w:szCs w:val="20"/>
        </w:rPr>
        <w:t xml:space="preserve"> truly an honor to contribute to your master’s dissertation research, especially as you dive into this game-changing aspect of modern education.</w:t>
      </w:r>
      <w:bookmarkEnd w:id="483"/>
      <w:r w:rsidRPr="00581091">
        <w:rPr>
          <w:rFonts w:asciiTheme="majorBidi" w:hAnsiTheme="majorBidi" w:cstheme="majorBidi"/>
          <w:sz w:val="20"/>
          <w:szCs w:val="20"/>
        </w:rPr>
        <w:t xml:space="preserve"> </w:t>
      </w:r>
    </w:p>
    <w:p w14:paraId="052F91A1" w14:textId="77777777" w:rsidR="00345650" w:rsidRPr="00581091" w:rsidRDefault="00345650" w:rsidP="002C67BF">
      <w:pPr>
        <w:ind w:hanging="2"/>
        <w:rPr>
          <w:rFonts w:asciiTheme="majorBidi" w:hAnsiTheme="majorBidi" w:cstheme="majorBidi"/>
          <w:sz w:val="20"/>
          <w:szCs w:val="20"/>
        </w:rPr>
      </w:pPr>
      <w:bookmarkStart w:id="484" w:name="_Toc200486346"/>
      <w:r w:rsidRPr="00581091">
        <w:rPr>
          <w:rFonts w:asciiTheme="majorBidi" w:hAnsiTheme="majorBidi" w:cstheme="majorBidi"/>
          <w:sz w:val="20"/>
          <w:szCs w:val="20"/>
        </w:rPr>
        <w:t xml:space="preserve">The chance to explore how educators are adapting their methods, swapping ideas in digital spaces, and pushing assessment strategies into the 21st century is not only fascinating </w:t>
      </w:r>
      <w:proofErr w:type="gramStart"/>
      <w:r w:rsidRPr="00581091">
        <w:rPr>
          <w:rFonts w:asciiTheme="majorBidi" w:hAnsiTheme="majorBidi" w:cstheme="majorBidi"/>
          <w:sz w:val="20"/>
          <w:szCs w:val="20"/>
        </w:rPr>
        <w:t>but</w:t>
      </w:r>
      <w:proofErr w:type="gramEnd"/>
      <w:r w:rsidRPr="00581091">
        <w:rPr>
          <w:rFonts w:asciiTheme="majorBidi" w:hAnsiTheme="majorBidi" w:cstheme="majorBidi"/>
          <w:sz w:val="20"/>
          <w:szCs w:val="20"/>
        </w:rPr>
        <w:t xml:space="preserve"> super relevant today. </w:t>
      </w:r>
      <w:proofErr w:type="gramStart"/>
      <w:r w:rsidRPr="00581091">
        <w:rPr>
          <w:rFonts w:asciiTheme="majorBidi" w:hAnsiTheme="majorBidi" w:cstheme="majorBidi"/>
          <w:sz w:val="20"/>
          <w:szCs w:val="20"/>
        </w:rPr>
        <w:t>I’m</w:t>
      </w:r>
      <w:proofErr w:type="gramEnd"/>
      <w:r w:rsidRPr="00581091">
        <w:rPr>
          <w:rFonts w:asciiTheme="majorBidi" w:hAnsiTheme="majorBidi" w:cstheme="majorBidi"/>
          <w:sz w:val="20"/>
          <w:szCs w:val="20"/>
        </w:rPr>
        <w:t xml:space="preserve"> excited to unpack these ideas with you and see how they might inspire smarter, more creative approaches to evaluating student learning. </w:t>
      </w:r>
      <w:proofErr w:type="gramStart"/>
      <w:r w:rsidRPr="00581091">
        <w:rPr>
          <w:rFonts w:asciiTheme="majorBidi" w:hAnsiTheme="majorBidi" w:cstheme="majorBidi"/>
          <w:sz w:val="20"/>
          <w:szCs w:val="20"/>
        </w:rPr>
        <w:t>Let’s</w:t>
      </w:r>
      <w:proofErr w:type="gramEnd"/>
      <w:r w:rsidRPr="00581091">
        <w:rPr>
          <w:rFonts w:asciiTheme="majorBidi" w:hAnsiTheme="majorBidi" w:cstheme="majorBidi"/>
          <w:sz w:val="20"/>
          <w:szCs w:val="20"/>
        </w:rPr>
        <w:t xml:space="preserve"> get into it!</w:t>
      </w:r>
      <w:bookmarkEnd w:id="484"/>
    </w:p>
    <w:p w14:paraId="0CF28550" w14:textId="77777777" w:rsidR="00345650" w:rsidRPr="00581091" w:rsidRDefault="00345650" w:rsidP="002C67BF">
      <w:pPr>
        <w:ind w:hanging="2"/>
        <w:rPr>
          <w:rFonts w:asciiTheme="majorBidi" w:hAnsiTheme="majorBidi" w:cstheme="majorBidi"/>
          <w:b/>
          <w:bCs/>
          <w:sz w:val="20"/>
          <w:szCs w:val="20"/>
        </w:rPr>
      </w:pPr>
      <w:bookmarkStart w:id="485" w:name="_Toc200486347"/>
      <w:r w:rsidRPr="00581091">
        <w:rPr>
          <w:rFonts w:asciiTheme="majorBidi" w:hAnsiTheme="majorBidi" w:cstheme="majorBidi"/>
          <w:b/>
          <w:bCs/>
          <w:sz w:val="20"/>
          <w:szCs w:val="20"/>
        </w:rPr>
        <w:t>General Opening Questions</w:t>
      </w:r>
      <w:bookmarkEnd w:id="485"/>
    </w:p>
    <w:p w14:paraId="4EF10DE7" w14:textId="77777777" w:rsidR="00345650" w:rsidRPr="00581091" w:rsidRDefault="00345650" w:rsidP="002C67BF">
      <w:pPr>
        <w:ind w:hanging="2"/>
        <w:rPr>
          <w:rFonts w:asciiTheme="majorBidi" w:hAnsiTheme="majorBidi" w:cstheme="majorBidi"/>
          <w:sz w:val="20"/>
          <w:szCs w:val="20"/>
        </w:rPr>
      </w:pPr>
      <w:bookmarkStart w:id="486" w:name="_Toc200486348"/>
      <w:r w:rsidRPr="00581091">
        <w:rPr>
          <w:rFonts w:asciiTheme="majorBidi" w:hAnsiTheme="majorBidi" w:cstheme="majorBidi"/>
          <w:b/>
          <w:bCs/>
          <w:sz w:val="20"/>
          <w:szCs w:val="20"/>
        </w:rPr>
        <w:t>Interviewer:</w:t>
      </w:r>
      <w:r w:rsidRPr="00581091">
        <w:rPr>
          <w:rFonts w:asciiTheme="majorBidi" w:hAnsiTheme="majorBidi" w:cstheme="majorBidi"/>
          <w:sz w:val="20"/>
          <w:szCs w:val="20"/>
        </w:rPr>
        <w:t xml:space="preserve"> From your perspective as an inspector, how would you define "summative assessment literacy" for teachers, and why is it critical in today’s educational landscape?</w:t>
      </w:r>
      <w:bookmarkEnd w:id="486"/>
      <w:r w:rsidRPr="00581091">
        <w:rPr>
          <w:rFonts w:asciiTheme="majorBidi" w:hAnsiTheme="majorBidi" w:cstheme="majorBidi"/>
          <w:sz w:val="20"/>
          <w:szCs w:val="20"/>
        </w:rPr>
        <w:t xml:space="preserve">  </w:t>
      </w:r>
    </w:p>
    <w:p w14:paraId="10AF2778" w14:textId="77777777" w:rsidR="00345650" w:rsidRPr="00581091" w:rsidRDefault="00345650" w:rsidP="002C67BF">
      <w:pPr>
        <w:ind w:hanging="2"/>
        <w:rPr>
          <w:rFonts w:asciiTheme="majorBidi" w:hAnsiTheme="majorBidi" w:cstheme="majorBidi"/>
          <w:sz w:val="20"/>
          <w:szCs w:val="20"/>
        </w:rPr>
      </w:pPr>
      <w:bookmarkStart w:id="487" w:name="_Toc200486349"/>
      <w:r w:rsidRPr="00581091">
        <w:rPr>
          <w:rFonts w:asciiTheme="majorBidi" w:hAnsiTheme="majorBidi" w:cstheme="majorBidi"/>
          <w:b/>
          <w:bCs/>
          <w:sz w:val="20"/>
          <w:szCs w:val="20"/>
        </w:rPr>
        <w:t>Inspector:</w:t>
      </w:r>
      <w:r w:rsidRPr="00581091">
        <w:rPr>
          <w:rFonts w:asciiTheme="majorBidi" w:hAnsiTheme="majorBidi" w:cstheme="majorBidi"/>
          <w:sz w:val="20"/>
          <w:szCs w:val="20"/>
        </w:rPr>
        <w:t xml:space="preserve"> Ok! …. </w:t>
      </w:r>
      <w:proofErr w:type="gramStart"/>
      <w:r w:rsidRPr="00581091">
        <w:rPr>
          <w:rFonts w:asciiTheme="majorBidi" w:hAnsiTheme="majorBidi" w:cstheme="majorBidi"/>
          <w:sz w:val="20"/>
          <w:szCs w:val="20"/>
        </w:rPr>
        <w:t>Let’s</w:t>
      </w:r>
      <w:proofErr w:type="gramEnd"/>
      <w:r w:rsidRPr="00581091">
        <w:rPr>
          <w:rFonts w:asciiTheme="majorBidi" w:hAnsiTheme="majorBidi" w:cstheme="majorBidi"/>
          <w:sz w:val="20"/>
          <w:szCs w:val="20"/>
        </w:rPr>
        <w:t xml:space="preserve"> start by breaking down what summative assessment literacy really means. At its core, </w:t>
      </w:r>
      <w:proofErr w:type="gramStart"/>
      <w:r w:rsidRPr="00581091">
        <w:rPr>
          <w:rFonts w:asciiTheme="majorBidi" w:hAnsiTheme="majorBidi" w:cstheme="majorBidi"/>
          <w:sz w:val="20"/>
          <w:szCs w:val="20"/>
        </w:rPr>
        <w:t>it’s</w:t>
      </w:r>
      <w:proofErr w:type="gramEnd"/>
      <w:r w:rsidRPr="00581091">
        <w:rPr>
          <w:rFonts w:asciiTheme="majorBidi" w:hAnsiTheme="majorBidi" w:cstheme="majorBidi"/>
          <w:sz w:val="20"/>
          <w:szCs w:val="20"/>
        </w:rPr>
        <w:t xml:space="preserve"> about equipping teachers with the knowledge, skills, competencies and confidence to design, use, and interpret final evaluations, like end-of-term tests or exams, in ways that actually boost student learning and </w:t>
      </w:r>
      <w:r w:rsidRPr="00581091">
        <w:rPr>
          <w:rFonts w:asciiTheme="majorBidi" w:hAnsiTheme="majorBidi" w:cstheme="majorBidi"/>
          <w:sz w:val="20"/>
          <w:szCs w:val="20"/>
        </w:rPr>
        <w:lastRenderedPageBreak/>
        <w:t xml:space="preserve">growth. </w:t>
      </w:r>
      <w:proofErr w:type="gramStart"/>
      <w:r w:rsidRPr="00581091">
        <w:rPr>
          <w:rFonts w:asciiTheme="majorBidi" w:hAnsiTheme="majorBidi" w:cstheme="majorBidi"/>
          <w:sz w:val="20"/>
          <w:szCs w:val="20"/>
        </w:rPr>
        <w:t>It’s</w:t>
      </w:r>
      <w:proofErr w:type="gramEnd"/>
      <w:r w:rsidRPr="00581091">
        <w:rPr>
          <w:rFonts w:asciiTheme="majorBidi" w:hAnsiTheme="majorBidi" w:cstheme="majorBidi"/>
          <w:sz w:val="20"/>
          <w:szCs w:val="20"/>
        </w:rPr>
        <w:t xml:space="preserve"> not just about grading; it’s about understanding how to turn assessment results into meaningful feedback.</w:t>
      </w:r>
      <w:bookmarkEnd w:id="487"/>
    </w:p>
    <w:p w14:paraId="2A89E430" w14:textId="77777777" w:rsidR="00345650" w:rsidRPr="00581091" w:rsidRDefault="00345650" w:rsidP="002C67BF">
      <w:pPr>
        <w:ind w:hanging="2"/>
        <w:rPr>
          <w:rFonts w:asciiTheme="majorBidi" w:hAnsiTheme="majorBidi" w:cstheme="majorBidi"/>
          <w:sz w:val="20"/>
          <w:szCs w:val="20"/>
        </w:rPr>
      </w:pPr>
      <w:bookmarkStart w:id="488" w:name="_Toc200486350"/>
      <w:r w:rsidRPr="00581091">
        <w:rPr>
          <w:rFonts w:asciiTheme="majorBidi" w:hAnsiTheme="majorBidi" w:cstheme="majorBidi"/>
          <w:sz w:val="20"/>
          <w:szCs w:val="20"/>
        </w:rPr>
        <w:t>Knowing how to use summative assessments – like end-of-term exams – is super important for teachers. When teachers understand these big-picture evaluations deeply, they can grade students more fairly and give feedback that actually helps kids grow. By learning the nuts and bolts of these assessments, teachers turn grades into more than just scores – they become tools that help students improve; while making sure everyone gets a fair shake and the results truly reflect what students know.</w:t>
      </w:r>
      <w:bookmarkEnd w:id="488"/>
    </w:p>
    <w:p w14:paraId="0703C4C1" w14:textId="77777777" w:rsidR="00345650" w:rsidRPr="00581091" w:rsidRDefault="00345650" w:rsidP="002C67BF">
      <w:pPr>
        <w:ind w:hanging="2"/>
        <w:rPr>
          <w:rFonts w:asciiTheme="majorBidi" w:hAnsiTheme="majorBidi" w:cstheme="majorBidi"/>
          <w:sz w:val="20"/>
          <w:szCs w:val="20"/>
        </w:rPr>
      </w:pPr>
      <w:bookmarkStart w:id="489" w:name="_Toc200486351"/>
      <w:r w:rsidRPr="00581091">
        <w:rPr>
          <w:rFonts w:asciiTheme="majorBidi" w:hAnsiTheme="majorBidi" w:cstheme="majorBidi"/>
          <w:b/>
          <w:bCs/>
          <w:sz w:val="20"/>
          <w:szCs w:val="20"/>
        </w:rPr>
        <w:t>Interviewer:</w:t>
      </w:r>
      <w:r w:rsidRPr="00581091">
        <w:rPr>
          <w:rFonts w:asciiTheme="majorBidi" w:hAnsiTheme="majorBidi" w:cstheme="majorBidi"/>
          <w:sz w:val="20"/>
          <w:szCs w:val="20"/>
        </w:rPr>
        <w:t xml:space="preserve"> Have you observed differences in how teachers approach structured versus unstructured summative assessments? If so, how do online communities influence these approaches?</w:t>
      </w:r>
      <w:bookmarkEnd w:id="489"/>
      <w:r w:rsidRPr="00581091">
        <w:rPr>
          <w:rFonts w:asciiTheme="majorBidi" w:hAnsiTheme="majorBidi" w:cstheme="majorBidi"/>
          <w:sz w:val="20"/>
          <w:szCs w:val="20"/>
        </w:rPr>
        <w:t xml:space="preserve"> </w:t>
      </w:r>
    </w:p>
    <w:p w14:paraId="369FE63F" w14:textId="77777777" w:rsidR="00345650" w:rsidRPr="00581091" w:rsidRDefault="00345650" w:rsidP="002C67BF">
      <w:pPr>
        <w:ind w:hanging="2"/>
        <w:rPr>
          <w:rFonts w:asciiTheme="majorBidi" w:hAnsiTheme="majorBidi" w:cstheme="majorBidi"/>
          <w:sz w:val="20"/>
          <w:szCs w:val="20"/>
        </w:rPr>
      </w:pPr>
      <w:bookmarkStart w:id="490" w:name="_Toc200486352"/>
      <w:r w:rsidRPr="00581091">
        <w:rPr>
          <w:rFonts w:asciiTheme="majorBidi" w:hAnsiTheme="majorBidi" w:cstheme="majorBidi"/>
          <w:b/>
          <w:bCs/>
          <w:sz w:val="20"/>
          <w:szCs w:val="20"/>
        </w:rPr>
        <w:t>Inspector:</w:t>
      </w:r>
      <w:r w:rsidRPr="00581091">
        <w:rPr>
          <w:rFonts w:asciiTheme="majorBidi" w:hAnsiTheme="majorBidi" w:cstheme="majorBidi"/>
          <w:sz w:val="20"/>
          <w:szCs w:val="20"/>
        </w:rPr>
        <w:t xml:space="preserve"> Eh, not exactly! … Most </w:t>
      </w:r>
      <w:proofErr w:type="gramStart"/>
      <w:r w:rsidRPr="00581091">
        <w:rPr>
          <w:rFonts w:asciiTheme="majorBidi" w:hAnsiTheme="majorBidi" w:cstheme="majorBidi"/>
          <w:sz w:val="20"/>
          <w:szCs w:val="20"/>
        </w:rPr>
        <w:t>aren’t</w:t>
      </w:r>
      <w:proofErr w:type="gramEnd"/>
      <w:r w:rsidRPr="00581091">
        <w:rPr>
          <w:rFonts w:asciiTheme="majorBidi" w:hAnsiTheme="majorBidi" w:cstheme="majorBidi"/>
          <w:sz w:val="20"/>
          <w:szCs w:val="20"/>
        </w:rPr>
        <w:t xml:space="preserve"> actively using those platforms. </w:t>
      </w:r>
      <w:proofErr w:type="gramStart"/>
      <w:r w:rsidRPr="00581091">
        <w:rPr>
          <w:rFonts w:asciiTheme="majorBidi" w:hAnsiTheme="majorBidi" w:cstheme="majorBidi"/>
          <w:sz w:val="20"/>
          <w:szCs w:val="20"/>
        </w:rPr>
        <w:t>But</w:t>
      </w:r>
      <w:proofErr w:type="gramEnd"/>
      <w:r w:rsidRPr="00581091">
        <w:rPr>
          <w:rFonts w:asciiTheme="majorBidi" w:hAnsiTheme="majorBidi" w:cstheme="majorBidi"/>
          <w:sz w:val="20"/>
          <w:szCs w:val="20"/>
        </w:rPr>
        <w:t xml:space="preserve"> I do think online communities have seriously changed how both formal and informal assessments work. </w:t>
      </w:r>
      <w:proofErr w:type="gramStart"/>
      <w:r w:rsidRPr="00581091">
        <w:rPr>
          <w:rFonts w:asciiTheme="majorBidi" w:hAnsiTheme="majorBidi" w:cstheme="majorBidi"/>
          <w:sz w:val="20"/>
          <w:szCs w:val="20"/>
        </w:rPr>
        <w:t>Here’s</w:t>
      </w:r>
      <w:proofErr w:type="gramEnd"/>
      <w:r w:rsidRPr="00581091">
        <w:rPr>
          <w:rFonts w:asciiTheme="majorBidi" w:hAnsiTheme="majorBidi" w:cstheme="majorBidi"/>
          <w:sz w:val="20"/>
          <w:szCs w:val="20"/>
        </w:rPr>
        <w:t xml:space="preserve"> how:</w:t>
      </w:r>
      <w:bookmarkEnd w:id="490"/>
    </w:p>
    <w:p w14:paraId="2F50D954" w14:textId="77777777" w:rsidR="00345650" w:rsidRPr="00581091" w:rsidRDefault="00345650" w:rsidP="002C67BF">
      <w:pPr>
        <w:ind w:hanging="2"/>
        <w:rPr>
          <w:rFonts w:asciiTheme="majorBidi" w:hAnsiTheme="majorBidi" w:cstheme="majorBidi"/>
          <w:sz w:val="20"/>
          <w:szCs w:val="20"/>
        </w:rPr>
      </w:pPr>
      <w:bookmarkStart w:id="491" w:name="_Toc200486353"/>
      <w:r w:rsidRPr="00581091">
        <w:rPr>
          <w:rFonts w:asciiTheme="majorBidi" w:hAnsiTheme="majorBidi" w:cstheme="majorBidi"/>
          <w:sz w:val="20"/>
          <w:szCs w:val="20"/>
        </w:rPr>
        <w:t>For structured assessments (like tests or exams), they let teachers swap exam questions, share past papers, and even debate how well those tests actually measure what they are supposed to, based on official formats. It pushes educators to rethink their methods and learn from each other’s wins and mistakes.</w:t>
      </w:r>
      <w:bookmarkEnd w:id="491"/>
    </w:p>
    <w:p w14:paraId="4BAE2835" w14:textId="77777777" w:rsidR="00345650" w:rsidRPr="00581091" w:rsidRDefault="00345650" w:rsidP="002C67BF">
      <w:pPr>
        <w:ind w:hanging="2"/>
        <w:rPr>
          <w:rFonts w:asciiTheme="majorBidi" w:hAnsiTheme="majorBidi" w:cstheme="majorBidi"/>
          <w:sz w:val="20"/>
          <w:szCs w:val="20"/>
        </w:rPr>
      </w:pPr>
      <w:bookmarkStart w:id="492" w:name="_Toc200486354"/>
      <w:r w:rsidRPr="00581091">
        <w:rPr>
          <w:rFonts w:asciiTheme="majorBidi" w:hAnsiTheme="majorBidi" w:cstheme="majorBidi"/>
          <w:sz w:val="20"/>
          <w:szCs w:val="20"/>
        </w:rPr>
        <w:t xml:space="preserve">On the </w:t>
      </w:r>
      <w:proofErr w:type="gramStart"/>
      <w:r w:rsidRPr="00581091">
        <w:rPr>
          <w:rFonts w:asciiTheme="majorBidi" w:hAnsiTheme="majorBidi" w:cstheme="majorBidi"/>
          <w:sz w:val="20"/>
          <w:szCs w:val="20"/>
        </w:rPr>
        <w:t>flip</w:t>
      </w:r>
      <w:proofErr w:type="gramEnd"/>
      <w:r w:rsidRPr="00581091">
        <w:rPr>
          <w:rFonts w:asciiTheme="majorBidi" w:hAnsiTheme="majorBidi" w:cstheme="majorBidi"/>
          <w:sz w:val="20"/>
          <w:szCs w:val="20"/>
        </w:rPr>
        <w:t xml:space="preserve"> side, for unstructured assessments, things get way more creative. Think project-based grading, digital portfolios, or students sharing their work with real audiences beyond the classroom. Suddenly, assessment is not just a grade—it is about connecting learning to the real world.</w:t>
      </w:r>
      <w:bookmarkEnd w:id="492"/>
    </w:p>
    <w:p w14:paraId="73495809" w14:textId="77777777" w:rsidR="00345650" w:rsidRPr="00581091" w:rsidRDefault="00345650" w:rsidP="002C67BF">
      <w:pPr>
        <w:ind w:hanging="2"/>
        <w:rPr>
          <w:rFonts w:asciiTheme="majorBidi" w:hAnsiTheme="majorBidi" w:cstheme="majorBidi"/>
          <w:sz w:val="20"/>
          <w:szCs w:val="20"/>
        </w:rPr>
      </w:pPr>
      <w:bookmarkStart w:id="493" w:name="_Toc200486355"/>
      <w:r w:rsidRPr="00581091">
        <w:rPr>
          <w:rFonts w:asciiTheme="majorBidi" w:hAnsiTheme="majorBidi" w:cstheme="majorBidi"/>
          <w:sz w:val="20"/>
          <w:szCs w:val="20"/>
        </w:rPr>
        <w:t>So yeah…</w:t>
      </w:r>
      <w:proofErr w:type="gramStart"/>
      <w:r w:rsidRPr="00581091">
        <w:rPr>
          <w:rFonts w:asciiTheme="majorBidi" w:hAnsiTheme="majorBidi" w:cstheme="majorBidi"/>
          <w:sz w:val="20"/>
          <w:szCs w:val="20"/>
        </w:rPr>
        <w:t>.,</w:t>
      </w:r>
      <w:proofErr w:type="gramEnd"/>
      <w:r w:rsidRPr="00581091">
        <w:rPr>
          <w:rFonts w:asciiTheme="majorBidi" w:hAnsiTheme="majorBidi" w:cstheme="majorBidi"/>
          <w:sz w:val="20"/>
          <w:szCs w:val="20"/>
        </w:rPr>
        <w:t xml:space="preserve"> online spaces might not be buzzing with constant interaction, but they’ve quietly reshaped how we measure learning.</w:t>
      </w:r>
      <w:bookmarkEnd w:id="493"/>
    </w:p>
    <w:p w14:paraId="5FC348DA" w14:textId="77777777" w:rsidR="00345650" w:rsidRPr="00581091" w:rsidRDefault="00345650" w:rsidP="002C67BF">
      <w:pPr>
        <w:ind w:hanging="2"/>
        <w:rPr>
          <w:rFonts w:asciiTheme="majorBidi" w:hAnsiTheme="majorBidi" w:cstheme="majorBidi"/>
          <w:b/>
          <w:bCs/>
          <w:sz w:val="20"/>
          <w:szCs w:val="20"/>
        </w:rPr>
      </w:pPr>
      <w:bookmarkStart w:id="494" w:name="_Toc200486356"/>
      <w:r w:rsidRPr="00581091">
        <w:rPr>
          <w:rFonts w:asciiTheme="majorBidi" w:hAnsiTheme="majorBidi" w:cstheme="majorBidi"/>
          <w:b/>
          <w:bCs/>
          <w:sz w:val="20"/>
          <w:szCs w:val="20"/>
        </w:rPr>
        <w:t>Chapter 1: Knowledge</w:t>
      </w:r>
      <w:bookmarkEnd w:id="494"/>
      <w:r w:rsidRPr="00581091">
        <w:rPr>
          <w:rFonts w:asciiTheme="majorBidi" w:hAnsiTheme="majorBidi" w:cstheme="majorBidi"/>
          <w:b/>
          <w:bCs/>
          <w:sz w:val="20"/>
          <w:szCs w:val="20"/>
        </w:rPr>
        <w:t xml:space="preserve">  </w:t>
      </w:r>
    </w:p>
    <w:p w14:paraId="61CECF80" w14:textId="77777777" w:rsidR="00345650" w:rsidRPr="00581091" w:rsidRDefault="00345650" w:rsidP="002C67BF">
      <w:pPr>
        <w:ind w:hanging="2"/>
        <w:rPr>
          <w:rFonts w:asciiTheme="majorBidi" w:hAnsiTheme="majorBidi" w:cstheme="majorBidi"/>
          <w:b/>
          <w:bCs/>
          <w:sz w:val="20"/>
          <w:szCs w:val="20"/>
        </w:rPr>
      </w:pPr>
      <w:bookmarkStart w:id="495" w:name="_Toc200486357"/>
      <w:r w:rsidRPr="00581091">
        <w:rPr>
          <w:rFonts w:asciiTheme="majorBidi" w:hAnsiTheme="majorBidi" w:cstheme="majorBidi"/>
          <w:b/>
          <w:bCs/>
          <w:sz w:val="20"/>
          <w:szCs w:val="20"/>
        </w:rPr>
        <w:t>Focus: Concepts, Tools, Methods, Digital Literacy</w:t>
      </w:r>
      <w:bookmarkEnd w:id="495"/>
      <w:r w:rsidRPr="00581091">
        <w:rPr>
          <w:rFonts w:asciiTheme="majorBidi" w:hAnsiTheme="majorBidi" w:cstheme="majorBidi"/>
          <w:b/>
          <w:bCs/>
          <w:sz w:val="20"/>
          <w:szCs w:val="20"/>
        </w:rPr>
        <w:t xml:space="preserve">  </w:t>
      </w:r>
    </w:p>
    <w:p w14:paraId="55FB4873" w14:textId="77777777" w:rsidR="00345650" w:rsidRPr="00581091" w:rsidRDefault="00345650" w:rsidP="002C67BF">
      <w:pPr>
        <w:ind w:hanging="2"/>
        <w:rPr>
          <w:rFonts w:asciiTheme="majorBidi" w:hAnsiTheme="majorBidi" w:cstheme="majorBidi"/>
          <w:b/>
          <w:bCs/>
          <w:sz w:val="20"/>
          <w:szCs w:val="20"/>
        </w:rPr>
      </w:pPr>
      <w:bookmarkStart w:id="496" w:name="_Toc200486358"/>
      <w:r w:rsidRPr="00581091">
        <w:rPr>
          <w:rFonts w:asciiTheme="majorBidi" w:hAnsiTheme="majorBidi" w:cstheme="majorBidi"/>
          <w:b/>
          <w:bCs/>
          <w:sz w:val="20"/>
          <w:szCs w:val="20"/>
        </w:rPr>
        <w:t>Concepts</w:t>
      </w:r>
      <w:bookmarkEnd w:id="496"/>
      <w:r w:rsidRPr="00581091">
        <w:rPr>
          <w:rFonts w:asciiTheme="majorBidi" w:hAnsiTheme="majorBidi" w:cstheme="majorBidi"/>
          <w:b/>
          <w:bCs/>
          <w:sz w:val="20"/>
          <w:szCs w:val="20"/>
        </w:rPr>
        <w:t xml:space="preserve">  </w:t>
      </w:r>
    </w:p>
    <w:p w14:paraId="241753A6" w14:textId="77777777" w:rsidR="00345650" w:rsidRPr="00581091" w:rsidRDefault="00345650" w:rsidP="002C67BF">
      <w:pPr>
        <w:ind w:hanging="2"/>
        <w:rPr>
          <w:rFonts w:asciiTheme="majorBidi" w:hAnsiTheme="majorBidi" w:cstheme="majorBidi"/>
          <w:sz w:val="20"/>
          <w:szCs w:val="20"/>
        </w:rPr>
      </w:pPr>
      <w:bookmarkStart w:id="497" w:name="_Toc200486359"/>
      <w:r w:rsidRPr="00581091">
        <w:rPr>
          <w:rFonts w:asciiTheme="majorBidi" w:hAnsiTheme="majorBidi" w:cstheme="majorBidi"/>
          <w:b/>
          <w:bCs/>
          <w:sz w:val="20"/>
          <w:szCs w:val="20"/>
        </w:rPr>
        <w:t>Interviewer:</w:t>
      </w:r>
      <w:r w:rsidRPr="00581091">
        <w:rPr>
          <w:rFonts w:asciiTheme="majorBidi" w:hAnsiTheme="majorBidi" w:cstheme="majorBidi"/>
          <w:sz w:val="20"/>
          <w:szCs w:val="20"/>
        </w:rPr>
        <w:t xml:space="preserve"> How do online teacher communities help teachers clarify core summative assessment concepts (e.g., validity, reliability, alignment with learning outcomes)? Are there common misunderstandings you have seen addressed through these platforms?</w:t>
      </w:r>
      <w:bookmarkEnd w:id="497"/>
      <w:r w:rsidRPr="00581091">
        <w:rPr>
          <w:rFonts w:asciiTheme="majorBidi" w:hAnsiTheme="majorBidi" w:cstheme="majorBidi"/>
          <w:sz w:val="20"/>
          <w:szCs w:val="20"/>
        </w:rPr>
        <w:t xml:space="preserve">  </w:t>
      </w:r>
    </w:p>
    <w:p w14:paraId="2DF0C20D" w14:textId="77777777" w:rsidR="00345650" w:rsidRPr="00581091" w:rsidRDefault="00345650" w:rsidP="002C67BF">
      <w:pPr>
        <w:ind w:hanging="2"/>
        <w:rPr>
          <w:rFonts w:asciiTheme="majorBidi" w:hAnsiTheme="majorBidi" w:cstheme="majorBidi"/>
          <w:sz w:val="20"/>
          <w:szCs w:val="20"/>
        </w:rPr>
      </w:pPr>
      <w:bookmarkStart w:id="498" w:name="_Toc200486360"/>
      <w:r w:rsidRPr="00581091">
        <w:rPr>
          <w:rFonts w:asciiTheme="majorBidi" w:hAnsiTheme="majorBidi" w:cstheme="majorBidi"/>
          <w:b/>
          <w:bCs/>
          <w:sz w:val="20"/>
          <w:szCs w:val="20"/>
        </w:rPr>
        <w:t>Inspector:</w:t>
      </w:r>
      <w:r w:rsidRPr="00581091">
        <w:rPr>
          <w:rFonts w:asciiTheme="majorBidi" w:hAnsiTheme="majorBidi" w:cstheme="majorBidi"/>
          <w:sz w:val="20"/>
          <w:szCs w:val="20"/>
        </w:rPr>
        <w:t xml:space="preserve"> Online teacher communities play a crucial role in helping teachers develop deeper understanding of core summative assessment concepts through several key mechanisms:</w:t>
      </w:r>
      <w:bookmarkEnd w:id="498"/>
      <w:r w:rsidRPr="00581091">
        <w:rPr>
          <w:rFonts w:asciiTheme="majorBidi" w:hAnsiTheme="majorBidi" w:cstheme="majorBidi"/>
          <w:sz w:val="20"/>
          <w:szCs w:val="20"/>
        </w:rPr>
        <w:t xml:space="preserve">  </w:t>
      </w:r>
    </w:p>
    <w:p w14:paraId="08512FCA" w14:textId="77777777" w:rsidR="00345650" w:rsidRPr="00581091" w:rsidRDefault="00345650" w:rsidP="002C67BF">
      <w:pPr>
        <w:ind w:hanging="2"/>
        <w:rPr>
          <w:rFonts w:asciiTheme="majorBidi" w:hAnsiTheme="majorBidi" w:cstheme="majorBidi"/>
          <w:sz w:val="20"/>
          <w:szCs w:val="20"/>
        </w:rPr>
      </w:pPr>
      <w:bookmarkStart w:id="499" w:name="_Toc200486361"/>
      <w:r w:rsidRPr="00581091">
        <w:rPr>
          <w:rFonts w:asciiTheme="majorBidi" w:hAnsiTheme="majorBidi" w:cstheme="majorBidi"/>
          <w:sz w:val="20"/>
          <w:szCs w:val="20"/>
        </w:rPr>
        <w:t>Teachers often share articles, research papers, and practical guides that break down complex assessment concepts like validity and reliability into accessible language.</w:t>
      </w:r>
      <w:bookmarkEnd w:id="499"/>
    </w:p>
    <w:p w14:paraId="2DA2FB4D" w14:textId="77777777" w:rsidR="00345650" w:rsidRPr="00581091" w:rsidRDefault="00345650" w:rsidP="002C67BF">
      <w:pPr>
        <w:ind w:hanging="2"/>
        <w:rPr>
          <w:rFonts w:asciiTheme="majorBidi" w:hAnsiTheme="majorBidi" w:cstheme="majorBidi"/>
          <w:sz w:val="20"/>
          <w:szCs w:val="20"/>
        </w:rPr>
      </w:pPr>
      <w:bookmarkStart w:id="500" w:name="_Toc200486362"/>
      <w:r w:rsidRPr="00581091">
        <w:rPr>
          <w:rFonts w:asciiTheme="majorBidi" w:hAnsiTheme="majorBidi" w:cstheme="majorBidi"/>
          <w:sz w:val="20"/>
          <w:szCs w:val="20"/>
        </w:rPr>
        <w:t>Experienced teachers, teacher trainers and supervisors share concrete examples showing what valid assessments look like in practice and how to evaluate an assessment's reliability.</w:t>
      </w:r>
      <w:bookmarkEnd w:id="500"/>
    </w:p>
    <w:p w14:paraId="608F852C" w14:textId="77777777" w:rsidR="00345650" w:rsidRPr="00581091" w:rsidRDefault="00345650" w:rsidP="002C67BF">
      <w:pPr>
        <w:ind w:hanging="2"/>
        <w:rPr>
          <w:rFonts w:asciiTheme="majorBidi" w:hAnsiTheme="majorBidi" w:cstheme="majorBidi"/>
          <w:sz w:val="20"/>
          <w:szCs w:val="20"/>
        </w:rPr>
      </w:pPr>
      <w:bookmarkStart w:id="501" w:name="_Toc200486363"/>
      <w:r w:rsidRPr="00581091">
        <w:rPr>
          <w:rFonts w:asciiTheme="majorBidi" w:hAnsiTheme="majorBidi" w:cstheme="majorBidi"/>
          <w:sz w:val="20"/>
          <w:szCs w:val="20"/>
        </w:rPr>
        <w:t>Teachers can score sample work together, discuss, and develop shared understanding of quality standards.</w:t>
      </w:r>
      <w:bookmarkEnd w:id="501"/>
    </w:p>
    <w:p w14:paraId="7CF4DEC5" w14:textId="77777777" w:rsidR="00345650" w:rsidRPr="00581091" w:rsidRDefault="00345650" w:rsidP="002C67BF">
      <w:pPr>
        <w:ind w:hanging="2"/>
        <w:rPr>
          <w:rFonts w:asciiTheme="majorBidi" w:hAnsiTheme="majorBidi" w:cstheme="majorBidi"/>
          <w:sz w:val="20"/>
          <w:szCs w:val="20"/>
        </w:rPr>
      </w:pPr>
      <w:bookmarkStart w:id="502" w:name="_Toc200486364"/>
      <w:r w:rsidRPr="00581091">
        <w:rPr>
          <w:rFonts w:asciiTheme="majorBidi" w:hAnsiTheme="majorBidi" w:cstheme="majorBidi"/>
          <w:sz w:val="20"/>
          <w:szCs w:val="20"/>
        </w:rPr>
        <w:t>You will often notice that in online teacher groups, certain myths about assessment literacy just keep coming up—and these misunderstandings can really shape how educators approach their work in the classroom:</w:t>
      </w:r>
      <w:bookmarkEnd w:id="502"/>
    </w:p>
    <w:p w14:paraId="59131A16" w14:textId="77777777" w:rsidR="00345650" w:rsidRPr="00581091" w:rsidRDefault="00345650" w:rsidP="002C67BF">
      <w:pPr>
        <w:ind w:hanging="2"/>
        <w:rPr>
          <w:rFonts w:asciiTheme="majorBidi" w:hAnsiTheme="majorBidi" w:cstheme="majorBidi"/>
          <w:sz w:val="20"/>
          <w:szCs w:val="20"/>
        </w:rPr>
      </w:pPr>
      <w:bookmarkStart w:id="503" w:name="_Toc200486365"/>
      <w:r w:rsidRPr="00581091">
        <w:rPr>
          <w:rFonts w:asciiTheme="majorBidi" w:hAnsiTheme="majorBidi" w:cstheme="majorBidi"/>
          <w:sz w:val="20"/>
          <w:szCs w:val="20"/>
        </w:rPr>
        <w:t xml:space="preserve">Online communities sometimes conflict ‘valid’ with ‘difficult’: Teachers often share experiences of revising “rigorous” assessments that </w:t>
      </w:r>
      <w:proofErr w:type="gramStart"/>
      <w:r w:rsidRPr="00581091">
        <w:rPr>
          <w:rFonts w:asciiTheme="majorBidi" w:hAnsiTheme="majorBidi" w:cstheme="majorBidi"/>
          <w:sz w:val="20"/>
          <w:szCs w:val="20"/>
        </w:rPr>
        <w:t>were not actually aligned</w:t>
      </w:r>
      <w:proofErr w:type="gramEnd"/>
      <w:r w:rsidRPr="00581091">
        <w:rPr>
          <w:rFonts w:asciiTheme="majorBidi" w:hAnsiTheme="majorBidi" w:cstheme="majorBidi"/>
          <w:sz w:val="20"/>
          <w:szCs w:val="20"/>
        </w:rPr>
        <w:t xml:space="preserve"> with learning outcomes.</w:t>
      </w:r>
      <w:bookmarkEnd w:id="503"/>
    </w:p>
    <w:p w14:paraId="4CDC94D5" w14:textId="77777777" w:rsidR="00345650" w:rsidRPr="00581091" w:rsidRDefault="00345650" w:rsidP="002C67BF">
      <w:pPr>
        <w:ind w:hanging="2"/>
        <w:rPr>
          <w:rFonts w:asciiTheme="majorBidi" w:hAnsiTheme="majorBidi" w:cstheme="majorBidi"/>
          <w:sz w:val="20"/>
          <w:szCs w:val="20"/>
        </w:rPr>
      </w:pPr>
      <w:bookmarkStart w:id="504" w:name="_Toc200486366"/>
      <w:r w:rsidRPr="00581091">
        <w:rPr>
          <w:rFonts w:asciiTheme="majorBidi" w:hAnsiTheme="majorBidi" w:cstheme="majorBidi"/>
          <w:sz w:val="20"/>
          <w:szCs w:val="20"/>
        </w:rPr>
        <w:t>They assume all tests are valid; an assessment might be valid for one purpose but not another.</w:t>
      </w:r>
      <w:bookmarkEnd w:id="504"/>
    </w:p>
    <w:p w14:paraId="45469D39" w14:textId="77777777" w:rsidR="00345650" w:rsidRPr="00581091" w:rsidRDefault="00345650" w:rsidP="002C67BF">
      <w:pPr>
        <w:ind w:hanging="2"/>
        <w:rPr>
          <w:rFonts w:asciiTheme="majorBidi" w:hAnsiTheme="majorBidi" w:cstheme="majorBidi"/>
          <w:sz w:val="20"/>
          <w:szCs w:val="20"/>
        </w:rPr>
      </w:pPr>
      <w:bookmarkStart w:id="505" w:name="_Toc200486367"/>
      <w:r w:rsidRPr="00581091">
        <w:rPr>
          <w:rFonts w:asciiTheme="majorBidi" w:hAnsiTheme="majorBidi" w:cstheme="majorBidi"/>
          <w:sz w:val="20"/>
          <w:szCs w:val="20"/>
        </w:rPr>
        <w:t>They sometimes mistake ‘Consistency’ for ‘Fairness’; There is misconception that a reliable test is automatically fair.</w:t>
      </w:r>
      <w:bookmarkEnd w:id="505"/>
    </w:p>
    <w:p w14:paraId="410A787C" w14:textId="77777777" w:rsidR="00345650" w:rsidRPr="00581091" w:rsidRDefault="00345650" w:rsidP="002C67BF">
      <w:pPr>
        <w:ind w:hanging="2"/>
        <w:rPr>
          <w:rFonts w:asciiTheme="majorBidi" w:hAnsiTheme="majorBidi" w:cstheme="majorBidi"/>
          <w:sz w:val="20"/>
          <w:szCs w:val="20"/>
        </w:rPr>
      </w:pPr>
      <w:bookmarkStart w:id="506" w:name="_Toc200486368"/>
      <w:r w:rsidRPr="00581091">
        <w:rPr>
          <w:rFonts w:asciiTheme="majorBidi" w:hAnsiTheme="majorBidi" w:cstheme="majorBidi"/>
          <w:b/>
          <w:bCs/>
          <w:sz w:val="20"/>
          <w:szCs w:val="20"/>
        </w:rPr>
        <w:t>Interviewer:</w:t>
      </w:r>
      <w:r w:rsidRPr="00581091">
        <w:rPr>
          <w:rFonts w:asciiTheme="majorBidi" w:hAnsiTheme="majorBidi" w:cstheme="majorBidi"/>
          <w:sz w:val="20"/>
          <w:szCs w:val="20"/>
        </w:rPr>
        <w:t xml:space="preserve"> In your inspections, have you noticed gaps in teachers’ conceptual understanding of summative assessments that online communities could help bridge?</w:t>
      </w:r>
      <w:bookmarkEnd w:id="506"/>
      <w:r w:rsidRPr="00581091">
        <w:rPr>
          <w:rFonts w:asciiTheme="majorBidi" w:hAnsiTheme="majorBidi" w:cstheme="majorBidi"/>
          <w:sz w:val="20"/>
          <w:szCs w:val="20"/>
        </w:rPr>
        <w:t xml:space="preserve">  </w:t>
      </w:r>
    </w:p>
    <w:p w14:paraId="49BD12A6" w14:textId="77777777" w:rsidR="00345650" w:rsidRPr="00581091" w:rsidRDefault="00345650" w:rsidP="002C67BF">
      <w:pPr>
        <w:ind w:hanging="2"/>
        <w:rPr>
          <w:rFonts w:asciiTheme="majorBidi" w:hAnsiTheme="majorBidi" w:cstheme="majorBidi"/>
          <w:sz w:val="20"/>
          <w:szCs w:val="20"/>
        </w:rPr>
      </w:pPr>
      <w:bookmarkStart w:id="507" w:name="_Toc200486369"/>
      <w:r w:rsidRPr="00581091">
        <w:rPr>
          <w:rFonts w:asciiTheme="majorBidi" w:hAnsiTheme="majorBidi" w:cstheme="majorBidi"/>
          <w:b/>
          <w:bCs/>
          <w:sz w:val="20"/>
          <w:szCs w:val="20"/>
        </w:rPr>
        <w:t>Inspector</w:t>
      </w:r>
      <w:r w:rsidRPr="00581091">
        <w:rPr>
          <w:rFonts w:asciiTheme="majorBidi" w:hAnsiTheme="majorBidi" w:cstheme="majorBidi"/>
          <w:sz w:val="20"/>
          <w:szCs w:val="20"/>
        </w:rPr>
        <w:t>: Yeah! …</w:t>
      </w:r>
      <w:proofErr w:type="gramStart"/>
      <w:r w:rsidRPr="00581091">
        <w:rPr>
          <w:rFonts w:asciiTheme="majorBidi" w:hAnsiTheme="majorBidi" w:cstheme="majorBidi"/>
          <w:sz w:val="20"/>
          <w:szCs w:val="20"/>
        </w:rPr>
        <w:t>.,</w:t>
      </w:r>
      <w:proofErr w:type="gramEnd"/>
      <w:r w:rsidRPr="00581091">
        <w:rPr>
          <w:rFonts w:asciiTheme="majorBidi" w:hAnsiTheme="majorBidi" w:cstheme="majorBidi"/>
          <w:sz w:val="20"/>
          <w:szCs w:val="20"/>
        </w:rPr>
        <w:t xml:space="preserve"> most of the time. Noting that online groups or forums can be a game-changer for teachers. They can help educators get a better grip on the theory behind assessments, design tests that measure critical thinking (not just memorization), and set up grading that is fair and actually shows what students have learned. </w:t>
      </w:r>
      <w:proofErr w:type="gramStart"/>
      <w:r w:rsidRPr="00581091">
        <w:rPr>
          <w:rFonts w:asciiTheme="majorBidi" w:hAnsiTheme="majorBidi" w:cstheme="majorBidi"/>
          <w:sz w:val="20"/>
          <w:szCs w:val="20"/>
        </w:rPr>
        <w:t>Basically, they</w:t>
      </w:r>
      <w:proofErr w:type="gramEnd"/>
      <w:r w:rsidRPr="00581091">
        <w:rPr>
          <w:rFonts w:asciiTheme="majorBidi" w:hAnsiTheme="majorBidi" w:cstheme="majorBidi"/>
          <w:sz w:val="20"/>
          <w:szCs w:val="20"/>
        </w:rPr>
        <w:t xml:space="preserve"> are a space to swap ideas so everyone is on the same page about what truly counts as success in the classroom.</w:t>
      </w:r>
      <w:bookmarkEnd w:id="507"/>
    </w:p>
    <w:p w14:paraId="75814FD4" w14:textId="77777777" w:rsidR="00345650" w:rsidRPr="00581091" w:rsidRDefault="00345650" w:rsidP="002C67BF">
      <w:pPr>
        <w:ind w:hanging="2"/>
        <w:rPr>
          <w:rFonts w:asciiTheme="majorBidi" w:hAnsiTheme="majorBidi" w:cstheme="majorBidi"/>
          <w:b/>
          <w:bCs/>
          <w:sz w:val="20"/>
          <w:szCs w:val="20"/>
        </w:rPr>
      </w:pPr>
      <w:bookmarkStart w:id="508" w:name="_Toc200486370"/>
      <w:r w:rsidRPr="00581091">
        <w:rPr>
          <w:rFonts w:asciiTheme="majorBidi" w:hAnsiTheme="majorBidi" w:cstheme="majorBidi"/>
          <w:b/>
          <w:bCs/>
          <w:sz w:val="20"/>
          <w:szCs w:val="20"/>
        </w:rPr>
        <w:t>Tools and methods</w:t>
      </w:r>
      <w:bookmarkEnd w:id="508"/>
    </w:p>
    <w:p w14:paraId="7CE07CEF" w14:textId="77777777" w:rsidR="00345650" w:rsidRPr="00581091" w:rsidRDefault="00345650" w:rsidP="002C67BF">
      <w:pPr>
        <w:ind w:hanging="2"/>
        <w:rPr>
          <w:rFonts w:asciiTheme="majorBidi" w:hAnsiTheme="majorBidi" w:cstheme="majorBidi"/>
          <w:sz w:val="20"/>
          <w:szCs w:val="20"/>
        </w:rPr>
      </w:pPr>
      <w:bookmarkStart w:id="509" w:name="_Toc200486371"/>
      <w:r w:rsidRPr="00581091">
        <w:rPr>
          <w:rFonts w:asciiTheme="majorBidi" w:hAnsiTheme="majorBidi" w:cstheme="majorBidi"/>
          <w:b/>
          <w:bCs/>
          <w:sz w:val="20"/>
          <w:szCs w:val="20"/>
        </w:rPr>
        <w:t>Interviewer:</w:t>
      </w:r>
      <w:r w:rsidRPr="00581091">
        <w:rPr>
          <w:rFonts w:asciiTheme="majorBidi" w:hAnsiTheme="majorBidi" w:cstheme="majorBidi"/>
          <w:sz w:val="20"/>
          <w:szCs w:val="20"/>
        </w:rPr>
        <w:t xml:space="preserve"> What digital tools (e.g., rubric generators, data analytics platforms) promoted in online communities do you see teachers adopting for summative assessments? How do these tools align with institutional or national standards?</w:t>
      </w:r>
      <w:bookmarkEnd w:id="509"/>
    </w:p>
    <w:p w14:paraId="4B25E604" w14:textId="77777777" w:rsidR="00345650" w:rsidRPr="00581091" w:rsidRDefault="00345650" w:rsidP="002C67BF">
      <w:pPr>
        <w:ind w:hanging="2"/>
        <w:rPr>
          <w:rFonts w:asciiTheme="majorBidi" w:hAnsiTheme="majorBidi" w:cstheme="majorBidi"/>
          <w:sz w:val="20"/>
          <w:szCs w:val="20"/>
        </w:rPr>
      </w:pPr>
      <w:bookmarkStart w:id="510" w:name="_Toc200486372"/>
      <w:r w:rsidRPr="00581091">
        <w:rPr>
          <w:rFonts w:asciiTheme="majorBidi" w:hAnsiTheme="majorBidi" w:cstheme="majorBidi"/>
          <w:b/>
          <w:bCs/>
          <w:sz w:val="20"/>
          <w:szCs w:val="20"/>
        </w:rPr>
        <w:t>Inspector:</w:t>
      </w:r>
      <w:r w:rsidRPr="00581091">
        <w:rPr>
          <w:rFonts w:asciiTheme="majorBidi" w:hAnsiTheme="majorBidi" w:cstheme="majorBidi"/>
          <w:sz w:val="20"/>
          <w:szCs w:val="20"/>
        </w:rPr>
        <w:t xml:space="preserve"> From what I have observed, most teachers I oversee are mainly using Microsoft Excel for their work. While it gets the job done, </w:t>
      </w:r>
      <w:proofErr w:type="gramStart"/>
      <w:r w:rsidRPr="00581091">
        <w:rPr>
          <w:rFonts w:asciiTheme="majorBidi" w:hAnsiTheme="majorBidi" w:cstheme="majorBidi"/>
          <w:sz w:val="20"/>
          <w:szCs w:val="20"/>
        </w:rPr>
        <w:t>I’ve</w:t>
      </w:r>
      <w:proofErr w:type="gramEnd"/>
      <w:r w:rsidRPr="00581091">
        <w:rPr>
          <w:rFonts w:asciiTheme="majorBidi" w:hAnsiTheme="majorBidi" w:cstheme="majorBidi"/>
          <w:sz w:val="20"/>
          <w:szCs w:val="20"/>
        </w:rPr>
        <w:t xml:space="preserve"> noticed Google Sheets could handle these tasks just as well—if not better—especially for data analysis. It is more user-friendly and offers some real advantages, like smoother collaboration features, that Excel does not match as easily. Some of them create and share customized templates and spreadsheets collaboratively to perform data analysis tasks.</w:t>
      </w:r>
      <w:bookmarkEnd w:id="510"/>
    </w:p>
    <w:p w14:paraId="07F617C6" w14:textId="77777777" w:rsidR="00345650" w:rsidRPr="00581091" w:rsidRDefault="00345650" w:rsidP="002C67BF">
      <w:pPr>
        <w:ind w:hanging="2"/>
        <w:rPr>
          <w:rFonts w:asciiTheme="majorBidi" w:hAnsiTheme="majorBidi" w:cstheme="majorBidi"/>
          <w:sz w:val="20"/>
          <w:szCs w:val="20"/>
        </w:rPr>
      </w:pPr>
      <w:bookmarkStart w:id="511" w:name="_Toc200486373"/>
      <w:r w:rsidRPr="00581091">
        <w:rPr>
          <w:rFonts w:asciiTheme="majorBidi" w:hAnsiTheme="majorBidi" w:cstheme="majorBidi"/>
          <w:b/>
          <w:bCs/>
          <w:sz w:val="20"/>
          <w:szCs w:val="20"/>
        </w:rPr>
        <w:t>Interviewer:</w:t>
      </w:r>
      <w:r w:rsidRPr="00581091">
        <w:rPr>
          <w:rFonts w:asciiTheme="majorBidi" w:hAnsiTheme="majorBidi" w:cstheme="majorBidi"/>
          <w:sz w:val="20"/>
          <w:szCs w:val="20"/>
        </w:rPr>
        <w:t xml:space="preserve"> How do online communities help teachers navigate the challenges of using structured tools (e.g., standardized tests) versus unstructured tools (e.g., projects and portfolios)?</w:t>
      </w:r>
      <w:bookmarkEnd w:id="511"/>
      <w:r w:rsidRPr="00581091">
        <w:rPr>
          <w:rFonts w:asciiTheme="majorBidi" w:hAnsiTheme="majorBidi" w:cstheme="majorBidi"/>
          <w:sz w:val="20"/>
          <w:szCs w:val="20"/>
        </w:rPr>
        <w:t xml:space="preserve">  </w:t>
      </w:r>
    </w:p>
    <w:p w14:paraId="06FAC520" w14:textId="77777777" w:rsidR="00345650" w:rsidRPr="00581091" w:rsidRDefault="00345650" w:rsidP="002C67BF">
      <w:pPr>
        <w:ind w:hanging="2"/>
        <w:rPr>
          <w:rFonts w:asciiTheme="majorBidi" w:hAnsiTheme="majorBidi" w:cstheme="majorBidi"/>
          <w:sz w:val="20"/>
          <w:szCs w:val="20"/>
        </w:rPr>
      </w:pPr>
      <w:bookmarkStart w:id="512" w:name="_Toc200486374"/>
      <w:r w:rsidRPr="00581091">
        <w:rPr>
          <w:rFonts w:asciiTheme="majorBidi" w:hAnsiTheme="majorBidi" w:cstheme="majorBidi"/>
          <w:sz w:val="20"/>
          <w:szCs w:val="20"/>
        </w:rPr>
        <w:t xml:space="preserve">Inspector: Eh! … Online communities empower teachers to navigate the structured-unstructured assessment divide </w:t>
      </w:r>
      <w:proofErr w:type="gramStart"/>
      <w:r w:rsidRPr="00581091">
        <w:rPr>
          <w:rFonts w:asciiTheme="majorBidi" w:hAnsiTheme="majorBidi" w:cstheme="majorBidi"/>
          <w:sz w:val="20"/>
          <w:szCs w:val="20"/>
        </w:rPr>
        <w:t>by</w:t>
      </w:r>
      <w:proofErr w:type="gramEnd"/>
      <w:r w:rsidRPr="00581091">
        <w:rPr>
          <w:rFonts w:asciiTheme="majorBidi" w:hAnsiTheme="majorBidi" w:cstheme="majorBidi"/>
          <w:sz w:val="20"/>
          <w:szCs w:val="20"/>
        </w:rPr>
        <w:t>:</w:t>
      </w:r>
      <w:bookmarkEnd w:id="512"/>
    </w:p>
    <w:p w14:paraId="5D6906F5" w14:textId="77777777" w:rsidR="00345650" w:rsidRPr="00581091" w:rsidRDefault="00345650" w:rsidP="002C67BF">
      <w:pPr>
        <w:ind w:hanging="2"/>
        <w:rPr>
          <w:rFonts w:asciiTheme="majorBidi" w:hAnsiTheme="majorBidi" w:cstheme="majorBidi"/>
          <w:sz w:val="20"/>
          <w:szCs w:val="20"/>
        </w:rPr>
      </w:pPr>
      <w:bookmarkStart w:id="513" w:name="_Toc200486375"/>
      <w:r w:rsidRPr="00581091">
        <w:rPr>
          <w:rFonts w:asciiTheme="majorBidi" w:hAnsiTheme="majorBidi" w:cstheme="majorBidi"/>
          <w:sz w:val="20"/>
          <w:szCs w:val="20"/>
        </w:rPr>
        <w:t>Democratizing access to innovative tools and research.</w:t>
      </w:r>
      <w:bookmarkEnd w:id="513"/>
    </w:p>
    <w:p w14:paraId="213CD6E6" w14:textId="77777777" w:rsidR="00345650" w:rsidRPr="00581091" w:rsidRDefault="00345650" w:rsidP="002C67BF">
      <w:pPr>
        <w:ind w:hanging="2"/>
        <w:rPr>
          <w:rFonts w:asciiTheme="majorBidi" w:hAnsiTheme="majorBidi" w:cstheme="majorBidi"/>
          <w:sz w:val="20"/>
          <w:szCs w:val="20"/>
        </w:rPr>
      </w:pPr>
      <w:bookmarkStart w:id="514" w:name="_Toc200486376"/>
      <w:r w:rsidRPr="00581091">
        <w:rPr>
          <w:rFonts w:asciiTheme="majorBidi" w:hAnsiTheme="majorBidi" w:cstheme="majorBidi"/>
          <w:sz w:val="20"/>
          <w:szCs w:val="20"/>
        </w:rPr>
        <w:lastRenderedPageBreak/>
        <w:t>Providing a space to troubleshoot challenges and advocate for balanced assessment systems.</w:t>
      </w:r>
      <w:bookmarkEnd w:id="514"/>
    </w:p>
    <w:p w14:paraId="360CECA1" w14:textId="77777777" w:rsidR="00345650" w:rsidRPr="00581091" w:rsidRDefault="00345650" w:rsidP="002C67BF">
      <w:pPr>
        <w:ind w:hanging="2"/>
        <w:rPr>
          <w:rFonts w:asciiTheme="majorBidi" w:hAnsiTheme="majorBidi" w:cstheme="majorBidi"/>
          <w:sz w:val="20"/>
          <w:szCs w:val="20"/>
        </w:rPr>
      </w:pPr>
      <w:bookmarkStart w:id="515" w:name="_Toc200486377"/>
      <w:r w:rsidRPr="00581091">
        <w:rPr>
          <w:rFonts w:asciiTheme="majorBidi" w:hAnsiTheme="majorBidi" w:cstheme="majorBidi"/>
          <w:sz w:val="20"/>
          <w:szCs w:val="20"/>
        </w:rPr>
        <w:t>Reinforcing both structured and unstructured tools, when used thoughtfully, can coexist to support equitable, meaningful evaluation of student learning.</w:t>
      </w:r>
      <w:bookmarkEnd w:id="515"/>
    </w:p>
    <w:p w14:paraId="28DEA35F" w14:textId="77777777" w:rsidR="00345650" w:rsidRPr="00581091" w:rsidRDefault="00345650" w:rsidP="002C67BF">
      <w:pPr>
        <w:ind w:hanging="2"/>
        <w:rPr>
          <w:rFonts w:asciiTheme="majorBidi" w:hAnsiTheme="majorBidi" w:cstheme="majorBidi"/>
          <w:sz w:val="20"/>
          <w:szCs w:val="20"/>
        </w:rPr>
      </w:pPr>
    </w:p>
    <w:p w14:paraId="002E46E9" w14:textId="77777777" w:rsidR="00345650" w:rsidRPr="00581091" w:rsidRDefault="00345650" w:rsidP="002C67BF">
      <w:pPr>
        <w:ind w:hanging="2"/>
        <w:rPr>
          <w:rFonts w:asciiTheme="majorBidi" w:hAnsiTheme="majorBidi" w:cstheme="majorBidi"/>
          <w:b/>
          <w:bCs/>
          <w:sz w:val="20"/>
          <w:szCs w:val="20"/>
        </w:rPr>
      </w:pPr>
      <w:bookmarkStart w:id="516" w:name="_Toc200486378"/>
      <w:r w:rsidRPr="00581091">
        <w:rPr>
          <w:rFonts w:asciiTheme="majorBidi" w:hAnsiTheme="majorBidi" w:cstheme="majorBidi"/>
          <w:b/>
          <w:bCs/>
          <w:sz w:val="20"/>
          <w:szCs w:val="20"/>
        </w:rPr>
        <w:t>Digital Literacy</w:t>
      </w:r>
      <w:bookmarkEnd w:id="516"/>
      <w:r w:rsidRPr="00581091">
        <w:rPr>
          <w:rFonts w:asciiTheme="majorBidi" w:hAnsiTheme="majorBidi" w:cstheme="majorBidi"/>
          <w:b/>
          <w:bCs/>
          <w:sz w:val="20"/>
          <w:szCs w:val="20"/>
        </w:rPr>
        <w:t xml:space="preserve">  </w:t>
      </w:r>
    </w:p>
    <w:p w14:paraId="0A63127E" w14:textId="77777777" w:rsidR="00345650" w:rsidRPr="00581091" w:rsidRDefault="00345650" w:rsidP="002C67BF">
      <w:pPr>
        <w:ind w:hanging="2"/>
        <w:rPr>
          <w:rFonts w:asciiTheme="majorBidi" w:hAnsiTheme="majorBidi" w:cstheme="majorBidi"/>
          <w:sz w:val="20"/>
          <w:szCs w:val="20"/>
        </w:rPr>
      </w:pPr>
      <w:bookmarkStart w:id="517" w:name="_Toc200486379"/>
      <w:r w:rsidRPr="00581091">
        <w:rPr>
          <w:rFonts w:asciiTheme="majorBidi" w:hAnsiTheme="majorBidi" w:cstheme="majorBidi"/>
          <w:b/>
          <w:bCs/>
          <w:sz w:val="20"/>
          <w:szCs w:val="20"/>
        </w:rPr>
        <w:t>Interviewer:</w:t>
      </w:r>
      <w:r w:rsidRPr="00581091">
        <w:rPr>
          <w:rFonts w:asciiTheme="majorBidi" w:hAnsiTheme="majorBidi" w:cstheme="majorBidi"/>
          <w:sz w:val="20"/>
          <w:szCs w:val="20"/>
        </w:rPr>
        <w:t xml:space="preserve"> How do online communities enhance teachers’ digital literacy for designing, administering, or analyzing summative assessments?</w:t>
      </w:r>
      <w:bookmarkEnd w:id="517"/>
      <w:r w:rsidRPr="00581091">
        <w:rPr>
          <w:rFonts w:asciiTheme="majorBidi" w:hAnsiTheme="majorBidi" w:cstheme="majorBidi"/>
          <w:sz w:val="20"/>
          <w:szCs w:val="20"/>
        </w:rPr>
        <w:t xml:space="preserve">  </w:t>
      </w:r>
    </w:p>
    <w:p w14:paraId="15C927F2" w14:textId="77777777" w:rsidR="00345650" w:rsidRPr="00581091" w:rsidRDefault="00345650" w:rsidP="002C67BF">
      <w:pPr>
        <w:ind w:hanging="2"/>
        <w:rPr>
          <w:rFonts w:asciiTheme="majorBidi" w:hAnsiTheme="majorBidi" w:cstheme="majorBidi"/>
          <w:sz w:val="20"/>
          <w:szCs w:val="20"/>
        </w:rPr>
      </w:pPr>
      <w:bookmarkStart w:id="518" w:name="_Toc200486380"/>
      <w:r w:rsidRPr="00581091">
        <w:rPr>
          <w:rFonts w:asciiTheme="majorBidi" w:hAnsiTheme="majorBidi" w:cstheme="majorBidi"/>
          <w:b/>
          <w:bCs/>
          <w:sz w:val="20"/>
          <w:szCs w:val="20"/>
        </w:rPr>
        <w:t>Inspector:</w:t>
      </w:r>
      <w:r w:rsidRPr="00581091">
        <w:rPr>
          <w:rFonts w:asciiTheme="majorBidi" w:hAnsiTheme="majorBidi" w:cstheme="majorBidi"/>
          <w:sz w:val="20"/>
          <w:szCs w:val="20"/>
        </w:rPr>
        <w:t xml:space="preserve"> </w:t>
      </w:r>
      <w:proofErr w:type="spellStart"/>
      <w:r w:rsidRPr="00581091">
        <w:rPr>
          <w:rFonts w:asciiTheme="majorBidi" w:hAnsiTheme="majorBidi" w:cstheme="majorBidi"/>
          <w:sz w:val="20"/>
          <w:szCs w:val="20"/>
        </w:rPr>
        <w:t>Em</w:t>
      </w:r>
      <w:proofErr w:type="spellEnd"/>
      <w:r w:rsidRPr="00581091">
        <w:rPr>
          <w:rFonts w:asciiTheme="majorBidi" w:hAnsiTheme="majorBidi" w:cstheme="majorBidi"/>
          <w:sz w:val="20"/>
          <w:szCs w:val="20"/>
        </w:rPr>
        <w:t xml:space="preserve">! ….. Communities introduce educators to platforms along with tutorials on their use. </w:t>
      </w:r>
      <w:proofErr w:type="gramStart"/>
      <w:r w:rsidRPr="00581091">
        <w:rPr>
          <w:rFonts w:asciiTheme="majorBidi" w:hAnsiTheme="majorBidi" w:cstheme="majorBidi"/>
          <w:sz w:val="20"/>
          <w:szCs w:val="20"/>
        </w:rPr>
        <w:t>So</w:t>
      </w:r>
      <w:proofErr w:type="gramEnd"/>
      <w:r w:rsidRPr="00581091">
        <w:rPr>
          <w:rFonts w:asciiTheme="majorBidi" w:hAnsiTheme="majorBidi" w:cstheme="majorBidi"/>
          <w:sz w:val="20"/>
          <w:szCs w:val="20"/>
        </w:rPr>
        <w:t>, they act as dynamic ecosystems where teachers rapidly acquire and refine digital literacy skills. By fostering collaboration, democratizing access to expertise, and promoting adaptive learning, these spaces empower teachers to leverage technology effectively—ensuring summative assessments are valid, equitable, and aligned with curriculum outcomes that fit 21st-century demands.</w:t>
      </w:r>
      <w:bookmarkEnd w:id="518"/>
    </w:p>
    <w:p w14:paraId="610E2B4C" w14:textId="77777777" w:rsidR="00345650" w:rsidRPr="00581091" w:rsidRDefault="00345650" w:rsidP="002C67BF">
      <w:pPr>
        <w:ind w:hanging="2"/>
        <w:rPr>
          <w:rFonts w:asciiTheme="majorBidi" w:hAnsiTheme="majorBidi" w:cstheme="majorBidi"/>
          <w:b/>
          <w:bCs/>
          <w:sz w:val="20"/>
          <w:szCs w:val="20"/>
        </w:rPr>
      </w:pPr>
      <w:r w:rsidRPr="00581091">
        <w:rPr>
          <w:rFonts w:asciiTheme="majorBidi" w:hAnsiTheme="majorBidi" w:cstheme="majorBidi"/>
          <w:sz w:val="20"/>
          <w:szCs w:val="20"/>
        </w:rPr>
        <w:t xml:space="preserve"> </w:t>
      </w:r>
      <w:bookmarkStart w:id="519" w:name="_Toc200486381"/>
      <w:r w:rsidRPr="00581091">
        <w:rPr>
          <w:rFonts w:asciiTheme="majorBidi" w:hAnsiTheme="majorBidi" w:cstheme="majorBidi"/>
          <w:b/>
          <w:bCs/>
          <w:sz w:val="20"/>
          <w:szCs w:val="20"/>
        </w:rPr>
        <w:t>Chapter 2: Skills</w:t>
      </w:r>
      <w:bookmarkEnd w:id="519"/>
      <w:r w:rsidRPr="00581091">
        <w:rPr>
          <w:rFonts w:asciiTheme="majorBidi" w:hAnsiTheme="majorBidi" w:cstheme="majorBidi"/>
          <w:b/>
          <w:bCs/>
          <w:sz w:val="20"/>
          <w:szCs w:val="20"/>
        </w:rPr>
        <w:t xml:space="preserve">  </w:t>
      </w:r>
    </w:p>
    <w:p w14:paraId="779FDCA2" w14:textId="77777777" w:rsidR="00345650" w:rsidRPr="00581091" w:rsidRDefault="00345650" w:rsidP="002C67BF">
      <w:pPr>
        <w:ind w:hanging="2"/>
        <w:rPr>
          <w:rFonts w:asciiTheme="majorBidi" w:hAnsiTheme="majorBidi" w:cstheme="majorBidi"/>
          <w:b/>
          <w:bCs/>
          <w:sz w:val="20"/>
          <w:szCs w:val="20"/>
        </w:rPr>
      </w:pPr>
      <w:bookmarkStart w:id="520" w:name="_Toc200486382"/>
      <w:r w:rsidRPr="00581091">
        <w:rPr>
          <w:rFonts w:asciiTheme="majorBidi" w:hAnsiTheme="majorBidi" w:cstheme="majorBidi"/>
          <w:b/>
          <w:bCs/>
          <w:sz w:val="20"/>
          <w:szCs w:val="20"/>
        </w:rPr>
        <w:t>Section 1: Designing Summative Assessment Tools</w:t>
      </w:r>
      <w:bookmarkEnd w:id="520"/>
      <w:r w:rsidRPr="00581091">
        <w:rPr>
          <w:rFonts w:asciiTheme="majorBidi" w:hAnsiTheme="majorBidi" w:cstheme="majorBidi"/>
          <w:b/>
          <w:bCs/>
          <w:sz w:val="20"/>
          <w:szCs w:val="20"/>
        </w:rPr>
        <w:t xml:space="preserve">  </w:t>
      </w:r>
    </w:p>
    <w:p w14:paraId="4AE02917" w14:textId="77777777" w:rsidR="00345650" w:rsidRPr="00581091" w:rsidRDefault="00345650" w:rsidP="002C67BF">
      <w:pPr>
        <w:ind w:hanging="2"/>
        <w:rPr>
          <w:rFonts w:asciiTheme="majorBidi" w:hAnsiTheme="majorBidi" w:cstheme="majorBidi"/>
          <w:sz w:val="20"/>
          <w:szCs w:val="20"/>
        </w:rPr>
      </w:pPr>
      <w:bookmarkStart w:id="521" w:name="_Toc200486383"/>
      <w:r w:rsidRPr="00581091">
        <w:rPr>
          <w:rFonts w:asciiTheme="majorBidi" w:hAnsiTheme="majorBidi" w:cstheme="majorBidi"/>
          <w:b/>
          <w:bCs/>
          <w:sz w:val="20"/>
          <w:szCs w:val="20"/>
        </w:rPr>
        <w:t>Interviewer:</w:t>
      </w:r>
      <w:r w:rsidRPr="00581091">
        <w:rPr>
          <w:rFonts w:asciiTheme="majorBidi" w:hAnsiTheme="majorBidi" w:cstheme="majorBidi"/>
          <w:sz w:val="20"/>
          <w:szCs w:val="20"/>
        </w:rPr>
        <w:t xml:space="preserve"> How do online communities support teachers in designing inclusive and equitable summative assessments, particularly for diverse learners?</w:t>
      </w:r>
      <w:bookmarkEnd w:id="521"/>
      <w:r w:rsidRPr="00581091">
        <w:rPr>
          <w:rFonts w:asciiTheme="majorBidi" w:hAnsiTheme="majorBidi" w:cstheme="majorBidi"/>
          <w:sz w:val="20"/>
          <w:szCs w:val="20"/>
        </w:rPr>
        <w:t xml:space="preserve">  </w:t>
      </w:r>
    </w:p>
    <w:p w14:paraId="1495231C" w14:textId="77777777" w:rsidR="00345650" w:rsidRPr="00581091" w:rsidRDefault="00345650" w:rsidP="002C67BF">
      <w:pPr>
        <w:ind w:hanging="2"/>
        <w:rPr>
          <w:rFonts w:asciiTheme="majorBidi" w:hAnsiTheme="majorBidi" w:cstheme="majorBidi"/>
          <w:sz w:val="20"/>
          <w:szCs w:val="20"/>
        </w:rPr>
      </w:pPr>
      <w:bookmarkStart w:id="522" w:name="_Toc200486384"/>
      <w:r w:rsidRPr="00581091">
        <w:rPr>
          <w:rFonts w:asciiTheme="majorBidi" w:hAnsiTheme="majorBidi" w:cstheme="majorBidi"/>
          <w:b/>
          <w:bCs/>
          <w:sz w:val="20"/>
          <w:szCs w:val="20"/>
        </w:rPr>
        <w:t>Inspector:</w:t>
      </w:r>
      <w:r w:rsidRPr="00581091">
        <w:rPr>
          <w:rFonts w:asciiTheme="majorBidi" w:hAnsiTheme="majorBidi" w:cstheme="majorBidi"/>
          <w:sz w:val="20"/>
          <w:szCs w:val="20"/>
        </w:rPr>
        <w:t xml:space="preserve"> Ok! … Online communities empower teachers to design inclusive and equitable summative assessments </w:t>
      </w:r>
      <w:proofErr w:type="gramStart"/>
      <w:r w:rsidRPr="00581091">
        <w:rPr>
          <w:rFonts w:asciiTheme="majorBidi" w:hAnsiTheme="majorBidi" w:cstheme="majorBidi"/>
          <w:sz w:val="20"/>
          <w:szCs w:val="20"/>
        </w:rPr>
        <w:t>by</w:t>
      </w:r>
      <w:proofErr w:type="gramEnd"/>
      <w:r w:rsidRPr="00581091">
        <w:rPr>
          <w:rFonts w:asciiTheme="majorBidi" w:hAnsiTheme="majorBidi" w:cstheme="majorBidi"/>
          <w:sz w:val="20"/>
          <w:szCs w:val="20"/>
        </w:rPr>
        <w:t>:</w:t>
      </w:r>
      <w:bookmarkEnd w:id="522"/>
    </w:p>
    <w:p w14:paraId="3870B526" w14:textId="77777777" w:rsidR="00345650" w:rsidRPr="00581091" w:rsidRDefault="00345650" w:rsidP="002C67BF">
      <w:pPr>
        <w:ind w:hanging="2"/>
        <w:rPr>
          <w:rFonts w:asciiTheme="majorBidi" w:hAnsiTheme="majorBidi" w:cstheme="majorBidi"/>
          <w:sz w:val="20"/>
          <w:szCs w:val="20"/>
        </w:rPr>
      </w:pPr>
      <w:bookmarkStart w:id="523" w:name="_Toc200486385"/>
      <w:r w:rsidRPr="00581091">
        <w:rPr>
          <w:rFonts w:asciiTheme="majorBidi" w:hAnsiTheme="majorBidi" w:cstheme="majorBidi"/>
          <w:sz w:val="20"/>
          <w:szCs w:val="20"/>
        </w:rPr>
        <w:t>Providing access to inclusive design frameworks and tools.</w:t>
      </w:r>
      <w:bookmarkEnd w:id="523"/>
    </w:p>
    <w:p w14:paraId="56E253B0" w14:textId="77777777" w:rsidR="00345650" w:rsidRPr="00581091" w:rsidRDefault="00345650" w:rsidP="002C67BF">
      <w:pPr>
        <w:ind w:hanging="2"/>
        <w:rPr>
          <w:rFonts w:asciiTheme="majorBidi" w:hAnsiTheme="majorBidi" w:cstheme="majorBidi"/>
          <w:sz w:val="20"/>
          <w:szCs w:val="20"/>
        </w:rPr>
      </w:pPr>
      <w:bookmarkStart w:id="524" w:name="_Toc200486386"/>
      <w:r w:rsidRPr="00581091">
        <w:rPr>
          <w:rFonts w:asciiTheme="majorBidi" w:hAnsiTheme="majorBidi" w:cstheme="majorBidi"/>
          <w:sz w:val="20"/>
          <w:szCs w:val="20"/>
        </w:rPr>
        <w:t>Creating spaces for critical dialogue about bias, access, and representation.</w:t>
      </w:r>
      <w:bookmarkEnd w:id="524"/>
    </w:p>
    <w:p w14:paraId="43B15B75" w14:textId="77777777" w:rsidR="00345650" w:rsidRPr="00581091" w:rsidRDefault="00345650" w:rsidP="002C67BF">
      <w:pPr>
        <w:ind w:hanging="2"/>
        <w:rPr>
          <w:rFonts w:asciiTheme="majorBidi" w:hAnsiTheme="majorBidi" w:cstheme="majorBidi"/>
          <w:sz w:val="20"/>
          <w:szCs w:val="20"/>
        </w:rPr>
      </w:pPr>
      <w:bookmarkStart w:id="525" w:name="_Toc200486387"/>
      <w:r w:rsidRPr="00581091">
        <w:rPr>
          <w:rFonts w:asciiTheme="majorBidi" w:hAnsiTheme="majorBidi" w:cstheme="majorBidi"/>
          <w:sz w:val="20"/>
          <w:szCs w:val="20"/>
        </w:rPr>
        <w:t xml:space="preserve">Fostering innovation through collective </w:t>
      </w:r>
      <w:proofErr w:type="gramStart"/>
      <w:r w:rsidRPr="00581091">
        <w:rPr>
          <w:rFonts w:asciiTheme="majorBidi" w:hAnsiTheme="majorBidi" w:cstheme="majorBidi"/>
          <w:sz w:val="20"/>
          <w:szCs w:val="20"/>
        </w:rPr>
        <w:t>problem-solving</w:t>
      </w:r>
      <w:proofErr w:type="gramEnd"/>
      <w:r w:rsidRPr="00581091">
        <w:rPr>
          <w:rFonts w:asciiTheme="majorBidi" w:hAnsiTheme="majorBidi" w:cstheme="majorBidi"/>
          <w:sz w:val="20"/>
          <w:szCs w:val="20"/>
        </w:rPr>
        <w:t>.</w:t>
      </w:r>
      <w:bookmarkEnd w:id="525"/>
    </w:p>
    <w:p w14:paraId="060E6D27" w14:textId="77777777" w:rsidR="00345650" w:rsidRPr="00581091" w:rsidRDefault="00345650" w:rsidP="002C67BF">
      <w:pPr>
        <w:ind w:hanging="2"/>
        <w:rPr>
          <w:rFonts w:asciiTheme="majorBidi" w:hAnsiTheme="majorBidi" w:cstheme="majorBidi"/>
          <w:sz w:val="20"/>
          <w:szCs w:val="20"/>
        </w:rPr>
      </w:pPr>
      <w:bookmarkStart w:id="526" w:name="_Toc200486388"/>
      <w:r w:rsidRPr="00581091">
        <w:rPr>
          <w:rFonts w:asciiTheme="majorBidi" w:hAnsiTheme="majorBidi" w:cstheme="majorBidi"/>
          <w:sz w:val="20"/>
          <w:szCs w:val="20"/>
        </w:rPr>
        <w:t>By engaging with these communities, teachers move beyond "one-size-fits-all" assessments, ensuring all learners—regardless of ability, or resources—can demonstrate their knowledge in ways that respect their competencies, identities and potential.</w:t>
      </w:r>
      <w:bookmarkEnd w:id="526"/>
    </w:p>
    <w:p w14:paraId="727E15E1" w14:textId="77777777" w:rsidR="00345650" w:rsidRPr="00581091" w:rsidRDefault="00345650" w:rsidP="002C67BF">
      <w:pPr>
        <w:ind w:hanging="2"/>
        <w:rPr>
          <w:rFonts w:asciiTheme="majorBidi" w:hAnsiTheme="majorBidi" w:cstheme="majorBidi"/>
          <w:sz w:val="20"/>
          <w:szCs w:val="20"/>
        </w:rPr>
      </w:pPr>
      <w:bookmarkStart w:id="527" w:name="_Toc200486389"/>
      <w:r w:rsidRPr="00581091">
        <w:rPr>
          <w:rFonts w:asciiTheme="majorBidi" w:hAnsiTheme="majorBidi" w:cstheme="majorBidi"/>
          <w:b/>
          <w:bCs/>
          <w:sz w:val="20"/>
          <w:szCs w:val="20"/>
        </w:rPr>
        <w:t>Interviewer:</w:t>
      </w:r>
      <w:r w:rsidRPr="00581091">
        <w:rPr>
          <w:rFonts w:asciiTheme="majorBidi" w:hAnsiTheme="majorBidi" w:cstheme="majorBidi"/>
          <w:sz w:val="20"/>
          <w:szCs w:val="20"/>
        </w:rPr>
        <w:t xml:space="preserve"> In your experience, do teachers using online communities demonstrate stronger alignment between assessment tools and curriculum goals compared to those who do not?  </w:t>
      </w:r>
      <w:r w:rsidRPr="00581091">
        <w:rPr>
          <w:rFonts w:asciiTheme="majorBidi" w:hAnsiTheme="majorBidi" w:cstheme="majorBidi"/>
          <w:b/>
          <w:bCs/>
          <w:sz w:val="20"/>
          <w:szCs w:val="20"/>
        </w:rPr>
        <w:t>Inspector:</w:t>
      </w:r>
      <w:r w:rsidRPr="00581091">
        <w:rPr>
          <w:rFonts w:asciiTheme="majorBidi" w:hAnsiTheme="majorBidi" w:cstheme="majorBidi"/>
          <w:sz w:val="20"/>
          <w:szCs w:val="20"/>
        </w:rPr>
        <w:t xml:space="preserve"> Well! … While studies have not looked closely at whether teachers in online professional groups design tests differently compared to others, new clues—including what I have seen while supervising teachers—hint that those active in digital communities tend to make clearer links between what they teach and how they test. Being part of these groups seems to help. Teachers swap ideas, share materials, and troubleshoot challenges together, which naturally strengthens this key part of their teaching plans.</w:t>
      </w:r>
      <w:bookmarkEnd w:id="527"/>
    </w:p>
    <w:p w14:paraId="6A1A5917" w14:textId="77777777" w:rsidR="00345650" w:rsidRPr="00581091" w:rsidRDefault="00345650" w:rsidP="002C67BF">
      <w:pPr>
        <w:ind w:hanging="2"/>
        <w:rPr>
          <w:rFonts w:asciiTheme="majorBidi" w:hAnsiTheme="majorBidi" w:cstheme="majorBidi"/>
          <w:sz w:val="20"/>
          <w:szCs w:val="20"/>
        </w:rPr>
      </w:pPr>
      <w:bookmarkStart w:id="528" w:name="_Toc200486390"/>
      <w:r w:rsidRPr="00581091">
        <w:rPr>
          <w:rFonts w:asciiTheme="majorBidi" w:hAnsiTheme="majorBidi" w:cstheme="majorBidi"/>
          <w:b/>
          <w:bCs/>
          <w:sz w:val="20"/>
          <w:szCs w:val="20"/>
        </w:rPr>
        <w:t>Interviewer:</w:t>
      </w:r>
      <w:r w:rsidRPr="00581091">
        <w:rPr>
          <w:rFonts w:asciiTheme="majorBidi" w:hAnsiTheme="majorBidi" w:cstheme="majorBidi"/>
          <w:sz w:val="20"/>
          <w:szCs w:val="20"/>
        </w:rPr>
        <w:t xml:space="preserve"> How do these communities help teachers address potential biases in structured assessments (e.g., standardized tests) or improve creativity in unstructured ones (e.g., portfolios)?</w:t>
      </w:r>
      <w:bookmarkEnd w:id="528"/>
      <w:r w:rsidRPr="00581091">
        <w:rPr>
          <w:rFonts w:asciiTheme="majorBidi" w:hAnsiTheme="majorBidi" w:cstheme="majorBidi"/>
          <w:sz w:val="20"/>
          <w:szCs w:val="20"/>
        </w:rPr>
        <w:t xml:space="preserve">  </w:t>
      </w:r>
    </w:p>
    <w:p w14:paraId="0FD8A70B" w14:textId="77777777" w:rsidR="00345650" w:rsidRPr="00581091" w:rsidRDefault="00345650" w:rsidP="002C67BF">
      <w:pPr>
        <w:ind w:hanging="2"/>
        <w:rPr>
          <w:rFonts w:asciiTheme="majorBidi" w:hAnsiTheme="majorBidi" w:cstheme="majorBidi"/>
          <w:sz w:val="20"/>
          <w:szCs w:val="20"/>
        </w:rPr>
      </w:pPr>
      <w:bookmarkStart w:id="529" w:name="_Toc200486391"/>
      <w:r w:rsidRPr="00581091">
        <w:rPr>
          <w:rFonts w:asciiTheme="majorBidi" w:hAnsiTheme="majorBidi" w:cstheme="majorBidi"/>
          <w:b/>
          <w:bCs/>
          <w:sz w:val="20"/>
          <w:szCs w:val="20"/>
        </w:rPr>
        <w:t>Inspector:</w:t>
      </w:r>
      <w:r w:rsidRPr="00581091">
        <w:rPr>
          <w:rFonts w:asciiTheme="majorBidi" w:hAnsiTheme="majorBidi" w:cstheme="majorBidi"/>
          <w:sz w:val="20"/>
          <w:szCs w:val="20"/>
        </w:rPr>
        <w:t xml:space="preserve"> These communities function as both practical resource hubs and professional learning networks where teachers can simultaneously address the limitations of both structured and unstructured assessments. The collective wisdom helps bridge the gap between assessment theory and classroom reality, enabling teachers to implement </w:t>
      </w:r>
      <w:proofErr w:type="gramStart"/>
      <w:r w:rsidRPr="00581091">
        <w:rPr>
          <w:rFonts w:asciiTheme="majorBidi" w:hAnsiTheme="majorBidi" w:cstheme="majorBidi"/>
          <w:sz w:val="20"/>
          <w:szCs w:val="20"/>
        </w:rPr>
        <w:t>more equitable structured assessments</w:t>
      </w:r>
      <w:proofErr w:type="gramEnd"/>
      <w:r w:rsidRPr="00581091">
        <w:rPr>
          <w:rFonts w:asciiTheme="majorBidi" w:hAnsiTheme="majorBidi" w:cstheme="majorBidi"/>
          <w:sz w:val="20"/>
          <w:szCs w:val="20"/>
        </w:rPr>
        <w:t xml:space="preserve"> and more rigorous creative assessments than they might develop in isolation.</w:t>
      </w:r>
      <w:bookmarkEnd w:id="529"/>
    </w:p>
    <w:p w14:paraId="058D02C1" w14:textId="77777777" w:rsidR="00345650" w:rsidRPr="00581091" w:rsidRDefault="00345650" w:rsidP="002C67BF">
      <w:pPr>
        <w:ind w:hanging="2"/>
        <w:rPr>
          <w:rFonts w:asciiTheme="majorBidi" w:hAnsiTheme="majorBidi" w:cstheme="majorBidi"/>
          <w:sz w:val="20"/>
          <w:szCs w:val="20"/>
        </w:rPr>
      </w:pPr>
      <w:bookmarkStart w:id="530" w:name="_Toc200486392"/>
      <w:r w:rsidRPr="00581091">
        <w:rPr>
          <w:rFonts w:asciiTheme="majorBidi" w:hAnsiTheme="majorBidi" w:cstheme="majorBidi"/>
          <w:sz w:val="20"/>
          <w:szCs w:val="20"/>
        </w:rPr>
        <w:t>By leveraging the collective wisdom and diverse experiences of teachers worldwide, these communities transform assessment practices into tools for equity, engagement, and authentic learning.</w:t>
      </w:r>
      <w:bookmarkEnd w:id="530"/>
    </w:p>
    <w:p w14:paraId="0DAF4A9B" w14:textId="77777777" w:rsidR="00345650" w:rsidRPr="00581091" w:rsidRDefault="00345650" w:rsidP="002C67BF">
      <w:pPr>
        <w:ind w:hanging="2"/>
        <w:rPr>
          <w:rFonts w:asciiTheme="majorBidi" w:hAnsiTheme="majorBidi" w:cstheme="majorBidi"/>
          <w:b/>
          <w:bCs/>
          <w:sz w:val="20"/>
          <w:szCs w:val="20"/>
        </w:rPr>
      </w:pPr>
      <w:bookmarkStart w:id="531" w:name="_Toc200486393"/>
      <w:r w:rsidRPr="00581091">
        <w:rPr>
          <w:rFonts w:asciiTheme="majorBidi" w:hAnsiTheme="majorBidi" w:cstheme="majorBidi"/>
          <w:b/>
          <w:bCs/>
          <w:sz w:val="20"/>
          <w:szCs w:val="20"/>
        </w:rPr>
        <w:t>Section 2: Feedback and Reflective Practice</w:t>
      </w:r>
      <w:bookmarkEnd w:id="531"/>
      <w:r w:rsidRPr="00581091">
        <w:rPr>
          <w:rFonts w:asciiTheme="majorBidi" w:hAnsiTheme="majorBidi" w:cstheme="majorBidi"/>
          <w:b/>
          <w:bCs/>
          <w:sz w:val="20"/>
          <w:szCs w:val="20"/>
        </w:rPr>
        <w:t xml:space="preserve">  </w:t>
      </w:r>
    </w:p>
    <w:p w14:paraId="18CDE165" w14:textId="77777777" w:rsidR="00345650" w:rsidRPr="00581091" w:rsidRDefault="00345650" w:rsidP="002C67BF">
      <w:pPr>
        <w:ind w:hanging="2"/>
        <w:rPr>
          <w:rFonts w:asciiTheme="majorBidi" w:hAnsiTheme="majorBidi" w:cstheme="majorBidi"/>
          <w:sz w:val="20"/>
          <w:szCs w:val="20"/>
        </w:rPr>
      </w:pPr>
      <w:bookmarkStart w:id="532" w:name="_Toc200486394"/>
      <w:r w:rsidRPr="00581091">
        <w:rPr>
          <w:rFonts w:asciiTheme="majorBidi" w:hAnsiTheme="majorBidi" w:cstheme="majorBidi"/>
          <w:b/>
          <w:bCs/>
          <w:sz w:val="20"/>
          <w:szCs w:val="20"/>
        </w:rPr>
        <w:t>Interviewer:</w:t>
      </w:r>
      <w:r w:rsidRPr="00581091">
        <w:rPr>
          <w:rFonts w:asciiTheme="majorBidi" w:hAnsiTheme="majorBidi" w:cstheme="majorBidi"/>
          <w:sz w:val="20"/>
          <w:szCs w:val="20"/>
        </w:rPr>
        <w:t xml:space="preserve"> How do online communities shape teachers’ ability to provide meaningful feedback based on summative assessment results? Are there trends in reflective practice </w:t>
      </w:r>
      <w:proofErr w:type="gramStart"/>
      <w:r w:rsidRPr="00581091">
        <w:rPr>
          <w:rFonts w:asciiTheme="majorBidi" w:hAnsiTheme="majorBidi" w:cstheme="majorBidi"/>
          <w:sz w:val="20"/>
          <w:szCs w:val="20"/>
        </w:rPr>
        <w:t>you’ve</w:t>
      </w:r>
      <w:proofErr w:type="gramEnd"/>
      <w:r w:rsidRPr="00581091">
        <w:rPr>
          <w:rFonts w:asciiTheme="majorBidi" w:hAnsiTheme="majorBidi" w:cstheme="majorBidi"/>
          <w:sz w:val="20"/>
          <w:szCs w:val="20"/>
        </w:rPr>
        <w:t xml:space="preserve"> observed?</w:t>
      </w:r>
      <w:bookmarkEnd w:id="532"/>
      <w:r w:rsidRPr="00581091">
        <w:rPr>
          <w:rFonts w:asciiTheme="majorBidi" w:hAnsiTheme="majorBidi" w:cstheme="majorBidi"/>
          <w:sz w:val="20"/>
          <w:szCs w:val="20"/>
        </w:rPr>
        <w:t xml:space="preserve"> </w:t>
      </w:r>
    </w:p>
    <w:p w14:paraId="2D4CA54D" w14:textId="77777777" w:rsidR="00345650" w:rsidRPr="00581091" w:rsidRDefault="00345650" w:rsidP="002C67BF">
      <w:pPr>
        <w:ind w:hanging="2"/>
        <w:rPr>
          <w:rFonts w:asciiTheme="majorBidi" w:hAnsiTheme="majorBidi" w:cstheme="majorBidi"/>
          <w:sz w:val="20"/>
          <w:szCs w:val="20"/>
          <w:lang w:val="en-GB"/>
        </w:rPr>
      </w:pPr>
      <w:bookmarkStart w:id="533" w:name="_Toc200486395"/>
      <w:r w:rsidRPr="00581091">
        <w:rPr>
          <w:rFonts w:asciiTheme="majorBidi" w:hAnsiTheme="majorBidi" w:cstheme="majorBidi"/>
          <w:b/>
          <w:bCs/>
          <w:sz w:val="20"/>
          <w:szCs w:val="20"/>
          <w:lang w:val="en-GB"/>
        </w:rPr>
        <w:t>Inspector:</w:t>
      </w:r>
      <w:r w:rsidRPr="00581091">
        <w:rPr>
          <w:rFonts w:asciiTheme="majorBidi" w:hAnsiTheme="majorBidi" w:cstheme="majorBidi"/>
          <w:sz w:val="20"/>
          <w:szCs w:val="20"/>
          <w:lang w:val="en-GB"/>
        </w:rPr>
        <w:t xml:space="preserve"> Online communities empower teachers to transform summative assessment results into catalysts for growth </w:t>
      </w:r>
      <w:proofErr w:type="gramStart"/>
      <w:r w:rsidRPr="00581091">
        <w:rPr>
          <w:rFonts w:asciiTheme="majorBidi" w:hAnsiTheme="majorBidi" w:cstheme="majorBidi"/>
          <w:sz w:val="20"/>
          <w:szCs w:val="20"/>
          <w:lang w:val="en-GB"/>
        </w:rPr>
        <w:t>by</w:t>
      </w:r>
      <w:proofErr w:type="gramEnd"/>
      <w:r w:rsidRPr="00581091">
        <w:rPr>
          <w:rFonts w:asciiTheme="majorBidi" w:hAnsiTheme="majorBidi" w:cstheme="majorBidi"/>
          <w:sz w:val="20"/>
          <w:szCs w:val="20"/>
          <w:lang w:val="en-GB"/>
        </w:rPr>
        <w:t>:</w:t>
      </w:r>
      <w:bookmarkEnd w:id="533"/>
    </w:p>
    <w:p w14:paraId="706E4AFE" w14:textId="77777777" w:rsidR="00345650" w:rsidRPr="00581091" w:rsidRDefault="00345650" w:rsidP="002C67BF">
      <w:pPr>
        <w:ind w:hanging="2"/>
        <w:rPr>
          <w:rFonts w:asciiTheme="majorBidi" w:hAnsiTheme="majorBidi" w:cstheme="majorBidi"/>
          <w:sz w:val="20"/>
          <w:szCs w:val="20"/>
          <w:lang w:val="en-GB"/>
        </w:rPr>
      </w:pPr>
      <w:bookmarkStart w:id="534" w:name="_Toc200486396"/>
      <w:r w:rsidRPr="00581091">
        <w:rPr>
          <w:rFonts w:asciiTheme="majorBidi" w:hAnsiTheme="majorBidi" w:cstheme="majorBidi"/>
          <w:sz w:val="20"/>
          <w:szCs w:val="20"/>
          <w:lang w:val="en-GB"/>
        </w:rPr>
        <w:t>Handing access to innovative feedback tools and research.</w:t>
      </w:r>
      <w:bookmarkEnd w:id="534"/>
    </w:p>
    <w:p w14:paraId="523FF22D" w14:textId="77777777" w:rsidR="00345650" w:rsidRPr="00581091" w:rsidRDefault="00345650" w:rsidP="002C67BF">
      <w:pPr>
        <w:ind w:hanging="2"/>
        <w:rPr>
          <w:rFonts w:asciiTheme="majorBidi" w:hAnsiTheme="majorBidi" w:cstheme="majorBidi"/>
          <w:sz w:val="20"/>
          <w:szCs w:val="20"/>
          <w:lang w:val="en-GB"/>
        </w:rPr>
      </w:pPr>
      <w:bookmarkStart w:id="535" w:name="_Toc200486397"/>
      <w:r w:rsidRPr="00581091">
        <w:rPr>
          <w:rFonts w:asciiTheme="majorBidi" w:hAnsiTheme="majorBidi" w:cstheme="majorBidi"/>
          <w:sz w:val="20"/>
          <w:szCs w:val="20"/>
          <w:lang w:val="en-GB"/>
        </w:rPr>
        <w:t>Providing emotional support to navigate high-stakes environments.</w:t>
      </w:r>
      <w:bookmarkEnd w:id="535"/>
    </w:p>
    <w:p w14:paraId="7A3A8495" w14:textId="77777777" w:rsidR="00345650" w:rsidRPr="00581091" w:rsidRDefault="00345650" w:rsidP="002C67BF">
      <w:pPr>
        <w:ind w:hanging="2"/>
        <w:rPr>
          <w:rFonts w:asciiTheme="majorBidi" w:hAnsiTheme="majorBidi" w:cstheme="majorBidi"/>
          <w:sz w:val="20"/>
          <w:szCs w:val="20"/>
          <w:lang w:val="en-GB"/>
        </w:rPr>
      </w:pPr>
      <w:bookmarkStart w:id="536" w:name="_Toc200486398"/>
      <w:r w:rsidRPr="00581091">
        <w:rPr>
          <w:rFonts w:asciiTheme="majorBidi" w:hAnsiTheme="majorBidi" w:cstheme="majorBidi"/>
          <w:sz w:val="20"/>
          <w:szCs w:val="20"/>
          <w:lang w:val="en-GB"/>
        </w:rPr>
        <w:t>Promoting equity through bias-aware, student-centred practices.</w:t>
      </w:r>
      <w:bookmarkEnd w:id="536"/>
    </w:p>
    <w:p w14:paraId="31FD38F9" w14:textId="77777777" w:rsidR="00345650" w:rsidRPr="00581091" w:rsidRDefault="00345650" w:rsidP="002C67BF">
      <w:pPr>
        <w:ind w:hanging="2"/>
        <w:rPr>
          <w:rFonts w:asciiTheme="majorBidi" w:hAnsiTheme="majorBidi" w:cstheme="majorBidi"/>
          <w:sz w:val="20"/>
          <w:szCs w:val="20"/>
          <w:lang w:val="en-GB"/>
        </w:rPr>
      </w:pPr>
      <w:bookmarkStart w:id="537" w:name="_Toc200486399"/>
      <w:r w:rsidRPr="00581091">
        <w:rPr>
          <w:rFonts w:asciiTheme="majorBidi" w:hAnsiTheme="majorBidi" w:cstheme="majorBidi"/>
          <w:sz w:val="20"/>
          <w:szCs w:val="20"/>
          <w:lang w:val="en-GB"/>
        </w:rPr>
        <w:t>By tapping into these communities, teachers can step away from vague grades like '15/20' or 'B+' and instead give personalized, practical feedback. This helps students see where they shine, work on weaker spots, and take charge of their own growth—turning learning into something they actively shape, not just scores they receive.</w:t>
      </w:r>
      <w:bookmarkEnd w:id="537"/>
    </w:p>
    <w:p w14:paraId="5A7F7136" w14:textId="77777777" w:rsidR="00345650" w:rsidRPr="00581091" w:rsidRDefault="00345650" w:rsidP="002C67BF">
      <w:pPr>
        <w:ind w:hanging="2"/>
        <w:rPr>
          <w:rFonts w:asciiTheme="majorBidi" w:hAnsiTheme="majorBidi" w:cstheme="majorBidi"/>
          <w:sz w:val="20"/>
          <w:szCs w:val="20"/>
        </w:rPr>
      </w:pPr>
      <w:bookmarkStart w:id="538" w:name="_Toc200486400"/>
      <w:r w:rsidRPr="00581091">
        <w:rPr>
          <w:rFonts w:asciiTheme="majorBidi" w:hAnsiTheme="majorBidi" w:cstheme="majorBidi"/>
          <w:b/>
          <w:bCs/>
          <w:sz w:val="20"/>
          <w:szCs w:val="20"/>
        </w:rPr>
        <w:t>Interviewer:</w:t>
      </w:r>
      <w:r w:rsidRPr="00581091">
        <w:rPr>
          <w:rFonts w:asciiTheme="majorBidi" w:hAnsiTheme="majorBidi" w:cstheme="majorBidi"/>
          <w:sz w:val="20"/>
          <w:szCs w:val="20"/>
        </w:rPr>
        <w:t xml:space="preserve"> Have you seen examples where peer feedback from online communities improved teachers’ analysis of assessment data (e.g., identifying learning gaps or trends)?</w:t>
      </w:r>
      <w:bookmarkEnd w:id="538"/>
      <w:r w:rsidRPr="00581091">
        <w:rPr>
          <w:rFonts w:asciiTheme="majorBidi" w:hAnsiTheme="majorBidi" w:cstheme="majorBidi"/>
          <w:sz w:val="20"/>
          <w:szCs w:val="20"/>
        </w:rPr>
        <w:t xml:space="preserve">  </w:t>
      </w:r>
    </w:p>
    <w:p w14:paraId="66270CC4" w14:textId="77777777" w:rsidR="00345650" w:rsidRPr="00581091" w:rsidRDefault="00345650" w:rsidP="002C67BF">
      <w:pPr>
        <w:ind w:hanging="2"/>
        <w:rPr>
          <w:rFonts w:asciiTheme="majorBidi" w:hAnsiTheme="majorBidi" w:cstheme="majorBidi"/>
          <w:sz w:val="20"/>
          <w:szCs w:val="20"/>
        </w:rPr>
      </w:pPr>
      <w:bookmarkStart w:id="539" w:name="_Toc200486401"/>
      <w:r w:rsidRPr="00581091">
        <w:rPr>
          <w:rFonts w:asciiTheme="majorBidi" w:hAnsiTheme="majorBidi" w:cstheme="majorBidi"/>
          <w:b/>
          <w:bCs/>
          <w:sz w:val="20"/>
          <w:szCs w:val="20"/>
        </w:rPr>
        <w:t>Inspector:</w:t>
      </w:r>
      <w:r w:rsidRPr="00581091">
        <w:rPr>
          <w:rFonts w:asciiTheme="majorBidi" w:hAnsiTheme="majorBidi" w:cstheme="majorBidi"/>
          <w:sz w:val="20"/>
          <w:szCs w:val="20"/>
        </w:rPr>
        <w:t xml:space="preserve"> Sure, for many times. </w:t>
      </w:r>
      <w:proofErr w:type="gramStart"/>
      <w:r w:rsidRPr="00581091">
        <w:rPr>
          <w:rFonts w:asciiTheme="majorBidi" w:hAnsiTheme="majorBidi" w:cstheme="majorBidi"/>
          <w:sz w:val="20"/>
          <w:szCs w:val="20"/>
        </w:rPr>
        <w:t>Lots of</w:t>
      </w:r>
      <w:proofErr w:type="gramEnd"/>
      <w:r w:rsidRPr="00581091">
        <w:rPr>
          <w:rFonts w:asciiTheme="majorBidi" w:hAnsiTheme="majorBidi" w:cstheme="majorBidi"/>
          <w:sz w:val="20"/>
          <w:szCs w:val="20"/>
        </w:rPr>
        <w:t xml:space="preserve"> teachers in my district are teaming up these days, bouncing ideas off online groups they are part of while creating quizzes and tests. It is helping them get </w:t>
      </w:r>
      <w:proofErr w:type="gramStart"/>
      <w:r w:rsidRPr="00581091">
        <w:rPr>
          <w:rFonts w:asciiTheme="majorBidi" w:hAnsiTheme="majorBidi" w:cstheme="majorBidi"/>
          <w:sz w:val="20"/>
          <w:szCs w:val="20"/>
        </w:rPr>
        <w:t>a clearer grip on grading standards and how to break down student results</w:t>
      </w:r>
      <w:proofErr w:type="gramEnd"/>
      <w:r w:rsidRPr="00581091">
        <w:rPr>
          <w:rFonts w:asciiTheme="majorBidi" w:hAnsiTheme="majorBidi" w:cstheme="majorBidi"/>
          <w:sz w:val="20"/>
          <w:szCs w:val="20"/>
        </w:rPr>
        <w:t xml:space="preserve">. We are seeing cool shifts in how teachers tweak their feedback methods, too—like using those online spaces as springboards for fresh ideas. Take the “portfolio method,” for example: educators keep a running log of their comments over </w:t>
      </w:r>
      <w:proofErr w:type="gramStart"/>
      <w:r w:rsidRPr="00581091">
        <w:rPr>
          <w:rFonts w:asciiTheme="majorBidi" w:hAnsiTheme="majorBidi" w:cstheme="majorBidi"/>
          <w:sz w:val="20"/>
          <w:szCs w:val="20"/>
        </w:rPr>
        <w:t>time, pairing real student work with notes about what worked, what did not, and how they have adjusted their approach</w:t>
      </w:r>
      <w:proofErr w:type="gramEnd"/>
      <w:r w:rsidRPr="00581091">
        <w:rPr>
          <w:rFonts w:asciiTheme="majorBidi" w:hAnsiTheme="majorBidi" w:cstheme="majorBidi"/>
          <w:sz w:val="20"/>
          <w:szCs w:val="20"/>
        </w:rPr>
        <w:t xml:space="preserve">. It </w:t>
      </w:r>
      <w:proofErr w:type="gramStart"/>
      <w:r w:rsidRPr="00581091">
        <w:rPr>
          <w:rFonts w:asciiTheme="majorBidi" w:hAnsiTheme="majorBidi" w:cstheme="majorBidi"/>
          <w:sz w:val="20"/>
          <w:szCs w:val="20"/>
        </w:rPr>
        <w:t>is basically</w:t>
      </w:r>
      <w:proofErr w:type="gramEnd"/>
      <w:r w:rsidRPr="00581091">
        <w:rPr>
          <w:rFonts w:asciiTheme="majorBidi" w:hAnsiTheme="majorBidi" w:cstheme="majorBidi"/>
          <w:sz w:val="20"/>
          <w:szCs w:val="20"/>
        </w:rPr>
        <w:t xml:space="preserve"> like a playbook for getting better at guiding students.</w:t>
      </w:r>
      <w:bookmarkEnd w:id="539"/>
    </w:p>
    <w:p w14:paraId="0321A77B" w14:textId="77777777" w:rsidR="00345650" w:rsidRPr="00581091" w:rsidRDefault="00345650" w:rsidP="002C67BF">
      <w:pPr>
        <w:ind w:hanging="2"/>
        <w:rPr>
          <w:rFonts w:asciiTheme="majorBidi" w:hAnsiTheme="majorBidi" w:cstheme="majorBidi"/>
          <w:sz w:val="20"/>
          <w:szCs w:val="20"/>
        </w:rPr>
      </w:pPr>
      <w:bookmarkStart w:id="540" w:name="_Toc200486402"/>
      <w:r w:rsidRPr="00581091">
        <w:rPr>
          <w:rFonts w:asciiTheme="majorBidi" w:hAnsiTheme="majorBidi" w:cstheme="majorBidi"/>
          <w:b/>
          <w:bCs/>
          <w:sz w:val="20"/>
          <w:szCs w:val="20"/>
        </w:rPr>
        <w:lastRenderedPageBreak/>
        <w:t>Interviewer:</w:t>
      </w:r>
      <w:r w:rsidRPr="00581091">
        <w:rPr>
          <w:rFonts w:asciiTheme="majorBidi" w:hAnsiTheme="majorBidi" w:cstheme="majorBidi"/>
          <w:sz w:val="20"/>
          <w:szCs w:val="20"/>
        </w:rPr>
        <w:t xml:space="preserve"> How do these platforms encourage teachers to reflect on the ethical implications of their summative assessment practices (e.g., fairness, transparency)?</w:t>
      </w:r>
      <w:bookmarkEnd w:id="540"/>
      <w:r w:rsidRPr="00581091">
        <w:rPr>
          <w:rFonts w:asciiTheme="majorBidi" w:hAnsiTheme="majorBidi" w:cstheme="majorBidi"/>
          <w:sz w:val="20"/>
          <w:szCs w:val="20"/>
        </w:rPr>
        <w:t xml:space="preserve">  </w:t>
      </w:r>
    </w:p>
    <w:p w14:paraId="3D22B8DB" w14:textId="77777777" w:rsidR="00345650" w:rsidRPr="00581091" w:rsidRDefault="00345650" w:rsidP="002C67BF">
      <w:pPr>
        <w:ind w:hanging="2"/>
        <w:rPr>
          <w:rFonts w:asciiTheme="majorBidi" w:hAnsiTheme="majorBidi" w:cstheme="majorBidi"/>
          <w:sz w:val="20"/>
          <w:szCs w:val="20"/>
        </w:rPr>
      </w:pPr>
      <w:bookmarkStart w:id="541" w:name="_Toc200486403"/>
      <w:r w:rsidRPr="00581091">
        <w:rPr>
          <w:rFonts w:asciiTheme="majorBidi" w:hAnsiTheme="majorBidi" w:cstheme="majorBidi"/>
          <w:b/>
          <w:bCs/>
          <w:sz w:val="20"/>
          <w:szCs w:val="20"/>
        </w:rPr>
        <w:t>Inspector:</w:t>
      </w:r>
      <w:r w:rsidRPr="00581091">
        <w:rPr>
          <w:rFonts w:asciiTheme="majorBidi" w:hAnsiTheme="majorBidi" w:cstheme="majorBidi"/>
          <w:sz w:val="20"/>
          <w:szCs w:val="20"/>
        </w:rPr>
        <w:t xml:space="preserve"> These platforms give teachers a space to step back and think deeply—not just about how they grade students, but about the bigger questions of fairness and ethics behind those grades. They help teachers spot biases, ask tough questions, and rethink their methods in ways that put equity front and center. This is not just about adjusting a few guidelines—it is about earning real trust, having honest talks, and pushing teachers to move past old methods and create ones that truly serve every student.</w:t>
      </w:r>
      <w:bookmarkEnd w:id="541"/>
    </w:p>
    <w:p w14:paraId="781A729D" w14:textId="77777777" w:rsidR="00345650" w:rsidRPr="00581091" w:rsidRDefault="00345650" w:rsidP="002C67BF">
      <w:pPr>
        <w:ind w:hanging="2"/>
        <w:rPr>
          <w:rFonts w:asciiTheme="majorBidi" w:hAnsiTheme="majorBidi" w:cstheme="majorBidi"/>
          <w:b/>
          <w:bCs/>
          <w:sz w:val="20"/>
          <w:szCs w:val="20"/>
        </w:rPr>
      </w:pPr>
      <w:r w:rsidRPr="00581091">
        <w:rPr>
          <w:rFonts w:asciiTheme="majorBidi" w:hAnsiTheme="majorBidi" w:cstheme="majorBidi"/>
          <w:sz w:val="20"/>
          <w:szCs w:val="20"/>
        </w:rPr>
        <w:t xml:space="preserve"> </w:t>
      </w:r>
      <w:bookmarkStart w:id="542" w:name="_Toc200486404"/>
      <w:r w:rsidRPr="00581091">
        <w:rPr>
          <w:rFonts w:asciiTheme="majorBidi" w:hAnsiTheme="majorBidi" w:cstheme="majorBidi"/>
          <w:b/>
          <w:bCs/>
          <w:sz w:val="20"/>
          <w:szCs w:val="20"/>
        </w:rPr>
        <w:t>Challenges and Recommendations</w:t>
      </w:r>
      <w:bookmarkEnd w:id="542"/>
      <w:r w:rsidRPr="00581091">
        <w:rPr>
          <w:rFonts w:asciiTheme="majorBidi" w:hAnsiTheme="majorBidi" w:cstheme="majorBidi"/>
          <w:b/>
          <w:bCs/>
          <w:sz w:val="20"/>
          <w:szCs w:val="20"/>
        </w:rPr>
        <w:t xml:space="preserve">  </w:t>
      </w:r>
    </w:p>
    <w:p w14:paraId="29ABE5B3" w14:textId="77777777" w:rsidR="00345650" w:rsidRPr="00581091" w:rsidRDefault="00345650" w:rsidP="002C67BF">
      <w:pPr>
        <w:ind w:hanging="2"/>
        <w:rPr>
          <w:rFonts w:asciiTheme="majorBidi" w:hAnsiTheme="majorBidi" w:cstheme="majorBidi"/>
          <w:sz w:val="20"/>
          <w:szCs w:val="20"/>
        </w:rPr>
      </w:pPr>
      <w:bookmarkStart w:id="543" w:name="_Toc200486405"/>
      <w:r w:rsidRPr="00581091">
        <w:rPr>
          <w:rFonts w:asciiTheme="majorBidi" w:hAnsiTheme="majorBidi" w:cstheme="majorBidi"/>
          <w:b/>
          <w:bCs/>
          <w:sz w:val="20"/>
          <w:szCs w:val="20"/>
        </w:rPr>
        <w:t>Interviewer:</w:t>
      </w:r>
      <w:r w:rsidRPr="00581091">
        <w:rPr>
          <w:rFonts w:asciiTheme="majorBidi" w:hAnsiTheme="majorBidi" w:cstheme="majorBidi"/>
          <w:sz w:val="20"/>
          <w:szCs w:val="20"/>
        </w:rPr>
        <w:t xml:space="preserve"> What risks or challenges do online teacher communities pose to summative assessment literacy (e.g., misinformation, over-reliance on trends)?</w:t>
      </w:r>
      <w:bookmarkEnd w:id="543"/>
    </w:p>
    <w:p w14:paraId="4297D6D3" w14:textId="77777777" w:rsidR="00345650" w:rsidRPr="00581091" w:rsidRDefault="00345650" w:rsidP="002C67BF">
      <w:pPr>
        <w:ind w:hanging="2"/>
        <w:rPr>
          <w:rFonts w:asciiTheme="majorBidi" w:hAnsiTheme="majorBidi" w:cstheme="majorBidi"/>
          <w:sz w:val="20"/>
          <w:szCs w:val="20"/>
        </w:rPr>
      </w:pPr>
      <w:bookmarkStart w:id="544" w:name="_Toc200486406"/>
      <w:r w:rsidRPr="00581091">
        <w:rPr>
          <w:rFonts w:asciiTheme="majorBidi" w:hAnsiTheme="majorBidi" w:cstheme="majorBidi"/>
          <w:b/>
          <w:bCs/>
          <w:sz w:val="20"/>
          <w:szCs w:val="20"/>
        </w:rPr>
        <w:t>Inspector:</w:t>
      </w:r>
      <w:r w:rsidRPr="00581091">
        <w:rPr>
          <w:rFonts w:asciiTheme="majorBidi" w:hAnsiTheme="majorBidi" w:cstheme="majorBidi"/>
          <w:sz w:val="20"/>
          <w:szCs w:val="20"/>
        </w:rPr>
        <w:t xml:space="preserve"> Online teacher communities can be a goldmine for educators looking to figure out how to assess learners effectively—but they are not without their pitfalls. While these forums buzz with fresh ideas and shared experiences, they </w:t>
      </w:r>
      <w:proofErr w:type="gramStart"/>
      <w:r w:rsidRPr="00581091">
        <w:rPr>
          <w:rFonts w:asciiTheme="majorBidi" w:hAnsiTheme="majorBidi" w:cstheme="majorBidi"/>
          <w:sz w:val="20"/>
          <w:szCs w:val="20"/>
        </w:rPr>
        <w:t>are often swamped</w:t>
      </w:r>
      <w:proofErr w:type="gramEnd"/>
      <w:r w:rsidRPr="00581091">
        <w:rPr>
          <w:rFonts w:asciiTheme="majorBidi" w:hAnsiTheme="majorBidi" w:cstheme="majorBidi"/>
          <w:sz w:val="20"/>
          <w:szCs w:val="20"/>
        </w:rPr>
        <w:t xml:space="preserve"> with questionable advice, create situations where teachers might accidentally share too much about their struggles, and can even lead to accidentally breaking school rules. Here is the thing: Relying too much on the "hive mind" of these groups risks watering down the quality of your teaching. The real magic </w:t>
      </w:r>
      <w:proofErr w:type="gramStart"/>
      <w:r w:rsidRPr="00581091">
        <w:rPr>
          <w:rFonts w:asciiTheme="majorBidi" w:hAnsiTheme="majorBidi" w:cstheme="majorBidi"/>
          <w:sz w:val="20"/>
          <w:szCs w:val="20"/>
        </w:rPr>
        <w:t>happens when teachers blend the creative sparks from online chats with classroom-tested methods they already know work</w:t>
      </w:r>
      <w:proofErr w:type="gramEnd"/>
      <w:r w:rsidRPr="00581091">
        <w:rPr>
          <w:rFonts w:asciiTheme="majorBidi" w:hAnsiTheme="majorBidi" w:cstheme="majorBidi"/>
          <w:sz w:val="20"/>
          <w:szCs w:val="20"/>
        </w:rPr>
        <w:t>. This means staying curious about new ideas but always double-checking them against common sense, research, and what is right for students. By thinking critically (“Does this actually help kids learn?”), staying true to their professional values, and keeping school policies in mind, educators can build assessment plans that do more than just look good on paper—they stand up to tough questions from parents or colleagues and, most importantly, earn students’ trust. It is like cooking: You take inspiration from others’ recipes, but you tweak them to suit your own kitchen and taste-test every step of the way.</w:t>
      </w:r>
      <w:bookmarkEnd w:id="544"/>
    </w:p>
    <w:p w14:paraId="56192B7A" w14:textId="77777777" w:rsidR="00345650" w:rsidRPr="004A1013" w:rsidRDefault="00345650" w:rsidP="002C67BF">
      <w:pPr>
        <w:ind w:hanging="2"/>
        <w:rPr>
          <w:b/>
          <w:bCs/>
        </w:rPr>
      </w:pPr>
      <w:bookmarkStart w:id="545" w:name="_Toc199830549"/>
      <w:bookmarkStart w:id="546" w:name="_Toc200486407"/>
      <w:r w:rsidRPr="004A1013">
        <w:rPr>
          <w:b/>
          <w:bCs/>
        </w:rPr>
        <w:t>Appendix D</w:t>
      </w:r>
      <w:bookmarkEnd w:id="545"/>
      <w:bookmarkEnd w:id="546"/>
    </w:p>
    <w:p w14:paraId="1EA5C475" w14:textId="77777777" w:rsidR="00345650" w:rsidRDefault="00345650" w:rsidP="002C67BF">
      <w:pPr>
        <w:ind w:hanging="2"/>
        <w:rPr>
          <w:rFonts w:asciiTheme="majorBidi" w:hAnsiTheme="majorBidi" w:cstheme="majorBidi"/>
          <w:b/>
          <w:bCs/>
        </w:rPr>
      </w:pPr>
      <w:bookmarkStart w:id="547" w:name="_Toc200486408"/>
      <w:r>
        <w:rPr>
          <w:noProof/>
          <w:lang w:val="fr-FR" w:eastAsia="fr-FR"/>
        </w:rPr>
        <w:drawing>
          <wp:inline distT="0" distB="0" distL="0" distR="0" wp14:anchorId="7A441C13" wp14:editId="21F60B67">
            <wp:extent cx="5760720" cy="4074795"/>
            <wp:effectExtent l="0" t="0" r="0" b="1905"/>
            <wp:docPr id="196455524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1" cstate="print">
                      <a:extLst>
                        <a:ext uri="{28A0092B-C50C-407E-A947-70E740481C1C}">
                          <a14:useLocalDpi xmlns:a14="http://schemas.microsoft.com/office/drawing/2010/main" val="0"/>
                        </a:ext>
                      </a:extLst>
                    </a:blip>
                    <a:srcRect/>
                    <a:stretch>
                      <a:fillRect/>
                    </a:stretch>
                  </pic:blipFill>
                  <pic:spPr bwMode="auto">
                    <a:xfrm>
                      <a:off x="0" y="0"/>
                      <a:ext cx="5760720" cy="4074795"/>
                    </a:xfrm>
                    <a:prstGeom prst="rect">
                      <a:avLst/>
                    </a:prstGeom>
                    <a:noFill/>
                    <a:ln>
                      <a:noFill/>
                    </a:ln>
                  </pic:spPr>
                </pic:pic>
              </a:graphicData>
            </a:graphic>
          </wp:inline>
        </w:drawing>
      </w:r>
      <w:bookmarkEnd w:id="547"/>
    </w:p>
    <w:p w14:paraId="586E8DE0" w14:textId="77777777" w:rsidR="00345650" w:rsidRDefault="00345650" w:rsidP="002C67BF">
      <w:pPr>
        <w:ind w:hanging="2"/>
        <w:rPr>
          <w:rFonts w:asciiTheme="majorBidi" w:hAnsiTheme="majorBidi" w:cstheme="majorBidi"/>
          <w:b/>
          <w:bCs/>
        </w:rPr>
      </w:pPr>
      <w:bookmarkStart w:id="548" w:name="_Toc200486409"/>
      <w:r>
        <w:rPr>
          <w:noProof/>
          <w:lang w:val="fr-FR" w:eastAsia="fr-FR"/>
        </w:rPr>
        <w:lastRenderedPageBreak/>
        <w:drawing>
          <wp:inline distT="0" distB="0" distL="0" distR="0" wp14:anchorId="772023B0" wp14:editId="27061CC3">
            <wp:extent cx="5760720" cy="4074795"/>
            <wp:effectExtent l="0" t="0" r="0" b="1905"/>
            <wp:docPr id="946371421"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2" cstate="print">
                      <a:extLst>
                        <a:ext uri="{28A0092B-C50C-407E-A947-70E740481C1C}">
                          <a14:useLocalDpi xmlns:a14="http://schemas.microsoft.com/office/drawing/2010/main" val="0"/>
                        </a:ext>
                      </a:extLst>
                    </a:blip>
                    <a:srcRect/>
                    <a:stretch>
                      <a:fillRect/>
                    </a:stretch>
                  </pic:blipFill>
                  <pic:spPr bwMode="auto">
                    <a:xfrm>
                      <a:off x="0" y="0"/>
                      <a:ext cx="5760720" cy="4074795"/>
                    </a:xfrm>
                    <a:prstGeom prst="rect">
                      <a:avLst/>
                    </a:prstGeom>
                    <a:noFill/>
                    <a:ln>
                      <a:noFill/>
                    </a:ln>
                  </pic:spPr>
                </pic:pic>
              </a:graphicData>
            </a:graphic>
          </wp:inline>
        </w:drawing>
      </w:r>
      <w:bookmarkEnd w:id="548"/>
    </w:p>
    <w:p w14:paraId="2445AE42" w14:textId="77777777" w:rsidR="00345650" w:rsidRDefault="00345650" w:rsidP="002C67BF">
      <w:pPr>
        <w:ind w:hanging="2"/>
        <w:rPr>
          <w:rFonts w:asciiTheme="majorBidi" w:hAnsiTheme="majorBidi" w:cstheme="majorBidi"/>
          <w:b/>
          <w:bCs/>
        </w:rPr>
      </w:pPr>
      <w:bookmarkStart w:id="549" w:name="_Toc200486410"/>
      <w:r>
        <w:rPr>
          <w:noProof/>
          <w:lang w:val="fr-FR" w:eastAsia="fr-FR"/>
        </w:rPr>
        <w:drawing>
          <wp:inline distT="0" distB="0" distL="0" distR="0" wp14:anchorId="308A2834" wp14:editId="3F3511AE">
            <wp:extent cx="5760720" cy="4074795"/>
            <wp:effectExtent l="0" t="0" r="0" b="1905"/>
            <wp:docPr id="713782124"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3" cstate="print">
                      <a:extLst>
                        <a:ext uri="{28A0092B-C50C-407E-A947-70E740481C1C}">
                          <a14:useLocalDpi xmlns:a14="http://schemas.microsoft.com/office/drawing/2010/main" val="0"/>
                        </a:ext>
                      </a:extLst>
                    </a:blip>
                    <a:srcRect/>
                    <a:stretch>
                      <a:fillRect/>
                    </a:stretch>
                  </pic:blipFill>
                  <pic:spPr bwMode="auto">
                    <a:xfrm>
                      <a:off x="0" y="0"/>
                      <a:ext cx="5760720" cy="4074795"/>
                    </a:xfrm>
                    <a:prstGeom prst="rect">
                      <a:avLst/>
                    </a:prstGeom>
                    <a:noFill/>
                    <a:ln>
                      <a:noFill/>
                    </a:ln>
                  </pic:spPr>
                </pic:pic>
              </a:graphicData>
            </a:graphic>
          </wp:inline>
        </w:drawing>
      </w:r>
      <w:bookmarkEnd w:id="549"/>
    </w:p>
    <w:p w14:paraId="203AD253" w14:textId="77777777" w:rsidR="00345650" w:rsidRDefault="00345650" w:rsidP="002C67BF">
      <w:pPr>
        <w:ind w:hanging="2"/>
        <w:rPr>
          <w:rFonts w:asciiTheme="majorBidi" w:hAnsiTheme="majorBidi" w:cstheme="majorBidi"/>
          <w:b/>
          <w:bCs/>
        </w:rPr>
      </w:pPr>
      <w:bookmarkStart w:id="550" w:name="_Toc200486411"/>
      <w:r>
        <w:rPr>
          <w:noProof/>
          <w:lang w:val="fr-FR" w:eastAsia="fr-FR"/>
        </w:rPr>
        <w:lastRenderedPageBreak/>
        <w:drawing>
          <wp:inline distT="0" distB="0" distL="0" distR="0" wp14:anchorId="71F4224A" wp14:editId="3DD4682B">
            <wp:extent cx="5760720" cy="4074795"/>
            <wp:effectExtent l="0" t="0" r="0" b="1905"/>
            <wp:docPr id="1948620638"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4" cstate="print">
                      <a:extLst>
                        <a:ext uri="{28A0092B-C50C-407E-A947-70E740481C1C}">
                          <a14:useLocalDpi xmlns:a14="http://schemas.microsoft.com/office/drawing/2010/main" val="0"/>
                        </a:ext>
                      </a:extLst>
                    </a:blip>
                    <a:srcRect/>
                    <a:stretch>
                      <a:fillRect/>
                    </a:stretch>
                  </pic:blipFill>
                  <pic:spPr bwMode="auto">
                    <a:xfrm>
                      <a:off x="0" y="0"/>
                      <a:ext cx="5760720" cy="4074795"/>
                    </a:xfrm>
                    <a:prstGeom prst="rect">
                      <a:avLst/>
                    </a:prstGeom>
                    <a:noFill/>
                    <a:ln>
                      <a:noFill/>
                    </a:ln>
                  </pic:spPr>
                </pic:pic>
              </a:graphicData>
            </a:graphic>
          </wp:inline>
        </w:drawing>
      </w:r>
      <w:bookmarkEnd w:id="550"/>
    </w:p>
    <w:p w14:paraId="0BA38469" w14:textId="77777777" w:rsidR="00345650" w:rsidRDefault="00345650" w:rsidP="002C67BF">
      <w:pPr>
        <w:ind w:hanging="2"/>
        <w:rPr>
          <w:rFonts w:asciiTheme="majorBidi" w:hAnsiTheme="majorBidi" w:cstheme="majorBidi"/>
          <w:b/>
          <w:bCs/>
        </w:rPr>
      </w:pPr>
    </w:p>
    <w:p w14:paraId="1B1B63D9" w14:textId="77777777" w:rsidR="00345650" w:rsidRDefault="00345650" w:rsidP="002C67BF">
      <w:pPr>
        <w:ind w:hanging="2"/>
        <w:rPr>
          <w:rFonts w:asciiTheme="majorBidi" w:hAnsiTheme="majorBidi" w:cstheme="majorBidi"/>
          <w:b/>
          <w:bCs/>
        </w:rPr>
      </w:pPr>
      <w:bookmarkStart w:id="551" w:name="_Toc200486412"/>
      <w:r>
        <w:rPr>
          <w:noProof/>
          <w:lang w:val="fr-FR" w:eastAsia="fr-FR"/>
        </w:rPr>
        <w:drawing>
          <wp:inline distT="0" distB="0" distL="0" distR="0" wp14:anchorId="18AD1A0E" wp14:editId="43CD5C29">
            <wp:extent cx="5760720" cy="4074795"/>
            <wp:effectExtent l="0" t="0" r="0" b="1905"/>
            <wp:docPr id="558419663"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5" cstate="print">
                      <a:extLst>
                        <a:ext uri="{28A0092B-C50C-407E-A947-70E740481C1C}">
                          <a14:useLocalDpi xmlns:a14="http://schemas.microsoft.com/office/drawing/2010/main" val="0"/>
                        </a:ext>
                      </a:extLst>
                    </a:blip>
                    <a:srcRect/>
                    <a:stretch>
                      <a:fillRect/>
                    </a:stretch>
                  </pic:blipFill>
                  <pic:spPr bwMode="auto">
                    <a:xfrm>
                      <a:off x="0" y="0"/>
                      <a:ext cx="5760720" cy="4074795"/>
                    </a:xfrm>
                    <a:prstGeom prst="rect">
                      <a:avLst/>
                    </a:prstGeom>
                    <a:noFill/>
                    <a:ln>
                      <a:noFill/>
                    </a:ln>
                  </pic:spPr>
                </pic:pic>
              </a:graphicData>
            </a:graphic>
          </wp:inline>
        </w:drawing>
      </w:r>
      <w:bookmarkEnd w:id="551"/>
    </w:p>
    <w:p w14:paraId="04D23C0D" w14:textId="77777777" w:rsidR="00345650" w:rsidRDefault="00345650" w:rsidP="002C67BF">
      <w:pPr>
        <w:ind w:hanging="2"/>
        <w:rPr>
          <w:rFonts w:asciiTheme="majorBidi" w:hAnsiTheme="majorBidi" w:cstheme="majorBidi"/>
          <w:b/>
          <w:bCs/>
        </w:rPr>
      </w:pPr>
      <w:bookmarkStart w:id="552" w:name="_Toc200486413"/>
      <w:r>
        <w:rPr>
          <w:noProof/>
          <w:lang w:val="fr-FR" w:eastAsia="fr-FR"/>
        </w:rPr>
        <w:lastRenderedPageBreak/>
        <w:drawing>
          <wp:inline distT="0" distB="0" distL="0" distR="0" wp14:anchorId="385558E7" wp14:editId="3D405EC0">
            <wp:extent cx="5760720" cy="4074795"/>
            <wp:effectExtent l="0" t="0" r="0" b="1905"/>
            <wp:docPr id="291299854"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16" cstate="print">
                      <a:extLst>
                        <a:ext uri="{28A0092B-C50C-407E-A947-70E740481C1C}">
                          <a14:useLocalDpi xmlns:a14="http://schemas.microsoft.com/office/drawing/2010/main" val="0"/>
                        </a:ext>
                      </a:extLst>
                    </a:blip>
                    <a:srcRect/>
                    <a:stretch>
                      <a:fillRect/>
                    </a:stretch>
                  </pic:blipFill>
                  <pic:spPr bwMode="auto">
                    <a:xfrm>
                      <a:off x="0" y="0"/>
                      <a:ext cx="5760720" cy="4074795"/>
                    </a:xfrm>
                    <a:prstGeom prst="rect">
                      <a:avLst/>
                    </a:prstGeom>
                    <a:noFill/>
                    <a:ln>
                      <a:noFill/>
                    </a:ln>
                  </pic:spPr>
                </pic:pic>
              </a:graphicData>
            </a:graphic>
          </wp:inline>
        </w:drawing>
      </w:r>
      <w:bookmarkEnd w:id="552"/>
    </w:p>
    <w:p w14:paraId="10566564" w14:textId="77777777" w:rsidR="00345650" w:rsidRDefault="00345650" w:rsidP="002C67BF">
      <w:pPr>
        <w:ind w:hanging="2"/>
        <w:rPr>
          <w:rFonts w:asciiTheme="majorBidi" w:hAnsiTheme="majorBidi" w:cstheme="majorBidi"/>
          <w:b/>
          <w:bCs/>
        </w:rPr>
      </w:pPr>
      <w:bookmarkStart w:id="553" w:name="_Toc200486414"/>
      <w:r>
        <w:rPr>
          <w:noProof/>
          <w:lang w:val="fr-FR" w:eastAsia="fr-FR"/>
        </w:rPr>
        <w:drawing>
          <wp:inline distT="0" distB="0" distL="0" distR="0" wp14:anchorId="697FB481" wp14:editId="633CA103">
            <wp:extent cx="5760720" cy="4074795"/>
            <wp:effectExtent l="0" t="0" r="0" b="1905"/>
            <wp:docPr id="163288969"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17" cstate="print">
                      <a:extLst>
                        <a:ext uri="{28A0092B-C50C-407E-A947-70E740481C1C}">
                          <a14:useLocalDpi xmlns:a14="http://schemas.microsoft.com/office/drawing/2010/main" val="0"/>
                        </a:ext>
                      </a:extLst>
                    </a:blip>
                    <a:srcRect/>
                    <a:stretch>
                      <a:fillRect/>
                    </a:stretch>
                  </pic:blipFill>
                  <pic:spPr bwMode="auto">
                    <a:xfrm>
                      <a:off x="0" y="0"/>
                      <a:ext cx="5760720" cy="4074795"/>
                    </a:xfrm>
                    <a:prstGeom prst="rect">
                      <a:avLst/>
                    </a:prstGeom>
                    <a:noFill/>
                    <a:ln>
                      <a:noFill/>
                    </a:ln>
                  </pic:spPr>
                </pic:pic>
              </a:graphicData>
            </a:graphic>
          </wp:inline>
        </w:drawing>
      </w:r>
      <w:bookmarkEnd w:id="553"/>
    </w:p>
    <w:p w14:paraId="6C5BCAAD" w14:textId="77777777" w:rsidR="00EF5E15" w:rsidRDefault="00EF5E15" w:rsidP="004A1013">
      <w:pPr>
        <w:rPr>
          <w:rFonts w:asciiTheme="majorBidi" w:hAnsiTheme="majorBidi" w:cstheme="majorBidi"/>
          <w:b/>
          <w:bCs/>
        </w:rPr>
      </w:pPr>
    </w:p>
    <w:p w14:paraId="662A3639" w14:textId="77777777" w:rsidR="00EF5E15" w:rsidRDefault="00EF5E15" w:rsidP="002C67BF">
      <w:pPr>
        <w:ind w:hanging="2"/>
        <w:rPr>
          <w:rFonts w:asciiTheme="majorBidi" w:hAnsiTheme="majorBidi" w:cstheme="majorBidi"/>
          <w:b/>
          <w:bCs/>
        </w:rPr>
      </w:pPr>
    </w:p>
    <w:p w14:paraId="78F4AA02" w14:textId="77777777" w:rsidR="003A7AA4" w:rsidRDefault="003A7AA4" w:rsidP="002C67BF">
      <w:pPr>
        <w:ind w:hanging="2"/>
        <w:rPr>
          <w:rFonts w:asciiTheme="majorBidi" w:hAnsiTheme="majorBidi" w:cstheme="majorBidi"/>
          <w:b/>
          <w:bCs/>
        </w:rPr>
      </w:pPr>
    </w:p>
    <w:p w14:paraId="09F09CDC" w14:textId="77777777" w:rsidR="00EF5E15" w:rsidRDefault="00EF5E15" w:rsidP="002C67BF">
      <w:pPr>
        <w:ind w:hanging="2"/>
        <w:rPr>
          <w:rFonts w:asciiTheme="majorBidi" w:hAnsiTheme="majorBidi" w:cstheme="majorBidi"/>
          <w:b/>
          <w:bCs/>
        </w:rPr>
      </w:pPr>
    </w:p>
    <w:p w14:paraId="0608229E" w14:textId="77777777" w:rsidR="00345650" w:rsidRDefault="00345650" w:rsidP="002C67BF">
      <w:pPr>
        <w:ind w:hanging="2"/>
        <w:jc w:val="center"/>
        <w:rPr>
          <w:b/>
          <w:bCs/>
        </w:rPr>
      </w:pPr>
      <w:bookmarkStart w:id="554" w:name="_Toc199830550"/>
      <w:bookmarkStart w:id="555" w:name="_Toc200486415"/>
      <w:r w:rsidRPr="002C67BF">
        <w:rPr>
          <w:b/>
          <w:bCs/>
          <w:rtl/>
        </w:rPr>
        <w:lastRenderedPageBreak/>
        <w:t>الملخص</w:t>
      </w:r>
      <w:bookmarkEnd w:id="554"/>
      <w:bookmarkEnd w:id="555"/>
    </w:p>
    <w:p w14:paraId="1017FF60" w14:textId="77777777" w:rsidR="002C67BF" w:rsidRPr="002C67BF" w:rsidRDefault="002C67BF" w:rsidP="002C67BF">
      <w:pPr>
        <w:ind w:hanging="2"/>
        <w:rPr>
          <w:rFonts w:eastAsia="Calibri"/>
          <w:b/>
          <w:bCs/>
          <w:rtl/>
        </w:rPr>
      </w:pPr>
    </w:p>
    <w:p w14:paraId="0124BBED" w14:textId="77777777" w:rsidR="00345650" w:rsidRPr="00C351B2" w:rsidRDefault="00345650" w:rsidP="004A1013">
      <w:pPr>
        <w:bidi/>
        <w:spacing w:line="480" w:lineRule="auto"/>
        <w:ind w:hanging="2"/>
        <w:jc w:val="both"/>
        <w:rPr>
          <w:rFonts w:ascii="Calibri" w:eastAsia="Calibri" w:hAnsi="Calibri" w:cs="Arial"/>
          <w:rtl/>
        </w:rPr>
      </w:pPr>
      <w:bookmarkStart w:id="556" w:name="_Toc200486416"/>
      <w:r w:rsidRPr="00C351B2">
        <w:rPr>
          <w:rFonts w:eastAsia="Calibri" w:hint="cs"/>
          <w:rtl/>
        </w:rPr>
        <w:t xml:space="preserve">برزت </w:t>
      </w:r>
      <w:bookmarkStart w:id="557" w:name="_Hlk200349202"/>
      <w:r w:rsidRPr="00C351B2">
        <w:rPr>
          <w:rFonts w:eastAsia="Calibri" w:hint="cs"/>
          <w:rtl/>
        </w:rPr>
        <w:t xml:space="preserve">المجتمعات التعليمية عبر الأنترنت </w:t>
      </w:r>
      <w:bookmarkEnd w:id="557"/>
      <w:r w:rsidRPr="00C351B2">
        <w:rPr>
          <w:rFonts w:eastAsia="Calibri" w:hint="cs"/>
          <w:rtl/>
        </w:rPr>
        <w:t>كفضاء رقمي فعَّال ل</w:t>
      </w:r>
      <w:bookmarkStart w:id="558" w:name="_Hlk200342415"/>
      <w:r w:rsidRPr="00C351B2">
        <w:rPr>
          <w:rFonts w:eastAsia="Calibri" w:hint="cs"/>
          <w:rtl/>
        </w:rPr>
        <w:t>تعزيز</w:t>
      </w:r>
      <w:bookmarkEnd w:id="558"/>
      <w:r w:rsidRPr="00C351B2">
        <w:rPr>
          <w:rFonts w:eastAsia="Calibri" w:hint="cs"/>
          <w:rtl/>
        </w:rPr>
        <w:t xml:space="preserve"> التَّطور المهني و</w:t>
      </w:r>
      <w:bookmarkStart w:id="559" w:name="_Hlk200343983"/>
      <w:r w:rsidRPr="00C351B2">
        <w:rPr>
          <w:rFonts w:eastAsia="Calibri" w:hint="cs"/>
          <w:rtl/>
        </w:rPr>
        <w:t>ممارسات</w:t>
      </w:r>
      <w:bookmarkEnd w:id="559"/>
      <w:r w:rsidRPr="00C351B2">
        <w:rPr>
          <w:rFonts w:eastAsia="Calibri" w:hint="cs"/>
          <w:rtl/>
        </w:rPr>
        <w:t xml:space="preserve"> التّقييم لدى </w:t>
      </w:r>
      <w:bookmarkStart w:id="560" w:name="_Hlk200343010"/>
      <w:r w:rsidRPr="00C351B2">
        <w:rPr>
          <w:rFonts w:eastAsia="Calibri" w:hint="cs"/>
          <w:rtl/>
        </w:rPr>
        <w:t>أساتذة اللغة الإنجليزية كلغة اجنبية</w:t>
      </w:r>
      <w:bookmarkEnd w:id="560"/>
      <w:r w:rsidRPr="00C351B2">
        <w:rPr>
          <w:rFonts w:ascii="Calibri" w:eastAsia="Calibri" w:hAnsi="Calibri" w:cs="Arial" w:hint="cs"/>
          <w:rtl/>
        </w:rPr>
        <w:t xml:space="preserve">، خاصة في عصر يتسم بنزعة نحو استخدام وسائل التكنولوجيا التي اعادت تعريف المعايير التربوية. تهدف هذه الدراسة بشكل خاص </w:t>
      </w:r>
      <w:bookmarkStart w:id="561" w:name="_Hlk200343927"/>
      <w:r w:rsidRPr="00C351B2">
        <w:rPr>
          <w:rFonts w:ascii="Calibri" w:eastAsia="Calibri" w:hAnsi="Calibri" w:cs="Arial"/>
          <w:rtl/>
        </w:rPr>
        <w:t>إ</w:t>
      </w:r>
      <w:bookmarkStart w:id="562" w:name="_Hlk200343913"/>
      <w:r w:rsidRPr="00C351B2">
        <w:rPr>
          <w:rFonts w:ascii="Calibri" w:eastAsia="Calibri" w:hAnsi="Calibri" w:cs="Arial" w:hint="cs"/>
          <w:rtl/>
        </w:rPr>
        <w:t>لى</w:t>
      </w:r>
      <w:bookmarkEnd w:id="561"/>
      <w:bookmarkEnd w:id="562"/>
      <w:r w:rsidRPr="00C351B2">
        <w:rPr>
          <w:rFonts w:ascii="Calibri" w:eastAsia="Calibri" w:hAnsi="Calibri" w:cs="Arial" w:hint="cs"/>
          <w:rtl/>
        </w:rPr>
        <w:t xml:space="preserve"> استكشاف دور </w:t>
      </w:r>
      <w:bookmarkStart w:id="563" w:name="_Hlk200345705"/>
      <w:r w:rsidRPr="00C351B2">
        <w:rPr>
          <w:rFonts w:ascii="Calibri" w:eastAsia="Calibri" w:hAnsi="Calibri" w:cs="Arial" w:hint="cs"/>
          <w:rtl/>
        </w:rPr>
        <w:t xml:space="preserve">هذه المجتمعات </w:t>
      </w:r>
      <w:bookmarkEnd w:id="563"/>
      <w:r w:rsidRPr="00C351B2">
        <w:rPr>
          <w:rFonts w:ascii="Calibri" w:eastAsia="Calibri" w:hAnsi="Calibri" w:cs="Arial" w:hint="cs"/>
          <w:rtl/>
        </w:rPr>
        <w:t xml:space="preserve">في </w:t>
      </w:r>
      <w:r w:rsidRPr="00C351B2">
        <w:rPr>
          <w:rFonts w:eastAsia="Calibri" w:hint="cs"/>
          <w:rtl/>
        </w:rPr>
        <w:t xml:space="preserve">تعزيز الإلمام بالتقييم التجميعي لدى أساتذة اللغة الإنجليزية كلغة اجنبية في الطور المتوسط بالجزائر. كما تبحث في العملية التي يحوَّل فيها </w:t>
      </w:r>
      <w:bookmarkStart w:id="564" w:name="_Hlk200345162"/>
      <w:r w:rsidRPr="00C351B2">
        <w:rPr>
          <w:rFonts w:eastAsia="Calibri" w:hint="cs"/>
          <w:rtl/>
        </w:rPr>
        <w:t xml:space="preserve">هؤلاء الأساتذة </w:t>
      </w:r>
      <w:bookmarkEnd w:id="564"/>
      <w:r w:rsidRPr="00C351B2">
        <w:rPr>
          <w:rFonts w:eastAsia="Calibri" w:hint="cs"/>
          <w:rtl/>
        </w:rPr>
        <w:t xml:space="preserve">التفاعلات عبر الأنترنت </w:t>
      </w:r>
      <w:bookmarkStart w:id="565" w:name="_Hlk200344626"/>
      <w:r w:rsidRPr="00C351B2">
        <w:rPr>
          <w:rFonts w:ascii="Calibri" w:eastAsia="Calibri" w:hAnsi="Calibri" w:cs="Arial"/>
          <w:rtl/>
        </w:rPr>
        <w:t>إ</w:t>
      </w:r>
      <w:r w:rsidRPr="00C351B2">
        <w:rPr>
          <w:rFonts w:ascii="Calibri" w:eastAsia="Calibri" w:hAnsi="Calibri" w:cs="Arial" w:hint="cs"/>
          <w:rtl/>
        </w:rPr>
        <w:t>لى</w:t>
      </w:r>
      <w:bookmarkEnd w:id="565"/>
      <w:r w:rsidRPr="00C351B2">
        <w:rPr>
          <w:rFonts w:ascii="Calibri" w:eastAsia="Calibri" w:hAnsi="Calibri" w:cs="Arial" w:hint="cs"/>
          <w:rtl/>
        </w:rPr>
        <w:t xml:space="preserve"> </w:t>
      </w:r>
      <w:r w:rsidRPr="00C351B2">
        <w:rPr>
          <w:rFonts w:eastAsia="Calibri" w:hint="cs"/>
          <w:rtl/>
        </w:rPr>
        <w:t xml:space="preserve">ممارسات تقييمية يغلب عليها التفكير والتأمل. </w:t>
      </w:r>
      <w:r w:rsidRPr="00C351B2">
        <w:rPr>
          <w:rFonts w:ascii="Calibri" w:eastAsia="Calibri" w:hAnsi="Calibri" w:cs="Arial"/>
          <w:rtl/>
        </w:rPr>
        <w:t>تم استخدام المنهج الوصفي للإجابة على</w:t>
      </w:r>
      <w:r w:rsidRPr="00C351B2">
        <w:rPr>
          <w:rFonts w:ascii="Calibri" w:eastAsia="Calibri" w:hAnsi="Calibri" w:cs="Arial" w:hint="cs"/>
          <w:rtl/>
        </w:rPr>
        <w:t xml:space="preserve"> أسئلة البحث. </w:t>
      </w:r>
      <w:r w:rsidRPr="00C351B2">
        <w:rPr>
          <w:rFonts w:ascii="Calibri" w:eastAsia="Calibri" w:hAnsi="Calibri" w:cs="Arial"/>
          <w:rtl/>
        </w:rPr>
        <w:t xml:space="preserve">جُمعت البيانات من </w:t>
      </w:r>
      <w:r w:rsidRPr="00C351B2">
        <w:rPr>
          <w:rFonts w:ascii="Calibri" w:eastAsia="Calibri" w:hAnsi="Calibri" w:cs="Arial" w:hint="cs"/>
          <w:rtl/>
        </w:rPr>
        <w:t xml:space="preserve">خلال النهج الثلاثي أي استخدام عدة ادوات. </w:t>
      </w:r>
      <w:r w:rsidRPr="00C351B2">
        <w:rPr>
          <w:rFonts w:ascii="Calibri" w:eastAsia="Calibri" w:hAnsi="Calibri" w:cs="Arial"/>
          <w:rtl/>
        </w:rPr>
        <w:t xml:space="preserve">شمل ذلك ملاحظة مجموعة </w:t>
      </w:r>
      <w:proofErr w:type="spellStart"/>
      <w:r w:rsidRPr="00C351B2">
        <w:rPr>
          <w:rFonts w:ascii="Calibri" w:eastAsia="Calibri" w:hAnsi="Calibri" w:cs="Arial"/>
          <w:rtl/>
        </w:rPr>
        <w:t>الفيسبوك</w:t>
      </w:r>
      <w:proofErr w:type="spellEnd"/>
      <w:r w:rsidRPr="00C351B2">
        <w:rPr>
          <w:rFonts w:ascii="Calibri" w:eastAsia="Calibri" w:hAnsi="Calibri" w:cs="Arial" w:hint="cs"/>
          <w:rtl/>
        </w:rPr>
        <w:t xml:space="preserve"> التالية</w:t>
      </w:r>
      <w:r w:rsidRPr="00C351B2">
        <w:rPr>
          <w:rFonts w:eastAsia="Calibri"/>
        </w:rPr>
        <w:t>“District 4 Teacher Corner”</w:t>
      </w:r>
      <w:r w:rsidRPr="00C351B2">
        <w:rPr>
          <w:rFonts w:ascii="Calibri" w:eastAsia="Calibri" w:hAnsi="Calibri" w:cs="Arial"/>
          <w:rtl/>
        </w:rPr>
        <w:t>، ومقابلات شبه منظمة مع ستة من مدرسي اللغة الإنجليزية ومفتشهم، واستبيان وُزّع على أكثر من 50 عضواً. وقد تم اختيار جميع المشاركين</w:t>
      </w:r>
      <w:r w:rsidRPr="00C351B2">
        <w:rPr>
          <w:rFonts w:ascii="Calibri" w:eastAsia="Calibri" w:hAnsi="Calibri" w:cs="Arial" w:hint="cs"/>
          <w:rtl/>
        </w:rPr>
        <w:t xml:space="preserve"> بشكل</w:t>
      </w:r>
      <w:r w:rsidRPr="00C351B2">
        <w:rPr>
          <w:rFonts w:ascii="Calibri" w:eastAsia="Calibri" w:hAnsi="Calibri" w:cs="Arial"/>
          <w:rtl/>
        </w:rPr>
        <w:t xml:space="preserve"> عشوائي لإجراء هذه الدراسة</w:t>
      </w:r>
      <w:r w:rsidRPr="00C351B2">
        <w:rPr>
          <w:rFonts w:ascii="Calibri" w:eastAsia="Calibri" w:hAnsi="Calibri" w:cs="Arial"/>
        </w:rPr>
        <w:t>.</w:t>
      </w:r>
      <w:r w:rsidRPr="00C351B2">
        <w:rPr>
          <w:rFonts w:ascii="Calibri" w:eastAsia="Calibri" w:hAnsi="Calibri" w:cs="Arial" w:hint="cs"/>
          <w:rtl/>
        </w:rPr>
        <w:t xml:space="preserve"> </w:t>
      </w:r>
      <w:r w:rsidRPr="00C351B2">
        <w:rPr>
          <w:rFonts w:ascii="Calibri" w:eastAsia="Calibri" w:hAnsi="Calibri" w:cs="Arial"/>
          <w:rtl/>
        </w:rPr>
        <w:t>تكشف النتائج عن مدى</w:t>
      </w:r>
      <w:r w:rsidRPr="00C351B2">
        <w:rPr>
          <w:rFonts w:ascii="Calibri" w:eastAsia="Calibri" w:hAnsi="Calibri" w:cs="Arial" w:hint="cs"/>
          <w:rtl/>
        </w:rPr>
        <w:t xml:space="preserve"> التأثير الفعال لهذه المجتمعات التعليمية على </w:t>
      </w:r>
      <w:r w:rsidRPr="00C351B2">
        <w:rPr>
          <w:rFonts w:eastAsia="Calibri" w:hint="cs"/>
          <w:rtl/>
        </w:rPr>
        <w:t>الأساتذة ونموّهم المهني،</w:t>
      </w:r>
      <w:r w:rsidRPr="00C351B2">
        <w:rPr>
          <w:rFonts w:ascii="Calibri" w:eastAsia="Calibri" w:hAnsi="Calibri" w:cs="Arial"/>
          <w:rtl/>
        </w:rPr>
        <w:t xml:space="preserve"> خاصة في مجالات مثل أساليب التقييم. أشارت الدراسة إلى أن المجتمعات التعليمية عبر الإنترنت تعزز معرفة المدرسين بالتقييم، وتدعم التعاون التأملي، وتحسن مهارات التقييم العملية، وتزيد من المعرفة الرقمية</w:t>
      </w:r>
      <w:r w:rsidRPr="00C351B2">
        <w:rPr>
          <w:rFonts w:ascii="Calibri" w:eastAsia="Calibri" w:hAnsi="Calibri" w:cs="Arial"/>
        </w:rPr>
        <w:t>.</w:t>
      </w:r>
      <w:r w:rsidRPr="00C351B2">
        <w:rPr>
          <w:rFonts w:ascii="Calibri" w:eastAsia="Calibri" w:hAnsi="Calibri" w:cs="Arial" w:hint="cs"/>
          <w:rtl/>
        </w:rPr>
        <w:t xml:space="preserve"> </w:t>
      </w:r>
      <w:r w:rsidRPr="00C351B2">
        <w:rPr>
          <w:rFonts w:ascii="Calibri" w:eastAsia="Calibri" w:hAnsi="Calibri" w:cs="Arial"/>
          <w:rtl/>
        </w:rPr>
        <w:t>ومع ذلك،</w:t>
      </w:r>
      <w:r w:rsidRPr="00C351B2">
        <w:rPr>
          <w:rFonts w:ascii="Calibri" w:eastAsia="Calibri" w:hAnsi="Calibri" w:cs="Arial" w:hint="cs"/>
          <w:rtl/>
        </w:rPr>
        <w:t xml:space="preserve"> ثبَّطت تحديات مثل </w:t>
      </w:r>
      <w:r w:rsidRPr="00C351B2">
        <w:rPr>
          <w:rFonts w:ascii="Calibri" w:eastAsia="Calibri" w:hAnsi="Calibri" w:cs="Arial"/>
          <w:rtl/>
        </w:rPr>
        <w:t>الحواجز التكنولوجية والمشاركة غير المنتظمة</w:t>
      </w:r>
      <w:r w:rsidRPr="00C351B2">
        <w:rPr>
          <w:rFonts w:ascii="Calibri" w:eastAsia="Calibri" w:hAnsi="Calibri" w:cs="Arial" w:hint="cs"/>
          <w:rtl/>
        </w:rPr>
        <w:t xml:space="preserve"> من</w:t>
      </w:r>
      <w:r w:rsidRPr="00C351B2">
        <w:rPr>
          <w:rFonts w:ascii="Calibri" w:eastAsia="Calibri" w:hAnsi="Calibri" w:cs="Arial"/>
          <w:rtl/>
        </w:rPr>
        <w:t xml:space="preserve"> </w:t>
      </w:r>
      <w:r w:rsidRPr="00C351B2">
        <w:rPr>
          <w:rFonts w:ascii="Calibri" w:eastAsia="Calibri" w:hAnsi="Calibri" w:cs="Arial" w:hint="cs"/>
          <w:rtl/>
        </w:rPr>
        <w:t>ال</w:t>
      </w:r>
      <w:r w:rsidRPr="00C351B2">
        <w:rPr>
          <w:rFonts w:ascii="Calibri" w:eastAsia="Calibri" w:hAnsi="Calibri" w:cs="Arial"/>
          <w:rtl/>
        </w:rPr>
        <w:t>إمكانات</w:t>
      </w:r>
      <w:r w:rsidRPr="00C351B2">
        <w:rPr>
          <w:rFonts w:ascii="Calibri" w:eastAsia="Calibri" w:hAnsi="Calibri" w:cs="Arial" w:hint="cs"/>
          <w:rtl/>
        </w:rPr>
        <w:t xml:space="preserve"> الكاملة لهذه المجتمعات.</w:t>
      </w:r>
      <w:r w:rsidRPr="00C351B2">
        <w:rPr>
          <w:rFonts w:ascii="Calibri" w:eastAsia="Calibri" w:hAnsi="Calibri" w:cs="Arial"/>
          <w:rtl/>
        </w:rPr>
        <w:t xml:space="preserve"> توصي هذه الدراسة بدمج المجتمعات التعليمية عبر الإنترنت لتعزيز ممارسات التقييم لدى المدرسين من خلال التعاون بين </w:t>
      </w:r>
      <w:r w:rsidRPr="00C351B2">
        <w:rPr>
          <w:rFonts w:ascii="Calibri" w:eastAsia="Calibri" w:hAnsi="Calibri" w:cs="Arial" w:hint="cs"/>
          <w:rtl/>
        </w:rPr>
        <w:t>زملاء العمل</w:t>
      </w:r>
      <w:r w:rsidRPr="00C351B2">
        <w:rPr>
          <w:rFonts w:ascii="Calibri" w:eastAsia="Calibri" w:hAnsi="Calibri" w:cs="Arial"/>
          <w:rtl/>
        </w:rPr>
        <w:t>، وال</w:t>
      </w:r>
      <w:r w:rsidRPr="00C351B2">
        <w:rPr>
          <w:rFonts w:ascii="Calibri" w:eastAsia="Calibri" w:hAnsi="Calibri" w:cs="Arial" w:hint="cs"/>
          <w:rtl/>
        </w:rPr>
        <w:t>قائمين على التكوين</w:t>
      </w:r>
      <w:r w:rsidRPr="00C351B2">
        <w:rPr>
          <w:rFonts w:ascii="Calibri" w:eastAsia="Calibri" w:hAnsi="Calibri" w:cs="Arial"/>
          <w:rtl/>
        </w:rPr>
        <w:t xml:space="preserve">، والبحث الإجرائي. بالإضافة إلى ذلك، ينبغي على </w:t>
      </w:r>
      <w:r w:rsidRPr="00C351B2">
        <w:rPr>
          <w:rFonts w:ascii="Calibri" w:eastAsia="Calibri" w:hAnsi="Calibri" w:cs="Arial" w:hint="cs"/>
          <w:rtl/>
        </w:rPr>
        <w:t>الساهرين على الشأن</w:t>
      </w:r>
      <w:r w:rsidRPr="00C351B2">
        <w:rPr>
          <w:rFonts w:ascii="Calibri" w:eastAsia="Calibri" w:hAnsi="Calibri" w:cs="Arial"/>
          <w:rtl/>
        </w:rPr>
        <w:t xml:space="preserve"> التربوي إضفاء الطابع الرسمي على</w:t>
      </w:r>
      <w:r w:rsidRPr="00C351B2">
        <w:rPr>
          <w:rFonts w:ascii="Calibri" w:eastAsia="Calibri" w:hAnsi="Calibri" w:cs="Arial" w:hint="cs"/>
          <w:rtl/>
        </w:rPr>
        <w:t xml:space="preserve"> هذه</w:t>
      </w:r>
      <w:r w:rsidRPr="00C351B2">
        <w:rPr>
          <w:rFonts w:ascii="Calibri" w:eastAsia="Calibri" w:hAnsi="Calibri" w:cs="Arial"/>
          <w:rtl/>
        </w:rPr>
        <w:t xml:space="preserve"> المجتمعات </w:t>
      </w:r>
      <w:r w:rsidRPr="00C351B2">
        <w:rPr>
          <w:rFonts w:ascii="Calibri" w:eastAsia="Calibri" w:hAnsi="Calibri" w:cs="Arial" w:hint="cs"/>
          <w:rtl/>
        </w:rPr>
        <w:t>التعليمية من خلال اشراف</w:t>
      </w:r>
      <w:r w:rsidRPr="00C351B2">
        <w:rPr>
          <w:rFonts w:ascii="Calibri" w:eastAsia="Calibri" w:hAnsi="Calibri" w:cs="Arial"/>
          <w:rtl/>
        </w:rPr>
        <w:t xml:space="preserve"> المفتشين</w:t>
      </w:r>
      <w:r w:rsidRPr="00C351B2">
        <w:rPr>
          <w:rFonts w:ascii="Calibri" w:eastAsia="Calibri" w:hAnsi="Calibri" w:cs="Arial" w:hint="cs"/>
          <w:rtl/>
        </w:rPr>
        <w:t xml:space="preserve"> عليها</w:t>
      </w:r>
      <w:r w:rsidRPr="00C351B2">
        <w:rPr>
          <w:rFonts w:ascii="Calibri" w:eastAsia="Calibri" w:hAnsi="Calibri" w:cs="Arial"/>
          <w:rtl/>
        </w:rPr>
        <w:t xml:space="preserve"> و</w:t>
      </w:r>
      <w:r w:rsidRPr="00C351B2">
        <w:rPr>
          <w:rFonts w:ascii="Calibri" w:eastAsia="Calibri" w:hAnsi="Calibri" w:cs="Arial" w:hint="cs"/>
          <w:rtl/>
        </w:rPr>
        <w:t>اخذ</w:t>
      </w:r>
      <w:r w:rsidRPr="00C351B2">
        <w:rPr>
          <w:rFonts w:ascii="Calibri" w:eastAsia="Calibri" w:hAnsi="Calibri" w:cs="Arial"/>
          <w:rtl/>
        </w:rPr>
        <w:t xml:space="preserve"> ملاحظات المدرسين</w:t>
      </w:r>
      <w:r w:rsidRPr="00C351B2">
        <w:rPr>
          <w:rFonts w:ascii="Calibri" w:eastAsia="Calibri" w:hAnsi="Calibri" w:cs="Arial" w:hint="cs"/>
          <w:rtl/>
        </w:rPr>
        <w:t xml:space="preserve"> بعين الاعتبار</w:t>
      </w:r>
      <w:r w:rsidRPr="00C351B2">
        <w:rPr>
          <w:rFonts w:ascii="Calibri" w:eastAsia="Calibri" w:hAnsi="Calibri" w:cs="Arial"/>
          <w:rtl/>
        </w:rPr>
        <w:t xml:space="preserve"> في تصميم المناهج الدراسية</w:t>
      </w:r>
      <w:r w:rsidRPr="00C351B2">
        <w:rPr>
          <w:rFonts w:ascii="Calibri" w:eastAsia="Calibri" w:hAnsi="Calibri" w:cs="Arial" w:hint="cs"/>
          <w:rtl/>
        </w:rPr>
        <w:t>.</w:t>
      </w:r>
      <w:bookmarkEnd w:id="556"/>
      <w:r w:rsidRPr="00C351B2">
        <w:rPr>
          <w:rFonts w:ascii="Calibri" w:eastAsia="Calibri" w:hAnsi="Calibri" w:cs="Arial" w:hint="cs"/>
          <w:rtl/>
        </w:rPr>
        <w:t xml:space="preserve"> </w:t>
      </w:r>
    </w:p>
    <w:p w14:paraId="794A333C" w14:textId="77777777" w:rsidR="00345650" w:rsidRPr="00C351B2" w:rsidRDefault="00345650" w:rsidP="004A1013">
      <w:pPr>
        <w:bidi/>
        <w:spacing w:line="480" w:lineRule="auto"/>
        <w:ind w:hanging="2"/>
        <w:jc w:val="both"/>
        <w:rPr>
          <w:rFonts w:ascii="Calibri" w:eastAsia="Calibri" w:hAnsi="Calibri" w:cs="Arial"/>
          <w:b/>
          <w:bCs/>
          <w:rtl/>
        </w:rPr>
      </w:pPr>
      <w:bookmarkStart w:id="566" w:name="_Toc200486417"/>
      <w:r w:rsidRPr="00C351B2">
        <w:rPr>
          <w:rFonts w:ascii="Calibri" w:eastAsia="Calibri" w:hAnsi="Calibri" w:cs="Arial" w:hint="cs"/>
          <w:b/>
          <w:bCs/>
          <w:rtl/>
        </w:rPr>
        <w:t>الكلمات المفتاحية</w:t>
      </w:r>
      <w:bookmarkEnd w:id="566"/>
    </w:p>
    <w:p w14:paraId="2E9C7138" w14:textId="77777777" w:rsidR="00345650" w:rsidRPr="00C351B2" w:rsidRDefault="00345650" w:rsidP="004A1013">
      <w:pPr>
        <w:bidi/>
        <w:spacing w:line="480" w:lineRule="auto"/>
        <w:ind w:hanging="2"/>
        <w:jc w:val="both"/>
        <w:rPr>
          <w:rFonts w:ascii="Calibri" w:eastAsia="Calibri" w:hAnsi="Calibri" w:cs="Arial"/>
          <w:rtl/>
        </w:rPr>
      </w:pPr>
      <w:bookmarkStart w:id="567" w:name="_Toc200486418"/>
      <w:r w:rsidRPr="00C351B2">
        <w:rPr>
          <w:rFonts w:eastAsia="Calibri" w:hint="cs"/>
          <w:rtl/>
        </w:rPr>
        <w:t>المجتمعات التعليمية عبر الأنترنت، معرفة التقييم التجميعي، التطور المهني للأستاذ، ممارسة التأمل</w:t>
      </w:r>
      <w:bookmarkEnd w:id="567"/>
    </w:p>
    <w:p w14:paraId="61609EB8" w14:textId="77777777" w:rsidR="00CF3DB4" w:rsidRPr="00CF3DB4" w:rsidRDefault="00CF3DB4" w:rsidP="004A1013">
      <w:pPr>
        <w:spacing w:line="480" w:lineRule="auto"/>
        <w:ind w:hanging="2"/>
        <w:jc w:val="both"/>
        <w:rPr>
          <w:rFonts w:eastAsia="Calibri"/>
          <w:kern w:val="2"/>
          <w:position w:val="0"/>
          <w14:ligatures w14:val="standardContextual"/>
        </w:rPr>
      </w:pPr>
    </w:p>
    <w:p w14:paraId="068BAAFF" w14:textId="77777777" w:rsidR="00FD1A89" w:rsidRPr="00CF3DB4" w:rsidRDefault="00FD1A89" w:rsidP="004A1013">
      <w:pPr>
        <w:spacing w:line="480" w:lineRule="auto"/>
        <w:ind w:left="1" w:hanging="3"/>
        <w:jc w:val="both"/>
        <w:rPr>
          <w:rFonts w:ascii="Arial" w:eastAsia="Arial" w:hAnsi="Arial" w:cs="Arial"/>
          <w:sz w:val="32"/>
          <w:szCs w:val="32"/>
        </w:rPr>
      </w:pPr>
    </w:p>
    <w:p w14:paraId="00C5E658" w14:textId="77777777" w:rsidR="00737138" w:rsidRPr="00737138" w:rsidRDefault="00737138" w:rsidP="004A1013">
      <w:pPr>
        <w:spacing w:line="480" w:lineRule="auto"/>
        <w:ind w:left="1" w:hanging="3"/>
        <w:jc w:val="both"/>
        <w:rPr>
          <w:rFonts w:ascii="Arial" w:eastAsia="Arial" w:hAnsi="Arial" w:cs="Arial"/>
          <w:sz w:val="32"/>
          <w:szCs w:val="32"/>
          <w:lang w:val="en-GB"/>
        </w:rPr>
      </w:pPr>
    </w:p>
    <w:p w14:paraId="19CEC674" w14:textId="77777777" w:rsidR="00737138" w:rsidRPr="00737138" w:rsidRDefault="00737138" w:rsidP="004A1013">
      <w:pPr>
        <w:spacing w:line="480" w:lineRule="auto"/>
        <w:ind w:left="1" w:hanging="3"/>
        <w:jc w:val="both"/>
        <w:rPr>
          <w:rFonts w:ascii="Arial" w:eastAsia="Arial" w:hAnsi="Arial" w:cs="Arial"/>
          <w:sz w:val="32"/>
          <w:szCs w:val="32"/>
          <w:lang w:val="en-GB"/>
        </w:rPr>
      </w:pPr>
    </w:p>
    <w:p w14:paraId="14D3D240" w14:textId="77777777" w:rsidR="00737138" w:rsidRPr="00737138" w:rsidRDefault="00737138" w:rsidP="004A1013">
      <w:pPr>
        <w:spacing w:line="480" w:lineRule="auto"/>
        <w:ind w:left="1" w:hanging="3"/>
        <w:jc w:val="both"/>
        <w:rPr>
          <w:rFonts w:ascii="Arial" w:eastAsia="Arial" w:hAnsi="Arial" w:cs="Arial"/>
          <w:sz w:val="32"/>
          <w:szCs w:val="32"/>
          <w:lang w:val="en-GB"/>
        </w:rPr>
      </w:pPr>
    </w:p>
    <w:p w14:paraId="1A31BB5D" w14:textId="77777777" w:rsidR="00737138" w:rsidRPr="00737138" w:rsidRDefault="00737138" w:rsidP="004A1013">
      <w:pPr>
        <w:rPr>
          <w:rFonts w:ascii="Arial" w:eastAsia="Arial" w:hAnsi="Arial" w:cs="Arial"/>
          <w:sz w:val="32"/>
          <w:szCs w:val="32"/>
          <w:lang w:val="en-GB"/>
        </w:rPr>
      </w:pPr>
    </w:p>
    <w:sectPr w:rsidR="00737138" w:rsidRPr="00737138" w:rsidSect="00E0779A">
      <w:headerReference w:type="default" r:id="rId118"/>
      <w:type w:val="continuous"/>
      <w:pgSz w:w="11907" w:h="16840"/>
      <w:pgMar w:top="1440" w:right="1440" w:bottom="1440" w:left="1440" w:header="0" w:footer="0" w:gutter="0"/>
      <w:pgNumType w:fmt="lowerRoman"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07B1D7C" w14:textId="77777777" w:rsidR="00A8731A" w:rsidRDefault="00A8731A">
      <w:pPr>
        <w:ind w:hanging="2"/>
      </w:pPr>
      <w:r>
        <w:separator/>
      </w:r>
    </w:p>
  </w:endnote>
  <w:endnote w:type="continuationSeparator" w:id="0">
    <w:p w14:paraId="1271BCA8" w14:textId="77777777" w:rsidR="00A8731A" w:rsidRDefault="00A8731A">
      <w:pPr>
        <w:ind w:hanging="2"/>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raditional Arabic">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STIX-Regular">
    <w:altName w:val="Cambria"/>
    <w:panose1 w:val="00000000000000000000"/>
    <w:charset w:val="00"/>
    <w:family w:val="roman"/>
    <w:notTrueType/>
    <w:pitch w:val="default"/>
  </w:font>
  <w:font w:name="Times">
    <w:altName w:val="Times New Roman"/>
    <w:panose1 w:val="02020603050405020304"/>
    <w:charset w:val="00"/>
    <w:family w:val="roman"/>
    <w:pitch w:val="variable"/>
    <w:sig w:usb0="E0002EFF" w:usb1="C000785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inherit">
    <w:altName w:val="Cambria"/>
    <w:panose1 w:val="00000000000000000000"/>
    <w:charset w:val="00"/>
    <w:family w:val="roman"/>
    <w:notTrueType/>
    <w:pitch w:val="default"/>
  </w:font>
  <w:font w:name="Open Sans">
    <w:charset w:val="00"/>
    <w:family w:val="swiss"/>
    <w:pitch w:val="variable"/>
    <w:sig w:usb0="E00002EF" w:usb1="4000205B" w:usb2="00000028"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1A7EB76" w14:textId="77777777" w:rsidR="00905466" w:rsidRDefault="00905466">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F993A94" w14:textId="77777777" w:rsidR="00905466" w:rsidRDefault="00905466">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BD536D8" w14:textId="77777777" w:rsidR="00905466" w:rsidRDefault="00905466">
    <w:pPr>
      <w:pStyle w:val="Pieddepage"/>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703FE1E" w14:textId="7DA09C85" w:rsidR="00737138" w:rsidRDefault="00737138" w:rsidP="00CD3CCD">
    <w:pPr>
      <w:pStyle w:val="Pieddepage"/>
    </w:pPr>
  </w:p>
  <w:p w14:paraId="2F38905A" w14:textId="77777777" w:rsidR="00737138" w:rsidRDefault="00737138">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D6F3A61" w14:textId="77777777" w:rsidR="00A8731A" w:rsidRDefault="00A8731A">
      <w:pPr>
        <w:ind w:hanging="2"/>
      </w:pPr>
      <w:r>
        <w:separator/>
      </w:r>
    </w:p>
  </w:footnote>
  <w:footnote w:type="continuationSeparator" w:id="0">
    <w:p w14:paraId="55AA48B3" w14:textId="77777777" w:rsidR="00A8731A" w:rsidRDefault="00A8731A">
      <w:pPr>
        <w:ind w:hanging="2"/>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FE20D2D" w14:textId="77777777" w:rsidR="00905466" w:rsidRDefault="00905466">
    <w:pPr>
      <w:pStyle w:val="En-tt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5015221"/>
      <w:docPartObj>
        <w:docPartGallery w:val="Page Numbers (Top of Page)"/>
        <w:docPartUnique/>
      </w:docPartObj>
    </w:sdtPr>
    <w:sdtEndPr>
      <w:rPr>
        <w:noProof/>
      </w:rPr>
    </w:sdtEndPr>
    <w:sdtContent>
      <w:p w14:paraId="72FBF521" w14:textId="21C44F42" w:rsidR="00B73248" w:rsidRDefault="00B73248">
        <w:pPr>
          <w:pStyle w:val="En-tte"/>
          <w:ind w:hanging="2"/>
          <w:jc w:val="right"/>
        </w:pPr>
        <w:r>
          <w:fldChar w:fldCharType="begin"/>
        </w:r>
        <w:r>
          <w:instrText xml:space="preserve"> PAGE   \* MERGEFORMAT </w:instrText>
        </w:r>
        <w:r>
          <w:fldChar w:fldCharType="separate"/>
        </w:r>
        <w:r w:rsidR="00E10507">
          <w:rPr>
            <w:noProof/>
          </w:rPr>
          <w:t>XI</w:t>
        </w:r>
        <w:r>
          <w:rPr>
            <w:noProof/>
          </w:rPr>
          <w:fldChar w:fldCharType="end"/>
        </w:r>
      </w:p>
    </w:sdtContent>
  </w:sdt>
  <w:p w14:paraId="74F4DCDA" w14:textId="77777777" w:rsidR="00905466" w:rsidRDefault="00905466">
    <w:pPr>
      <w:pStyle w:val="En-tt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C1B52AB" w14:textId="77777777" w:rsidR="00905466" w:rsidRDefault="00905466">
    <w:pPr>
      <w:pStyle w:val="En-tte"/>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43458766"/>
      <w:docPartObj>
        <w:docPartGallery w:val="Page Numbers (Top of Page)"/>
        <w:docPartUnique/>
      </w:docPartObj>
    </w:sdtPr>
    <w:sdtEndPr>
      <w:rPr>
        <w:noProof/>
      </w:rPr>
    </w:sdtEndPr>
    <w:sdtContent>
      <w:p w14:paraId="4E33666F" w14:textId="77777777" w:rsidR="00D51E75" w:rsidRDefault="00D51E75">
        <w:pPr>
          <w:pStyle w:val="En-tte"/>
          <w:ind w:hanging="2"/>
          <w:jc w:val="right"/>
        </w:pPr>
        <w:r>
          <w:t xml:space="preserve"> </w:t>
        </w:r>
      </w:p>
      <w:p w14:paraId="1E23E459" w14:textId="77777777" w:rsidR="00D51E75" w:rsidRDefault="00D51E75">
        <w:pPr>
          <w:pStyle w:val="En-tte"/>
          <w:ind w:hanging="2"/>
          <w:jc w:val="right"/>
        </w:pPr>
      </w:p>
      <w:p w14:paraId="3B93561D" w14:textId="689458E9" w:rsidR="00043074" w:rsidRDefault="00043074">
        <w:pPr>
          <w:pStyle w:val="En-tte"/>
          <w:ind w:hanging="2"/>
          <w:jc w:val="right"/>
        </w:pPr>
        <w:r>
          <w:fldChar w:fldCharType="begin"/>
        </w:r>
        <w:r>
          <w:instrText xml:space="preserve"> PAGE   \* MERGEFORMAT </w:instrText>
        </w:r>
        <w:r>
          <w:fldChar w:fldCharType="separate"/>
        </w:r>
        <w:r w:rsidR="00E10507">
          <w:rPr>
            <w:noProof/>
          </w:rPr>
          <w:t>98</w:t>
        </w:r>
        <w:r>
          <w:rPr>
            <w:noProof/>
          </w:rPr>
          <w:fldChar w:fldCharType="end"/>
        </w:r>
      </w:p>
    </w:sdtContent>
  </w:sdt>
  <w:p w14:paraId="2A2C8A90" w14:textId="77777777" w:rsidR="004538F6" w:rsidRDefault="004538F6">
    <w:pPr>
      <w:pStyle w:val="En-tte"/>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B23C8C1" w14:textId="77777777" w:rsidR="00040CF8" w:rsidRDefault="00040CF8">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AFD2C5B"/>
    <w:multiLevelType w:val="hybridMultilevel"/>
    <w:tmpl w:val="BD80631E"/>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BCD5BC1"/>
    <w:multiLevelType w:val="hybridMultilevel"/>
    <w:tmpl w:val="67464F3C"/>
    <w:lvl w:ilvl="0" w:tplc="04090017">
      <w:start w:val="1"/>
      <w:numFmt w:val="lowerLetter"/>
      <w:lvlText w:val="%1)"/>
      <w:lvlJc w:val="left"/>
      <w:pPr>
        <w:ind w:left="1003" w:hanging="360"/>
      </w:pPr>
    </w:lvl>
    <w:lvl w:ilvl="1" w:tplc="04090019" w:tentative="1">
      <w:start w:val="1"/>
      <w:numFmt w:val="lowerLetter"/>
      <w:lvlText w:val="%2."/>
      <w:lvlJc w:val="left"/>
      <w:pPr>
        <w:ind w:left="1723" w:hanging="360"/>
      </w:pPr>
    </w:lvl>
    <w:lvl w:ilvl="2" w:tplc="0409001B" w:tentative="1">
      <w:start w:val="1"/>
      <w:numFmt w:val="lowerRoman"/>
      <w:lvlText w:val="%3."/>
      <w:lvlJc w:val="right"/>
      <w:pPr>
        <w:ind w:left="2443" w:hanging="180"/>
      </w:pPr>
    </w:lvl>
    <w:lvl w:ilvl="3" w:tplc="0409000F" w:tentative="1">
      <w:start w:val="1"/>
      <w:numFmt w:val="decimal"/>
      <w:lvlText w:val="%4."/>
      <w:lvlJc w:val="left"/>
      <w:pPr>
        <w:ind w:left="3163" w:hanging="360"/>
      </w:pPr>
    </w:lvl>
    <w:lvl w:ilvl="4" w:tplc="04090019" w:tentative="1">
      <w:start w:val="1"/>
      <w:numFmt w:val="lowerLetter"/>
      <w:lvlText w:val="%5."/>
      <w:lvlJc w:val="left"/>
      <w:pPr>
        <w:ind w:left="3883" w:hanging="360"/>
      </w:pPr>
    </w:lvl>
    <w:lvl w:ilvl="5" w:tplc="0409001B" w:tentative="1">
      <w:start w:val="1"/>
      <w:numFmt w:val="lowerRoman"/>
      <w:lvlText w:val="%6."/>
      <w:lvlJc w:val="right"/>
      <w:pPr>
        <w:ind w:left="4603" w:hanging="180"/>
      </w:pPr>
    </w:lvl>
    <w:lvl w:ilvl="6" w:tplc="0409000F" w:tentative="1">
      <w:start w:val="1"/>
      <w:numFmt w:val="decimal"/>
      <w:lvlText w:val="%7."/>
      <w:lvlJc w:val="left"/>
      <w:pPr>
        <w:ind w:left="5323" w:hanging="360"/>
      </w:pPr>
    </w:lvl>
    <w:lvl w:ilvl="7" w:tplc="04090019" w:tentative="1">
      <w:start w:val="1"/>
      <w:numFmt w:val="lowerLetter"/>
      <w:lvlText w:val="%8."/>
      <w:lvlJc w:val="left"/>
      <w:pPr>
        <w:ind w:left="6043" w:hanging="360"/>
      </w:pPr>
    </w:lvl>
    <w:lvl w:ilvl="8" w:tplc="0409001B" w:tentative="1">
      <w:start w:val="1"/>
      <w:numFmt w:val="lowerRoman"/>
      <w:lvlText w:val="%9."/>
      <w:lvlJc w:val="right"/>
      <w:pPr>
        <w:ind w:left="6763" w:hanging="180"/>
      </w:pPr>
    </w:lvl>
  </w:abstractNum>
  <w:abstractNum w:abstractNumId="2" w15:restartNumberingAfterBreak="0">
    <w:nsid w:val="12C2516C"/>
    <w:multiLevelType w:val="multilevel"/>
    <w:tmpl w:val="BBB834F0"/>
    <w:lvl w:ilvl="0">
      <w:start w:val="1"/>
      <w:numFmt w:val="decimal"/>
      <w:lvlText w:val="%1"/>
      <w:lvlJc w:val="left"/>
      <w:pPr>
        <w:ind w:left="660" w:hanging="660"/>
      </w:pPr>
      <w:rPr>
        <w:rFonts w:hint="default"/>
      </w:rPr>
    </w:lvl>
    <w:lvl w:ilvl="1">
      <w:start w:val="1"/>
      <w:numFmt w:val="decimal"/>
      <w:lvlText w:val="%1.%2"/>
      <w:lvlJc w:val="left"/>
      <w:pPr>
        <w:ind w:left="660" w:hanging="6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1BC45D69"/>
    <w:multiLevelType w:val="hybridMultilevel"/>
    <w:tmpl w:val="8F121B7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8B72795"/>
    <w:multiLevelType w:val="hybridMultilevel"/>
    <w:tmpl w:val="56124F04"/>
    <w:lvl w:ilvl="0" w:tplc="761232E2">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15:restartNumberingAfterBreak="0">
    <w:nsid w:val="3814200D"/>
    <w:multiLevelType w:val="hybridMultilevel"/>
    <w:tmpl w:val="AB44DBD4"/>
    <w:lvl w:ilvl="0" w:tplc="DDD00C00">
      <w:start w:val="3"/>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3320C90"/>
    <w:multiLevelType w:val="hybridMultilevel"/>
    <w:tmpl w:val="69A2D6A0"/>
    <w:lvl w:ilvl="0" w:tplc="0409000F">
      <w:start w:val="1"/>
      <w:numFmt w:val="decimal"/>
      <w:lvlText w:val="%1."/>
      <w:lvlJc w:val="left"/>
      <w:pPr>
        <w:ind w:left="0" w:hanging="360"/>
      </w:p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7" w15:restartNumberingAfterBreak="0">
    <w:nsid w:val="48B87F47"/>
    <w:multiLevelType w:val="multilevel"/>
    <w:tmpl w:val="3B08104C"/>
    <w:lvl w:ilvl="0">
      <w:start w:val="2"/>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4AF43EA0"/>
    <w:multiLevelType w:val="hybridMultilevel"/>
    <w:tmpl w:val="6004E12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 w15:restartNumberingAfterBreak="0">
    <w:nsid w:val="55432854"/>
    <w:multiLevelType w:val="multilevel"/>
    <w:tmpl w:val="9B908CF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582B26A6"/>
    <w:multiLevelType w:val="hybridMultilevel"/>
    <w:tmpl w:val="6E0C479A"/>
    <w:lvl w:ilvl="0" w:tplc="FEAA57B8">
      <w:start w:val="1"/>
      <w:numFmt w:val="bullet"/>
      <w:suff w:val="space"/>
      <w:lvlText w:val=""/>
      <w:lvlJc w:val="left"/>
      <w:pPr>
        <w:ind w:left="720" w:hanging="360"/>
      </w:pPr>
      <w:rPr>
        <w:rFonts w:ascii="Symbol" w:hAnsi="Symbol" w:hint="default"/>
        <w:color w:val="FFFFFF" w:themeColor="background1"/>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5B7D1FAC"/>
    <w:multiLevelType w:val="multilevel"/>
    <w:tmpl w:val="A45CC58A"/>
    <w:lvl w:ilvl="0">
      <w:start w:val="57"/>
      <w:numFmt w:val="decimal"/>
      <w:lvlText w:val="%1"/>
      <w:lvlJc w:val="left"/>
      <w:pPr>
        <w:ind w:left="420" w:hanging="420"/>
      </w:pPr>
      <w:rPr>
        <w:rFonts w:hint="default"/>
      </w:rPr>
    </w:lvl>
    <w:lvl w:ilvl="1">
      <w:start w:val="6"/>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76F27D88"/>
    <w:multiLevelType w:val="multilevel"/>
    <w:tmpl w:val="6BBA6046"/>
    <w:lvl w:ilvl="0">
      <w:start w:val="1"/>
      <w:numFmt w:val="decimal"/>
      <w:lvlText w:val="%1."/>
      <w:lvlJc w:val="left"/>
      <w:pPr>
        <w:ind w:left="720" w:hanging="360"/>
      </w:p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num w:numId="1">
    <w:abstractNumId w:val="0"/>
  </w:num>
  <w:num w:numId="2">
    <w:abstractNumId w:val="1"/>
  </w:num>
  <w:num w:numId="3">
    <w:abstractNumId w:val="6"/>
  </w:num>
  <w:num w:numId="4">
    <w:abstractNumId w:val="12"/>
  </w:num>
  <w:num w:numId="5">
    <w:abstractNumId w:val="11"/>
  </w:num>
  <w:num w:numId="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9"/>
  </w:num>
  <w:num w:numId="10">
    <w:abstractNumId w:val="2"/>
  </w:num>
  <w:num w:numId="11">
    <w:abstractNumId w:val="7"/>
  </w:num>
  <w:num w:numId="12">
    <w:abstractNumId w:val="5"/>
  </w:num>
  <w:num w:numId="13">
    <w:abstractNumId w:val="10"/>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6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1A89"/>
    <w:rsid w:val="00003075"/>
    <w:rsid w:val="00013A78"/>
    <w:rsid w:val="00014773"/>
    <w:rsid w:val="00017E34"/>
    <w:rsid w:val="000228BE"/>
    <w:rsid w:val="00027C00"/>
    <w:rsid w:val="000304D2"/>
    <w:rsid w:val="00033632"/>
    <w:rsid w:val="00036EBF"/>
    <w:rsid w:val="00037BFF"/>
    <w:rsid w:val="00040CF8"/>
    <w:rsid w:val="00043074"/>
    <w:rsid w:val="00043179"/>
    <w:rsid w:val="00044B2B"/>
    <w:rsid w:val="00045563"/>
    <w:rsid w:val="00047B92"/>
    <w:rsid w:val="000550CA"/>
    <w:rsid w:val="00080552"/>
    <w:rsid w:val="0008531E"/>
    <w:rsid w:val="00090211"/>
    <w:rsid w:val="0009162F"/>
    <w:rsid w:val="0009485F"/>
    <w:rsid w:val="00097CF6"/>
    <w:rsid w:val="000A22DF"/>
    <w:rsid w:val="000A235D"/>
    <w:rsid w:val="000A2422"/>
    <w:rsid w:val="000A3F72"/>
    <w:rsid w:val="000B1A41"/>
    <w:rsid w:val="000B1FA6"/>
    <w:rsid w:val="000C5E45"/>
    <w:rsid w:val="000D5FA7"/>
    <w:rsid w:val="000E1808"/>
    <w:rsid w:val="000E1CA4"/>
    <w:rsid w:val="000E5747"/>
    <w:rsid w:val="000F2E5F"/>
    <w:rsid w:val="001005A8"/>
    <w:rsid w:val="001010B8"/>
    <w:rsid w:val="00102FC4"/>
    <w:rsid w:val="00104E0F"/>
    <w:rsid w:val="00106786"/>
    <w:rsid w:val="001107C6"/>
    <w:rsid w:val="00110DD1"/>
    <w:rsid w:val="00113048"/>
    <w:rsid w:val="001167F3"/>
    <w:rsid w:val="001213FA"/>
    <w:rsid w:val="00126CD4"/>
    <w:rsid w:val="00127097"/>
    <w:rsid w:val="00135C0E"/>
    <w:rsid w:val="00137A8B"/>
    <w:rsid w:val="00144152"/>
    <w:rsid w:val="00144B47"/>
    <w:rsid w:val="00146ECF"/>
    <w:rsid w:val="00160979"/>
    <w:rsid w:val="001612DF"/>
    <w:rsid w:val="001619B9"/>
    <w:rsid w:val="00167767"/>
    <w:rsid w:val="00167FAA"/>
    <w:rsid w:val="00172D7A"/>
    <w:rsid w:val="00175F70"/>
    <w:rsid w:val="00176D95"/>
    <w:rsid w:val="001844BC"/>
    <w:rsid w:val="00187B6E"/>
    <w:rsid w:val="001A2DF4"/>
    <w:rsid w:val="001A44A7"/>
    <w:rsid w:val="001A514E"/>
    <w:rsid w:val="001A5F4F"/>
    <w:rsid w:val="001A635F"/>
    <w:rsid w:val="001A7A66"/>
    <w:rsid w:val="001B1871"/>
    <w:rsid w:val="001B1D10"/>
    <w:rsid w:val="001B2775"/>
    <w:rsid w:val="001C0CCB"/>
    <w:rsid w:val="001C4461"/>
    <w:rsid w:val="001D167A"/>
    <w:rsid w:val="001D2F6D"/>
    <w:rsid w:val="001D5181"/>
    <w:rsid w:val="001E0628"/>
    <w:rsid w:val="002024FF"/>
    <w:rsid w:val="002063F1"/>
    <w:rsid w:val="00207BD0"/>
    <w:rsid w:val="00213D75"/>
    <w:rsid w:val="0023089D"/>
    <w:rsid w:val="00231B94"/>
    <w:rsid w:val="002437A3"/>
    <w:rsid w:val="00250B23"/>
    <w:rsid w:val="002539E8"/>
    <w:rsid w:val="00256226"/>
    <w:rsid w:val="00261DB9"/>
    <w:rsid w:val="002629FD"/>
    <w:rsid w:val="00263308"/>
    <w:rsid w:val="002658CE"/>
    <w:rsid w:val="00267151"/>
    <w:rsid w:val="002706F4"/>
    <w:rsid w:val="002748F7"/>
    <w:rsid w:val="00274F6F"/>
    <w:rsid w:val="00282895"/>
    <w:rsid w:val="00291E2B"/>
    <w:rsid w:val="002926D0"/>
    <w:rsid w:val="002A5C2E"/>
    <w:rsid w:val="002A67E0"/>
    <w:rsid w:val="002C67BF"/>
    <w:rsid w:val="002D325D"/>
    <w:rsid w:val="002D363C"/>
    <w:rsid w:val="002D5A9B"/>
    <w:rsid w:val="002E1277"/>
    <w:rsid w:val="002E3EC5"/>
    <w:rsid w:val="002E58DE"/>
    <w:rsid w:val="002F1188"/>
    <w:rsid w:val="002F24D4"/>
    <w:rsid w:val="002F24E0"/>
    <w:rsid w:val="0030130D"/>
    <w:rsid w:val="003016CA"/>
    <w:rsid w:val="00303305"/>
    <w:rsid w:val="00305341"/>
    <w:rsid w:val="0030622D"/>
    <w:rsid w:val="00307C0A"/>
    <w:rsid w:val="003162D9"/>
    <w:rsid w:val="003178DA"/>
    <w:rsid w:val="003275A0"/>
    <w:rsid w:val="003304AD"/>
    <w:rsid w:val="00331152"/>
    <w:rsid w:val="003336EC"/>
    <w:rsid w:val="00345650"/>
    <w:rsid w:val="003566FB"/>
    <w:rsid w:val="0035739F"/>
    <w:rsid w:val="00362134"/>
    <w:rsid w:val="0036584F"/>
    <w:rsid w:val="00367FFE"/>
    <w:rsid w:val="00371079"/>
    <w:rsid w:val="00372530"/>
    <w:rsid w:val="003768A3"/>
    <w:rsid w:val="0038145C"/>
    <w:rsid w:val="00387782"/>
    <w:rsid w:val="0039241D"/>
    <w:rsid w:val="003A6A16"/>
    <w:rsid w:val="003A7AA4"/>
    <w:rsid w:val="003C6D16"/>
    <w:rsid w:val="003F00A7"/>
    <w:rsid w:val="004002A9"/>
    <w:rsid w:val="004124D8"/>
    <w:rsid w:val="004239F7"/>
    <w:rsid w:val="004277F5"/>
    <w:rsid w:val="00434E7E"/>
    <w:rsid w:val="00440E8B"/>
    <w:rsid w:val="00443A35"/>
    <w:rsid w:val="004476FF"/>
    <w:rsid w:val="004538F6"/>
    <w:rsid w:val="00453DBC"/>
    <w:rsid w:val="004549C7"/>
    <w:rsid w:val="004573CA"/>
    <w:rsid w:val="004653CA"/>
    <w:rsid w:val="004656CF"/>
    <w:rsid w:val="00466314"/>
    <w:rsid w:val="00466EF4"/>
    <w:rsid w:val="00467E0F"/>
    <w:rsid w:val="00470B5A"/>
    <w:rsid w:val="004737B2"/>
    <w:rsid w:val="00481FD6"/>
    <w:rsid w:val="0048536B"/>
    <w:rsid w:val="0048661C"/>
    <w:rsid w:val="00487803"/>
    <w:rsid w:val="00496C3C"/>
    <w:rsid w:val="004A1013"/>
    <w:rsid w:val="004A2F35"/>
    <w:rsid w:val="004A7539"/>
    <w:rsid w:val="004B2BA7"/>
    <w:rsid w:val="004B49DD"/>
    <w:rsid w:val="004D0EDB"/>
    <w:rsid w:val="004E16BC"/>
    <w:rsid w:val="004E1C3B"/>
    <w:rsid w:val="004E4E04"/>
    <w:rsid w:val="004E6FB4"/>
    <w:rsid w:val="00510896"/>
    <w:rsid w:val="005141C0"/>
    <w:rsid w:val="005164C0"/>
    <w:rsid w:val="00525C32"/>
    <w:rsid w:val="00534289"/>
    <w:rsid w:val="00540377"/>
    <w:rsid w:val="00541F20"/>
    <w:rsid w:val="00544DA9"/>
    <w:rsid w:val="00557685"/>
    <w:rsid w:val="00567A52"/>
    <w:rsid w:val="00580241"/>
    <w:rsid w:val="00580A87"/>
    <w:rsid w:val="0058714D"/>
    <w:rsid w:val="0059341C"/>
    <w:rsid w:val="005A2289"/>
    <w:rsid w:val="005A3147"/>
    <w:rsid w:val="005B10FD"/>
    <w:rsid w:val="005B5B87"/>
    <w:rsid w:val="005C32C7"/>
    <w:rsid w:val="005D02DC"/>
    <w:rsid w:val="005D2905"/>
    <w:rsid w:val="005E36E5"/>
    <w:rsid w:val="005F0A46"/>
    <w:rsid w:val="005F3ACD"/>
    <w:rsid w:val="005F4510"/>
    <w:rsid w:val="006016AB"/>
    <w:rsid w:val="006024B6"/>
    <w:rsid w:val="006038FB"/>
    <w:rsid w:val="0060583C"/>
    <w:rsid w:val="006139BE"/>
    <w:rsid w:val="00613FBF"/>
    <w:rsid w:val="0061505F"/>
    <w:rsid w:val="006218EC"/>
    <w:rsid w:val="0062441D"/>
    <w:rsid w:val="00624E56"/>
    <w:rsid w:val="00625DD3"/>
    <w:rsid w:val="006276A9"/>
    <w:rsid w:val="006279E0"/>
    <w:rsid w:val="00630F50"/>
    <w:rsid w:val="00633361"/>
    <w:rsid w:val="00635F51"/>
    <w:rsid w:val="00637226"/>
    <w:rsid w:val="00651734"/>
    <w:rsid w:val="00652402"/>
    <w:rsid w:val="00652E1B"/>
    <w:rsid w:val="006570EA"/>
    <w:rsid w:val="0065751C"/>
    <w:rsid w:val="00662A79"/>
    <w:rsid w:val="006632F0"/>
    <w:rsid w:val="0066398F"/>
    <w:rsid w:val="00670BBF"/>
    <w:rsid w:val="006737BE"/>
    <w:rsid w:val="00680C3B"/>
    <w:rsid w:val="006873E2"/>
    <w:rsid w:val="00691526"/>
    <w:rsid w:val="00693421"/>
    <w:rsid w:val="0069510C"/>
    <w:rsid w:val="00695E20"/>
    <w:rsid w:val="006A0C7C"/>
    <w:rsid w:val="006B0A9F"/>
    <w:rsid w:val="006C04B7"/>
    <w:rsid w:val="006C0FFA"/>
    <w:rsid w:val="006D3B84"/>
    <w:rsid w:val="006D6BE0"/>
    <w:rsid w:val="006E338F"/>
    <w:rsid w:val="006E35AE"/>
    <w:rsid w:val="006F3B27"/>
    <w:rsid w:val="00702D29"/>
    <w:rsid w:val="00713B98"/>
    <w:rsid w:val="0071427D"/>
    <w:rsid w:val="00714B6D"/>
    <w:rsid w:val="00723C7A"/>
    <w:rsid w:val="00725982"/>
    <w:rsid w:val="00737138"/>
    <w:rsid w:val="00737D8D"/>
    <w:rsid w:val="007446E5"/>
    <w:rsid w:val="007473B6"/>
    <w:rsid w:val="00751B56"/>
    <w:rsid w:val="00756E9C"/>
    <w:rsid w:val="00764701"/>
    <w:rsid w:val="00764879"/>
    <w:rsid w:val="00766384"/>
    <w:rsid w:val="007667CC"/>
    <w:rsid w:val="007700A4"/>
    <w:rsid w:val="00773754"/>
    <w:rsid w:val="00783BFE"/>
    <w:rsid w:val="00790FAA"/>
    <w:rsid w:val="00793D4A"/>
    <w:rsid w:val="007944E1"/>
    <w:rsid w:val="0079619A"/>
    <w:rsid w:val="007A6363"/>
    <w:rsid w:val="007A7EC6"/>
    <w:rsid w:val="007B0FC1"/>
    <w:rsid w:val="007C3B06"/>
    <w:rsid w:val="007C518B"/>
    <w:rsid w:val="007E3F79"/>
    <w:rsid w:val="007E6EAE"/>
    <w:rsid w:val="007E77C0"/>
    <w:rsid w:val="007F069C"/>
    <w:rsid w:val="00800317"/>
    <w:rsid w:val="00801237"/>
    <w:rsid w:val="0080135C"/>
    <w:rsid w:val="00803CA1"/>
    <w:rsid w:val="008059BB"/>
    <w:rsid w:val="00806CED"/>
    <w:rsid w:val="008134BD"/>
    <w:rsid w:val="00817942"/>
    <w:rsid w:val="0083012F"/>
    <w:rsid w:val="0083531A"/>
    <w:rsid w:val="008369BF"/>
    <w:rsid w:val="00842149"/>
    <w:rsid w:val="00846EC8"/>
    <w:rsid w:val="00847F7C"/>
    <w:rsid w:val="008727D7"/>
    <w:rsid w:val="0087368B"/>
    <w:rsid w:val="00882AC2"/>
    <w:rsid w:val="0088678F"/>
    <w:rsid w:val="00887C45"/>
    <w:rsid w:val="008972AF"/>
    <w:rsid w:val="008A1595"/>
    <w:rsid w:val="008A456E"/>
    <w:rsid w:val="008A6081"/>
    <w:rsid w:val="008A76C9"/>
    <w:rsid w:val="008C2B77"/>
    <w:rsid w:val="008C56AB"/>
    <w:rsid w:val="008D1B01"/>
    <w:rsid w:val="008D4022"/>
    <w:rsid w:val="008E2285"/>
    <w:rsid w:val="008F0497"/>
    <w:rsid w:val="008F7147"/>
    <w:rsid w:val="00905466"/>
    <w:rsid w:val="00910447"/>
    <w:rsid w:val="00910777"/>
    <w:rsid w:val="009168DB"/>
    <w:rsid w:val="00926391"/>
    <w:rsid w:val="0092652A"/>
    <w:rsid w:val="009449EA"/>
    <w:rsid w:val="00947946"/>
    <w:rsid w:val="00961084"/>
    <w:rsid w:val="00962D36"/>
    <w:rsid w:val="00967422"/>
    <w:rsid w:val="00976390"/>
    <w:rsid w:val="00991D82"/>
    <w:rsid w:val="0099325F"/>
    <w:rsid w:val="00993431"/>
    <w:rsid w:val="00993C5E"/>
    <w:rsid w:val="00994B27"/>
    <w:rsid w:val="00996614"/>
    <w:rsid w:val="009A1192"/>
    <w:rsid w:val="009A23E9"/>
    <w:rsid w:val="009A6818"/>
    <w:rsid w:val="009B681F"/>
    <w:rsid w:val="009C130D"/>
    <w:rsid w:val="009C5D60"/>
    <w:rsid w:val="009D2274"/>
    <w:rsid w:val="009E6B01"/>
    <w:rsid w:val="009F6B95"/>
    <w:rsid w:val="00A04C5F"/>
    <w:rsid w:val="00A10BBA"/>
    <w:rsid w:val="00A164A5"/>
    <w:rsid w:val="00A166A8"/>
    <w:rsid w:val="00A17DA2"/>
    <w:rsid w:val="00A22550"/>
    <w:rsid w:val="00A233DD"/>
    <w:rsid w:val="00A2779D"/>
    <w:rsid w:val="00A30E97"/>
    <w:rsid w:val="00A31FDE"/>
    <w:rsid w:val="00A42595"/>
    <w:rsid w:val="00A474A0"/>
    <w:rsid w:val="00A52829"/>
    <w:rsid w:val="00A530AB"/>
    <w:rsid w:val="00A532D5"/>
    <w:rsid w:val="00A53CBD"/>
    <w:rsid w:val="00A56ACA"/>
    <w:rsid w:val="00A6162E"/>
    <w:rsid w:val="00A80C72"/>
    <w:rsid w:val="00A86737"/>
    <w:rsid w:val="00A8731A"/>
    <w:rsid w:val="00A879E1"/>
    <w:rsid w:val="00A92003"/>
    <w:rsid w:val="00A9650A"/>
    <w:rsid w:val="00A96884"/>
    <w:rsid w:val="00A97AB8"/>
    <w:rsid w:val="00AA25D6"/>
    <w:rsid w:val="00AA58DB"/>
    <w:rsid w:val="00AA5DBF"/>
    <w:rsid w:val="00AB28E1"/>
    <w:rsid w:val="00AB445D"/>
    <w:rsid w:val="00AC5AE6"/>
    <w:rsid w:val="00AD6AFA"/>
    <w:rsid w:val="00AE12A2"/>
    <w:rsid w:val="00AE2A78"/>
    <w:rsid w:val="00AE2F96"/>
    <w:rsid w:val="00AF62D7"/>
    <w:rsid w:val="00AF6FC7"/>
    <w:rsid w:val="00B10383"/>
    <w:rsid w:val="00B11DC5"/>
    <w:rsid w:val="00B235A1"/>
    <w:rsid w:val="00B31A31"/>
    <w:rsid w:val="00B425AD"/>
    <w:rsid w:val="00B5303E"/>
    <w:rsid w:val="00B54399"/>
    <w:rsid w:val="00B7088C"/>
    <w:rsid w:val="00B73248"/>
    <w:rsid w:val="00B764F0"/>
    <w:rsid w:val="00B85723"/>
    <w:rsid w:val="00B94477"/>
    <w:rsid w:val="00BA5B5E"/>
    <w:rsid w:val="00BA648D"/>
    <w:rsid w:val="00BB4D4F"/>
    <w:rsid w:val="00BB5248"/>
    <w:rsid w:val="00BB78E1"/>
    <w:rsid w:val="00BC27CF"/>
    <w:rsid w:val="00BC54BA"/>
    <w:rsid w:val="00BC58C5"/>
    <w:rsid w:val="00BC5FA5"/>
    <w:rsid w:val="00BD23CC"/>
    <w:rsid w:val="00BD61E9"/>
    <w:rsid w:val="00BF38A6"/>
    <w:rsid w:val="00BF55DC"/>
    <w:rsid w:val="00BF79EA"/>
    <w:rsid w:val="00C22AD4"/>
    <w:rsid w:val="00C239C7"/>
    <w:rsid w:val="00C26093"/>
    <w:rsid w:val="00C27437"/>
    <w:rsid w:val="00C31AFF"/>
    <w:rsid w:val="00C33886"/>
    <w:rsid w:val="00C3495D"/>
    <w:rsid w:val="00C36B90"/>
    <w:rsid w:val="00C37609"/>
    <w:rsid w:val="00C41705"/>
    <w:rsid w:val="00C43729"/>
    <w:rsid w:val="00C51C72"/>
    <w:rsid w:val="00C54DCC"/>
    <w:rsid w:val="00C5606B"/>
    <w:rsid w:val="00C613CB"/>
    <w:rsid w:val="00C6656A"/>
    <w:rsid w:val="00C6701B"/>
    <w:rsid w:val="00C720D4"/>
    <w:rsid w:val="00C74032"/>
    <w:rsid w:val="00CA5A15"/>
    <w:rsid w:val="00CA69B7"/>
    <w:rsid w:val="00CB3C9A"/>
    <w:rsid w:val="00CB3DBC"/>
    <w:rsid w:val="00CD3CCD"/>
    <w:rsid w:val="00CE2918"/>
    <w:rsid w:val="00CF19F5"/>
    <w:rsid w:val="00CF2189"/>
    <w:rsid w:val="00CF3DB4"/>
    <w:rsid w:val="00D04F57"/>
    <w:rsid w:val="00D05DE8"/>
    <w:rsid w:val="00D07BA0"/>
    <w:rsid w:val="00D1706C"/>
    <w:rsid w:val="00D20CC2"/>
    <w:rsid w:val="00D22840"/>
    <w:rsid w:val="00D22AA0"/>
    <w:rsid w:val="00D2405B"/>
    <w:rsid w:val="00D24067"/>
    <w:rsid w:val="00D321F4"/>
    <w:rsid w:val="00D336B1"/>
    <w:rsid w:val="00D33D08"/>
    <w:rsid w:val="00D35081"/>
    <w:rsid w:val="00D50069"/>
    <w:rsid w:val="00D51E75"/>
    <w:rsid w:val="00D5454C"/>
    <w:rsid w:val="00D671F4"/>
    <w:rsid w:val="00D77233"/>
    <w:rsid w:val="00D86BB4"/>
    <w:rsid w:val="00D970F1"/>
    <w:rsid w:val="00DA1DEC"/>
    <w:rsid w:val="00DA23C5"/>
    <w:rsid w:val="00DA4D7E"/>
    <w:rsid w:val="00DB1BA4"/>
    <w:rsid w:val="00DC3231"/>
    <w:rsid w:val="00DD7F63"/>
    <w:rsid w:val="00DE6071"/>
    <w:rsid w:val="00DE6875"/>
    <w:rsid w:val="00DE6F0A"/>
    <w:rsid w:val="00DF200D"/>
    <w:rsid w:val="00DF4B55"/>
    <w:rsid w:val="00E008B1"/>
    <w:rsid w:val="00E02509"/>
    <w:rsid w:val="00E0334A"/>
    <w:rsid w:val="00E06AB5"/>
    <w:rsid w:val="00E0779A"/>
    <w:rsid w:val="00E10507"/>
    <w:rsid w:val="00E10EAB"/>
    <w:rsid w:val="00E21974"/>
    <w:rsid w:val="00E2521E"/>
    <w:rsid w:val="00E319DB"/>
    <w:rsid w:val="00E35BF7"/>
    <w:rsid w:val="00E35C2D"/>
    <w:rsid w:val="00E41235"/>
    <w:rsid w:val="00E43BCB"/>
    <w:rsid w:val="00E45420"/>
    <w:rsid w:val="00E50B3E"/>
    <w:rsid w:val="00E568F9"/>
    <w:rsid w:val="00E67EC3"/>
    <w:rsid w:val="00E7221E"/>
    <w:rsid w:val="00E838CB"/>
    <w:rsid w:val="00E85205"/>
    <w:rsid w:val="00E8567D"/>
    <w:rsid w:val="00E9702A"/>
    <w:rsid w:val="00EA6835"/>
    <w:rsid w:val="00EB1DB3"/>
    <w:rsid w:val="00EB28D2"/>
    <w:rsid w:val="00EC79E7"/>
    <w:rsid w:val="00ED296E"/>
    <w:rsid w:val="00EE198C"/>
    <w:rsid w:val="00EE485A"/>
    <w:rsid w:val="00EF3EE2"/>
    <w:rsid w:val="00EF3FFB"/>
    <w:rsid w:val="00EF4ACA"/>
    <w:rsid w:val="00EF5E15"/>
    <w:rsid w:val="00F00E77"/>
    <w:rsid w:val="00F01764"/>
    <w:rsid w:val="00F06C29"/>
    <w:rsid w:val="00F102FB"/>
    <w:rsid w:val="00F16263"/>
    <w:rsid w:val="00F21C0A"/>
    <w:rsid w:val="00F26809"/>
    <w:rsid w:val="00F346A8"/>
    <w:rsid w:val="00F37A76"/>
    <w:rsid w:val="00F54E74"/>
    <w:rsid w:val="00F57FBA"/>
    <w:rsid w:val="00F614FD"/>
    <w:rsid w:val="00F62025"/>
    <w:rsid w:val="00F64A53"/>
    <w:rsid w:val="00F64FF4"/>
    <w:rsid w:val="00F667DE"/>
    <w:rsid w:val="00F75AB1"/>
    <w:rsid w:val="00F86095"/>
    <w:rsid w:val="00F953B4"/>
    <w:rsid w:val="00F970FC"/>
    <w:rsid w:val="00FA0B37"/>
    <w:rsid w:val="00FB0159"/>
    <w:rsid w:val="00FB0637"/>
    <w:rsid w:val="00FB1E76"/>
    <w:rsid w:val="00FC0EFC"/>
    <w:rsid w:val="00FC7110"/>
    <w:rsid w:val="00FD0B1B"/>
    <w:rsid w:val="00FD168C"/>
    <w:rsid w:val="00FD1A89"/>
    <w:rsid w:val="00FD4047"/>
    <w:rsid w:val="00FE6499"/>
    <w:rsid w:val="00FF0165"/>
    <w:rsid w:val="00FF6960"/>
    <w:rsid w:val="00FF74C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C7D0174"/>
  <w15:docId w15:val="{91E695DB-C2F2-C24F-8C82-D1BD816442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691526"/>
    <w:rPr>
      <w:position w:val="-1"/>
    </w:rPr>
  </w:style>
  <w:style w:type="paragraph" w:styleId="Titre1">
    <w:name w:val="heading 1"/>
    <w:basedOn w:val="Normal"/>
    <w:next w:val="Normal"/>
    <w:link w:val="Titre1Car"/>
    <w:autoRedefine/>
    <w:uiPriority w:val="9"/>
    <w:qFormat/>
    <w:rsid w:val="00AA5DBF"/>
    <w:pPr>
      <w:keepNext/>
      <w:spacing w:line="480" w:lineRule="auto"/>
      <w:outlineLvl w:val="0"/>
    </w:pPr>
    <w:rPr>
      <w:rFonts w:asciiTheme="majorBidi" w:hAnsiTheme="majorBidi" w:cstheme="majorBidi"/>
      <w:b/>
      <w:bCs/>
      <w:lang w:bidi="ar-DZ"/>
    </w:rPr>
  </w:style>
  <w:style w:type="paragraph" w:styleId="Titre2">
    <w:name w:val="heading 2"/>
    <w:basedOn w:val="Normal"/>
    <w:next w:val="Normal"/>
    <w:link w:val="Titre2Car"/>
    <w:uiPriority w:val="9"/>
    <w:qFormat/>
    <w:rsid w:val="00691526"/>
    <w:pPr>
      <w:keepNext/>
      <w:jc w:val="center"/>
      <w:outlineLvl w:val="1"/>
    </w:pPr>
    <w:rPr>
      <w:rFonts w:cs="Traditional Arabic"/>
      <w:b/>
      <w:bCs/>
      <w:szCs w:val="28"/>
      <w:lang w:val="fr-FR" w:bidi="ar-DZ"/>
    </w:rPr>
  </w:style>
  <w:style w:type="paragraph" w:styleId="Titre3">
    <w:name w:val="heading 3"/>
    <w:basedOn w:val="Normal"/>
    <w:next w:val="Normal"/>
    <w:link w:val="Titre3Car"/>
    <w:uiPriority w:val="9"/>
    <w:qFormat/>
    <w:rsid w:val="002D5A9B"/>
    <w:pPr>
      <w:keepNext/>
      <w:jc w:val="center"/>
      <w:outlineLvl w:val="2"/>
    </w:pPr>
    <w:rPr>
      <w:rFonts w:cs="Traditional Arabic"/>
      <w:b/>
      <w:bCs/>
      <w:szCs w:val="32"/>
      <w:lang w:val="fr-FR" w:bidi="ar-DZ"/>
    </w:rPr>
  </w:style>
  <w:style w:type="paragraph" w:styleId="Titre4">
    <w:name w:val="heading 4"/>
    <w:basedOn w:val="Normal"/>
    <w:next w:val="Normal"/>
    <w:link w:val="Titre4Car"/>
    <w:uiPriority w:val="9"/>
    <w:qFormat/>
    <w:pPr>
      <w:keepNext/>
      <w:outlineLvl w:val="3"/>
    </w:pPr>
    <w:rPr>
      <w:sz w:val="32"/>
      <w:szCs w:val="32"/>
      <w:lang w:val="fr-FR" w:bidi="ar-DZ"/>
    </w:rPr>
  </w:style>
  <w:style w:type="paragraph" w:styleId="Titre5">
    <w:name w:val="heading 5"/>
    <w:basedOn w:val="Normal"/>
    <w:next w:val="Normal"/>
    <w:link w:val="Titre5Car"/>
    <w:uiPriority w:val="9"/>
    <w:qFormat/>
    <w:pPr>
      <w:keepNext/>
      <w:jc w:val="center"/>
      <w:outlineLvl w:val="4"/>
    </w:pPr>
    <w:rPr>
      <w:b/>
      <w:bCs/>
      <w:sz w:val="36"/>
      <w:szCs w:val="36"/>
      <w:lang w:val="fr-FR" w:bidi="ar-DZ"/>
    </w:rPr>
  </w:style>
  <w:style w:type="paragraph" w:styleId="Titre6">
    <w:name w:val="heading 6"/>
    <w:basedOn w:val="Normal"/>
    <w:next w:val="Normal"/>
    <w:link w:val="Titre6Car"/>
    <w:uiPriority w:val="9"/>
    <w:qFormat/>
    <w:pPr>
      <w:keepNext/>
      <w:jc w:val="center"/>
      <w:outlineLvl w:val="5"/>
    </w:pPr>
    <w:rPr>
      <w:sz w:val="36"/>
      <w:szCs w:val="36"/>
      <w:lang w:val="fr-FR" w:bidi="ar-DZ"/>
    </w:rPr>
  </w:style>
  <w:style w:type="paragraph" w:styleId="Titre7">
    <w:name w:val="heading 7"/>
    <w:basedOn w:val="Normal"/>
    <w:next w:val="Normal"/>
    <w:link w:val="Titre7Car"/>
    <w:uiPriority w:val="9"/>
    <w:semiHidden/>
    <w:unhideWhenUsed/>
    <w:qFormat/>
    <w:rsid w:val="00737138"/>
    <w:pPr>
      <w:keepNext/>
      <w:keepLines/>
      <w:spacing w:before="40" w:line="278" w:lineRule="auto"/>
      <w:ind w:left="1296" w:hanging="1296"/>
      <w:outlineLvl w:val="6"/>
    </w:pPr>
    <w:rPr>
      <w:rFonts w:asciiTheme="minorHAnsi" w:eastAsiaTheme="majorEastAsia" w:hAnsiTheme="minorHAnsi" w:cstheme="majorBidi"/>
      <w:color w:val="595959" w:themeColor="text1" w:themeTint="A6"/>
      <w:kern w:val="2"/>
      <w:position w:val="0"/>
      <w:sz w:val="22"/>
      <w:szCs w:val="22"/>
      <w14:ligatures w14:val="standardContextual"/>
    </w:rPr>
  </w:style>
  <w:style w:type="paragraph" w:styleId="Titre8">
    <w:name w:val="heading 8"/>
    <w:basedOn w:val="Normal"/>
    <w:next w:val="Normal"/>
    <w:link w:val="Titre8Car"/>
    <w:uiPriority w:val="9"/>
    <w:semiHidden/>
    <w:unhideWhenUsed/>
    <w:qFormat/>
    <w:rsid w:val="00737138"/>
    <w:pPr>
      <w:keepNext/>
      <w:keepLines/>
      <w:spacing w:line="278" w:lineRule="auto"/>
      <w:ind w:left="1440" w:hanging="1440"/>
      <w:outlineLvl w:val="7"/>
    </w:pPr>
    <w:rPr>
      <w:rFonts w:asciiTheme="minorHAnsi" w:eastAsiaTheme="majorEastAsia" w:hAnsiTheme="minorHAnsi" w:cstheme="majorBidi"/>
      <w:i/>
      <w:iCs/>
      <w:color w:val="272727" w:themeColor="text1" w:themeTint="D8"/>
      <w:kern w:val="2"/>
      <w:position w:val="0"/>
      <w:sz w:val="22"/>
      <w:szCs w:val="22"/>
      <w14:ligatures w14:val="standardContextual"/>
    </w:rPr>
  </w:style>
  <w:style w:type="paragraph" w:styleId="Titre9">
    <w:name w:val="heading 9"/>
    <w:basedOn w:val="Normal"/>
    <w:next w:val="Normal"/>
    <w:link w:val="Titre9Car"/>
    <w:uiPriority w:val="9"/>
    <w:semiHidden/>
    <w:unhideWhenUsed/>
    <w:qFormat/>
    <w:rsid w:val="00737138"/>
    <w:pPr>
      <w:keepNext/>
      <w:keepLines/>
      <w:spacing w:line="278" w:lineRule="auto"/>
      <w:ind w:left="1584" w:hanging="1584"/>
      <w:outlineLvl w:val="8"/>
    </w:pPr>
    <w:rPr>
      <w:rFonts w:asciiTheme="minorHAnsi" w:eastAsiaTheme="majorEastAsia" w:hAnsiTheme="minorHAnsi" w:cstheme="majorBidi"/>
      <w:color w:val="272727" w:themeColor="text1" w:themeTint="D8"/>
      <w:kern w:val="2"/>
      <w:position w:val="0"/>
      <w:sz w:val="22"/>
      <w:szCs w:val="22"/>
      <w14:ligatures w14:val="standardContextual"/>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Titre">
    <w:name w:val="Title"/>
    <w:basedOn w:val="Normal"/>
    <w:next w:val="Normal"/>
    <w:link w:val="TitreCar"/>
    <w:uiPriority w:val="10"/>
    <w:qFormat/>
    <w:pPr>
      <w:keepNext/>
      <w:keepLines/>
      <w:spacing w:before="480" w:after="120"/>
    </w:pPr>
    <w:rPr>
      <w:b/>
      <w:sz w:val="72"/>
      <w:szCs w:val="72"/>
    </w:rPr>
  </w:style>
  <w:style w:type="paragraph" w:styleId="Textedebulles">
    <w:name w:val="Balloon Text"/>
    <w:basedOn w:val="Normal"/>
    <w:rPr>
      <w:rFonts w:ascii="Tahoma" w:hAnsi="Tahoma" w:cs="Tahoma"/>
      <w:sz w:val="16"/>
      <w:szCs w:val="16"/>
    </w:rPr>
  </w:style>
  <w:style w:type="paragraph" w:styleId="Paragraphedeliste">
    <w:name w:val="List Paragraph"/>
    <w:basedOn w:val="Normal"/>
    <w:uiPriority w:val="34"/>
    <w:qFormat/>
    <w:pPr>
      <w:spacing w:after="200" w:line="276" w:lineRule="auto"/>
      <w:ind w:left="720"/>
      <w:contextualSpacing/>
    </w:pPr>
    <w:rPr>
      <w:rFonts w:ascii="Calibri" w:hAnsi="Calibri" w:cs="Arial"/>
      <w:sz w:val="22"/>
      <w:szCs w:val="22"/>
      <w:lang w:val="fr-FR" w:eastAsia="fr-FR"/>
    </w:rPr>
  </w:style>
  <w:style w:type="table" w:styleId="Grilledutableau">
    <w:name w:val="Table Grid"/>
    <w:basedOn w:val="TableauNormal"/>
    <w:uiPriority w:val="39"/>
    <w:pPr>
      <w:suppressAutoHyphens/>
      <w:spacing w:line="1" w:lineRule="atLeast"/>
      <w:ind w:leftChars="-1" w:left="-1" w:hangingChars="1" w:hanging="1"/>
      <w:textDirection w:val="btLr"/>
      <w:textAlignment w:val="top"/>
      <w:outlineLvl w:val="0"/>
    </w:pPr>
    <w:rPr>
      <w:rFonts w:ascii="Calibri" w:eastAsia="Calibri" w:hAnsi="Calibri" w:cs="Arial"/>
      <w:position w:val="-1"/>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ous-titre">
    <w:name w:val="Subtitle"/>
    <w:basedOn w:val="Normal"/>
    <w:next w:val="Normal"/>
    <w:link w:val="Sous-titreCar"/>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1"/>
    <w:tblPr>
      <w:tblStyleRowBandSize w:val="1"/>
      <w:tblStyleColBandSize w:val="1"/>
      <w:tblCellMar>
        <w:left w:w="108" w:type="dxa"/>
        <w:right w:w="108" w:type="dxa"/>
      </w:tblCellMar>
    </w:tblPr>
  </w:style>
  <w:style w:type="character" w:customStyle="1" w:styleId="Titre7Car">
    <w:name w:val="Titre 7 Car"/>
    <w:basedOn w:val="Policepardfaut"/>
    <w:link w:val="Titre7"/>
    <w:uiPriority w:val="9"/>
    <w:semiHidden/>
    <w:rsid w:val="00737138"/>
    <w:rPr>
      <w:rFonts w:asciiTheme="minorHAnsi" w:eastAsiaTheme="majorEastAsia" w:hAnsiTheme="minorHAnsi" w:cstheme="majorBidi"/>
      <w:color w:val="595959" w:themeColor="text1" w:themeTint="A6"/>
      <w:kern w:val="2"/>
      <w:sz w:val="22"/>
      <w:szCs w:val="22"/>
      <w14:ligatures w14:val="standardContextual"/>
    </w:rPr>
  </w:style>
  <w:style w:type="character" w:customStyle="1" w:styleId="Titre8Car">
    <w:name w:val="Titre 8 Car"/>
    <w:basedOn w:val="Policepardfaut"/>
    <w:link w:val="Titre8"/>
    <w:uiPriority w:val="9"/>
    <w:semiHidden/>
    <w:rsid w:val="00737138"/>
    <w:rPr>
      <w:rFonts w:asciiTheme="minorHAnsi" w:eastAsiaTheme="majorEastAsia" w:hAnsiTheme="minorHAnsi" w:cstheme="majorBidi"/>
      <w:i/>
      <w:iCs/>
      <w:color w:val="272727" w:themeColor="text1" w:themeTint="D8"/>
      <w:kern w:val="2"/>
      <w:sz w:val="22"/>
      <w:szCs w:val="22"/>
      <w14:ligatures w14:val="standardContextual"/>
    </w:rPr>
  </w:style>
  <w:style w:type="character" w:customStyle="1" w:styleId="Titre9Car">
    <w:name w:val="Titre 9 Car"/>
    <w:basedOn w:val="Policepardfaut"/>
    <w:link w:val="Titre9"/>
    <w:uiPriority w:val="9"/>
    <w:semiHidden/>
    <w:rsid w:val="00737138"/>
    <w:rPr>
      <w:rFonts w:asciiTheme="minorHAnsi" w:eastAsiaTheme="majorEastAsia" w:hAnsiTheme="minorHAnsi" w:cstheme="majorBidi"/>
      <w:color w:val="272727" w:themeColor="text1" w:themeTint="D8"/>
      <w:kern w:val="2"/>
      <w:sz w:val="22"/>
      <w:szCs w:val="22"/>
      <w14:ligatures w14:val="standardContextual"/>
    </w:rPr>
  </w:style>
  <w:style w:type="character" w:customStyle="1" w:styleId="Titre1Car">
    <w:name w:val="Titre 1 Car"/>
    <w:basedOn w:val="Policepardfaut"/>
    <w:link w:val="Titre1"/>
    <w:uiPriority w:val="9"/>
    <w:rsid w:val="00AA5DBF"/>
    <w:rPr>
      <w:rFonts w:asciiTheme="majorBidi" w:hAnsiTheme="majorBidi" w:cstheme="majorBidi"/>
      <w:b/>
      <w:bCs/>
      <w:position w:val="-1"/>
      <w:lang w:bidi="ar-DZ"/>
    </w:rPr>
  </w:style>
  <w:style w:type="character" w:customStyle="1" w:styleId="Titre2Car">
    <w:name w:val="Titre 2 Car"/>
    <w:basedOn w:val="Policepardfaut"/>
    <w:link w:val="Titre2"/>
    <w:uiPriority w:val="9"/>
    <w:rsid w:val="00691526"/>
    <w:rPr>
      <w:rFonts w:cs="Traditional Arabic"/>
      <w:b/>
      <w:bCs/>
      <w:position w:val="-1"/>
      <w:szCs w:val="28"/>
      <w:lang w:val="fr-FR" w:bidi="ar-DZ"/>
    </w:rPr>
  </w:style>
  <w:style w:type="character" w:customStyle="1" w:styleId="Titre3Car">
    <w:name w:val="Titre 3 Car"/>
    <w:basedOn w:val="Policepardfaut"/>
    <w:link w:val="Titre3"/>
    <w:uiPriority w:val="9"/>
    <w:rsid w:val="002D5A9B"/>
    <w:rPr>
      <w:rFonts w:cs="Traditional Arabic"/>
      <w:b/>
      <w:bCs/>
      <w:position w:val="-1"/>
      <w:szCs w:val="32"/>
      <w:lang w:val="fr-FR" w:bidi="ar-DZ"/>
    </w:rPr>
  </w:style>
  <w:style w:type="character" w:customStyle="1" w:styleId="Titre4Car">
    <w:name w:val="Titre 4 Car"/>
    <w:basedOn w:val="Policepardfaut"/>
    <w:link w:val="Titre4"/>
    <w:uiPriority w:val="9"/>
    <w:rsid w:val="00737138"/>
    <w:rPr>
      <w:position w:val="-1"/>
      <w:sz w:val="32"/>
      <w:szCs w:val="32"/>
      <w:lang w:val="fr-FR" w:bidi="ar-DZ"/>
    </w:rPr>
  </w:style>
  <w:style w:type="character" w:customStyle="1" w:styleId="Titre5Car">
    <w:name w:val="Titre 5 Car"/>
    <w:basedOn w:val="Policepardfaut"/>
    <w:link w:val="Titre5"/>
    <w:uiPriority w:val="9"/>
    <w:rsid w:val="00737138"/>
    <w:rPr>
      <w:b/>
      <w:bCs/>
      <w:position w:val="-1"/>
      <w:sz w:val="36"/>
      <w:szCs w:val="36"/>
      <w:lang w:val="fr-FR" w:bidi="ar-DZ"/>
    </w:rPr>
  </w:style>
  <w:style w:type="character" w:customStyle="1" w:styleId="Titre6Car">
    <w:name w:val="Titre 6 Car"/>
    <w:basedOn w:val="Policepardfaut"/>
    <w:link w:val="Titre6"/>
    <w:uiPriority w:val="9"/>
    <w:rsid w:val="00737138"/>
    <w:rPr>
      <w:position w:val="-1"/>
      <w:sz w:val="36"/>
      <w:szCs w:val="36"/>
      <w:lang w:val="fr-FR" w:bidi="ar-DZ"/>
    </w:rPr>
  </w:style>
  <w:style w:type="character" w:customStyle="1" w:styleId="TitreCar">
    <w:name w:val="Titre Car"/>
    <w:basedOn w:val="Policepardfaut"/>
    <w:link w:val="Titre"/>
    <w:uiPriority w:val="10"/>
    <w:rsid w:val="00737138"/>
    <w:rPr>
      <w:b/>
      <w:position w:val="-1"/>
      <w:sz w:val="72"/>
      <w:szCs w:val="72"/>
    </w:rPr>
  </w:style>
  <w:style w:type="character" w:customStyle="1" w:styleId="Sous-titreCar">
    <w:name w:val="Sous-titre Car"/>
    <w:basedOn w:val="Policepardfaut"/>
    <w:link w:val="Sous-titre"/>
    <w:uiPriority w:val="11"/>
    <w:rsid w:val="00737138"/>
    <w:rPr>
      <w:rFonts w:ascii="Georgia" w:eastAsia="Georgia" w:hAnsi="Georgia" w:cs="Georgia"/>
      <w:i/>
      <w:color w:val="666666"/>
      <w:position w:val="-1"/>
      <w:sz w:val="48"/>
      <w:szCs w:val="48"/>
    </w:rPr>
  </w:style>
  <w:style w:type="paragraph" w:styleId="Citation">
    <w:name w:val="Quote"/>
    <w:basedOn w:val="Normal"/>
    <w:next w:val="Normal"/>
    <w:link w:val="CitationCar"/>
    <w:uiPriority w:val="29"/>
    <w:qFormat/>
    <w:rsid w:val="00737138"/>
    <w:pPr>
      <w:spacing w:before="160" w:after="160" w:line="278" w:lineRule="auto"/>
      <w:jc w:val="center"/>
    </w:pPr>
    <w:rPr>
      <w:rFonts w:asciiTheme="minorHAnsi" w:eastAsiaTheme="minorHAnsi" w:hAnsiTheme="minorHAnsi" w:cstheme="minorBidi"/>
      <w:i/>
      <w:iCs/>
      <w:color w:val="404040" w:themeColor="text1" w:themeTint="BF"/>
      <w:kern w:val="2"/>
      <w:position w:val="0"/>
      <w:sz w:val="22"/>
      <w:szCs w:val="22"/>
      <w14:ligatures w14:val="standardContextual"/>
    </w:rPr>
  </w:style>
  <w:style w:type="character" w:customStyle="1" w:styleId="CitationCar">
    <w:name w:val="Citation Car"/>
    <w:basedOn w:val="Policepardfaut"/>
    <w:link w:val="Citation"/>
    <w:uiPriority w:val="29"/>
    <w:rsid w:val="00737138"/>
    <w:rPr>
      <w:rFonts w:asciiTheme="minorHAnsi" w:eastAsiaTheme="minorHAnsi" w:hAnsiTheme="minorHAnsi" w:cstheme="minorBidi"/>
      <w:i/>
      <w:iCs/>
      <w:color w:val="404040" w:themeColor="text1" w:themeTint="BF"/>
      <w:kern w:val="2"/>
      <w:sz w:val="22"/>
      <w:szCs w:val="22"/>
      <w14:ligatures w14:val="standardContextual"/>
    </w:rPr>
  </w:style>
  <w:style w:type="character" w:styleId="Emphaseintense">
    <w:name w:val="Intense Emphasis"/>
    <w:basedOn w:val="Policepardfaut"/>
    <w:uiPriority w:val="21"/>
    <w:qFormat/>
    <w:rsid w:val="00737138"/>
    <w:rPr>
      <w:i/>
      <w:iCs/>
      <w:color w:val="365F91" w:themeColor="accent1" w:themeShade="BF"/>
    </w:rPr>
  </w:style>
  <w:style w:type="paragraph" w:styleId="Citationintense">
    <w:name w:val="Intense Quote"/>
    <w:basedOn w:val="Normal"/>
    <w:next w:val="Normal"/>
    <w:link w:val="CitationintenseCar"/>
    <w:uiPriority w:val="30"/>
    <w:qFormat/>
    <w:rsid w:val="00737138"/>
    <w:pPr>
      <w:pBdr>
        <w:top w:val="single" w:sz="4" w:space="10" w:color="365F91" w:themeColor="accent1" w:themeShade="BF"/>
        <w:bottom w:val="single" w:sz="4" w:space="10" w:color="365F91" w:themeColor="accent1" w:themeShade="BF"/>
      </w:pBdr>
      <w:spacing w:before="360" w:after="360" w:line="278" w:lineRule="auto"/>
      <w:ind w:left="864" w:right="864"/>
      <w:jc w:val="center"/>
    </w:pPr>
    <w:rPr>
      <w:rFonts w:asciiTheme="minorHAnsi" w:eastAsiaTheme="minorHAnsi" w:hAnsiTheme="minorHAnsi" w:cstheme="minorBidi"/>
      <w:i/>
      <w:iCs/>
      <w:color w:val="365F91" w:themeColor="accent1" w:themeShade="BF"/>
      <w:kern w:val="2"/>
      <w:position w:val="0"/>
      <w:sz w:val="22"/>
      <w:szCs w:val="22"/>
      <w14:ligatures w14:val="standardContextual"/>
    </w:rPr>
  </w:style>
  <w:style w:type="character" w:customStyle="1" w:styleId="CitationintenseCar">
    <w:name w:val="Citation intense Car"/>
    <w:basedOn w:val="Policepardfaut"/>
    <w:link w:val="Citationintense"/>
    <w:uiPriority w:val="30"/>
    <w:rsid w:val="00737138"/>
    <w:rPr>
      <w:rFonts w:asciiTheme="minorHAnsi" w:eastAsiaTheme="minorHAnsi" w:hAnsiTheme="minorHAnsi" w:cstheme="minorBidi"/>
      <w:i/>
      <w:iCs/>
      <w:color w:val="365F91" w:themeColor="accent1" w:themeShade="BF"/>
      <w:kern w:val="2"/>
      <w:sz w:val="22"/>
      <w:szCs w:val="22"/>
      <w14:ligatures w14:val="standardContextual"/>
    </w:rPr>
  </w:style>
  <w:style w:type="character" w:styleId="Rfrenceintense">
    <w:name w:val="Intense Reference"/>
    <w:basedOn w:val="Policepardfaut"/>
    <w:uiPriority w:val="32"/>
    <w:qFormat/>
    <w:rsid w:val="00737138"/>
    <w:rPr>
      <w:b/>
      <w:bCs/>
      <w:smallCaps/>
      <w:color w:val="365F91" w:themeColor="accent1" w:themeShade="BF"/>
      <w:spacing w:val="5"/>
    </w:rPr>
  </w:style>
  <w:style w:type="character" w:styleId="Lienhypertexte">
    <w:name w:val="Hyperlink"/>
    <w:basedOn w:val="Policepardfaut"/>
    <w:uiPriority w:val="99"/>
    <w:unhideWhenUsed/>
    <w:rsid w:val="00737138"/>
    <w:rPr>
      <w:color w:val="0000FF" w:themeColor="hyperlink"/>
      <w:u w:val="single"/>
    </w:rPr>
  </w:style>
  <w:style w:type="character" w:customStyle="1" w:styleId="UnresolvedMention">
    <w:name w:val="Unresolved Mention"/>
    <w:basedOn w:val="Policepardfaut"/>
    <w:uiPriority w:val="99"/>
    <w:semiHidden/>
    <w:unhideWhenUsed/>
    <w:rsid w:val="00737138"/>
    <w:rPr>
      <w:color w:val="605E5C"/>
      <w:shd w:val="clear" w:color="auto" w:fill="E1DFDD"/>
    </w:rPr>
  </w:style>
  <w:style w:type="paragraph" w:styleId="Bibliographie">
    <w:name w:val="Bibliography"/>
    <w:basedOn w:val="Normal"/>
    <w:next w:val="Normal"/>
    <w:uiPriority w:val="37"/>
    <w:unhideWhenUsed/>
    <w:rsid w:val="00737138"/>
    <w:pPr>
      <w:spacing w:after="160" w:line="278" w:lineRule="auto"/>
    </w:pPr>
    <w:rPr>
      <w:rFonts w:asciiTheme="minorHAnsi" w:eastAsiaTheme="minorHAnsi" w:hAnsiTheme="minorHAnsi" w:cstheme="minorBidi"/>
      <w:kern w:val="2"/>
      <w:position w:val="0"/>
      <w:sz w:val="22"/>
      <w:szCs w:val="22"/>
      <w14:ligatures w14:val="standardContextual"/>
    </w:rPr>
  </w:style>
  <w:style w:type="character" w:styleId="Lienhypertextesuivivisit">
    <w:name w:val="FollowedHyperlink"/>
    <w:basedOn w:val="Policepardfaut"/>
    <w:uiPriority w:val="99"/>
    <w:semiHidden/>
    <w:unhideWhenUsed/>
    <w:rsid w:val="00737138"/>
    <w:rPr>
      <w:color w:val="800080" w:themeColor="followedHyperlink"/>
      <w:u w:val="single"/>
    </w:rPr>
  </w:style>
  <w:style w:type="paragraph" w:styleId="Lgende">
    <w:name w:val="caption"/>
    <w:basedOn w:val="Normal"/>
    <w:next w:val="Normal"/>
    <w:uiPriority w:val="35"/>
    <w:unhideWhenUsed/>
    <w:qFormat/>
    <w:rsid w:val="00737138"/>
    <w:pPr>
      <w:spacing w:after="200"/>
    </w:pPr>
    <w:rPr>
      <w:rFonts w:asciiTheme="minorHAnsi" w:eastAsiaTheme="minorHAnsi" w:hAnsiTheme="minorHAnsi" w:cstheme="minorBidi"/>
      <w:i/>
      <w:iCs/>
      <w:color w:val="1F497D" w:themeColor="text2"/>
      <w:kern w:val="2"/>
      <w:position w:val="0"/>
      <w:sz w:val="18"/>
      <w:szCs w:val="18"/>
      <w14:ligatures w14:val="standardContextual"/>
    </w:rPr>
  </w:style>
  <w:style w:type="character" w:customStyle="1" w:styleId="selected">
    <w:name w:val="selected"/>
    <w:basedOn w:val="Policepardfaut"/>
    <w:rsid w:val="00737138"/>
  </w:style>
  <w:style w:type="character" w:styleId="Accentuation">
    <w:name w:val="Emphasis"/>
    <w:basedOn w:val="Policepardfaut"/>
    <w:uiPriority w:val="20"/>
    <w:qFormat/>
    <w:rsid w:val="00737138"/>
    <w:rPr>
      <w:i/>
      <w:iCs/>
    </w:rPr>
  </w:style>
  <w:style w:type="paragraph" w:styleId="NormalWeb">
    <w:name w:val="Normal (Web)"/>
    <w:basedOn w:val="Normal"/>
    <w:uiPriority w:val="99"/>
    <w:unhideWhenUsed/>
    <w:rsid w:val="00737138"/>
    <w:pPr>
      <w:spacing w:before="100" w:beforeAutospacing="1" w:after="100" w:afterAutospacing="1"/>
    </w:pPr>
    <w:rPr>
      <w:position w:val="0"/>
    </w:rPr>
  </w:style>
  <w:style w:type="character" w:styleId="lev">
    <w:name w:val="Strong"/>
    <w:basedOn w:val="Policepardfaut"/>
    <w:uiPriority w:val="22"/>
    <w:qFormat/>
    <w:rsid w:val="00737138"/>
    <w:rPr>
      <w:b/>
      <w:bCs/>
    </w:rPr>
  </w:style>
  <w:style w:type="character" w:customStyle="1" w:styleId="fontstyle01">
    <w:name w:val="fontstyle01"/>
    <w:basedOn w:val="Policepardfaut"/>
    <w:rsid w:val="00737138"/>
    <w:rPr>
      <w:rFonts w:ascii="STIX-Regular" w:hAnsi="STIX-Regular" w:hint="default"/>
      <w:b w:val="0"/>
      <w:bCs w:val="0"/>
      <w:i w:val="0"/>
      <w:iCs w:val="0"/>
      <w:color w:val="000000"/>
      <w:sz w:val="20"/>
      <w:szCs w:val="20"/>
    </w:rPr>
  </w:style>
  <w:style w:type="table" w:styleId="TableauGrille4-Accentuation5">
    <w:name w:val="Grid Table 4 Accent 5"/>
    <w:basedOn w:val="TableauNormal"/>
    <w:uiPriority w:val="49"/>
    <w:rsid w:val="00737138"/>
    <w:rPr>
      <w:rFonts w:asciiTheme="minorHAnsi" w:eastAsiaTheme="minorHAnsi" w:hAnsiTheme="minorHAnsi" w:cstheme="minorBidi"/>
      <w:kern w:val="2"/>
      <w:sz w:val="22"/>
      <w:szCs w:val="22"/>
      <w14:ligatures w14:val="standardContextual"/>
    </w:rPr>
    <w:tblPr>
      <w:tblStyleRowBandSize w:val="1"/>
      <w:tblStyleColBandSize w:val="1"/>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Pr>
    <w:tblStylePr w:type="firstRow">
      <w:rPr>
        <w:b/>
        <w:bCs/>
        <w:color w:val="FFFFFF" w:themeColor="background1"/>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insideH w:val="nil"/>
          <w:insideV w:val="nil"/>
        </w:tcBorders>
        <w:shd w:val="clear" w:color="auto" w:fill="4BACC6" w:themeFill="accent5"/>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TableauGrille2-Accentuation3">
    <w:name w:val="Grid Table 2 Accent 3"/>
    <w:basedOn w:val="TableauNormal"/>
    <w:uiPriority w:val="47"/>
    <w:rsid w:val="00737138"/>
    <w:rPr>
      <w:rFonts w:asciiTheme="minorHAnsi" w:eastAsiaTheme="minorHAnsi" w:hAnsiTheme="minorHAnsi" w:cstheme="minorBidi"/>
      <w:kern w:val="2"/>
      <w:sz w:val="22"/>
      <w:szCs w:val="22"/>
      <w14:ligatures w14:val="standardContextual"/>
    </w:rPr>
    <w:tblPr>
      <w:tblStyleRowBandSize w:val="1"/>
      <w:tblStyleColBandSize w:val="1"/>
      <w:tblBorders>
        <w:top w:val="single" w:sz="2" w:space="0" w:color="C2D69B" w:themeColor="accent3" w:themeTint="99"/>
        <w:bottom w:val="single" w:sz="2" w:space="0" w:color="C2D69B" w:themeColor="accent3" w:themeTint="99"/>
        <w:insideH w:val="single" w:sz="2" w:space="0" w:color="C2D69B" w:themeColor="accent3" w:themeTint="99"/>
        <w:insideV w:val="single" w:sz="2" w:space="0" w:color="C2D69B" w:themeColor="accent3" w:themeTint="99"/>
      </w:tblBorders>
    </w:tblPr>
    <w:tblStylePr w:type="firstRow">
      <w:rPr>
        <w:b/>
        <w:bCs/>
      </w:rPr>
      <w:tblPr/>
      <w:tcPr>
        <w:tcBorders>
          <w:top w:val="nil"/>
          <w:bottom w:val="single" w:sz="12" w:space="0" w:color="C2D69B" w:themeColor="accent3" w:themeTint="99"/>
          <w:insideH w:val="nil"/>
          <w:insideV w:val="nil"/>
        </w:tcBorders>
        <w:shd w:val="clear" w:color="auto" w:fill="FFFFFF" w:themeFill="background1"/>
      </w:tcPr>
    </w:tblStylePr>
    <w:tblStylePr w:type="lastRow">
      <w:rPr>
        <w:b/>
        <w:bCs/>
      </w:rPr>
      <w:tblPr/>
      <w:tcPr>
        <w:tcBorders>
          <w:top w:val="double" w:sz="2" w:space="0" w:color="C2D69B"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TableauGrille1Clair-Accentuation3">
    <w:name w:val="Grid Table 1 Light Accent 3"/>
    <w:basedOn w:val="TableauNormal"/>
    <w:uiPriority w:val="46"/>
    <w:rsid w:val="00737138"/>
    <w:rPr>
      <w:rFonts w:asciiTheme="minorHAnsi" w:eastAsiaTheme="minorHAnsi" w:hAnsiTheme="minorHAnsi" w:cstheme="minorBidi"/>
      <w:kern w:val="2"/>
      <w:sz w:val="22"/>
      <w:szCs w:val="22"/>
      <w14:ligatures w14:val="standardContextual"/>
    </w:rPr>
    <w:tblPr>
      <w:tblStyleRowBandSize w:val="1"/>
      <w:tblStyleColBandSize w:val="1"/>
      <w:tblBorders>
        <w:top w:val="single" w:sz="4" w:space="0" w:color="D6E3BC" w:themeColor="accent3" w:themeTint="66"/>
        <w:left w:val="single" w:sz="4" w:space="0" w:color="D6E3BC" w:themeColor="accent3" w:themeTint="66"/>
        <w:bottom w:val="single" w:sz="4" w:space="0" w:color="D6E3BC" w:themeColor="accent3" w:themeTint="66"/>
        <w:right w:val="single" w:sz="4" w:space="0" w:color="D6E3BC" w:themeColor="accent3" w:themeTint="66"/>
        <w:insideH w:val="single" w:sz="4" w:space="0" w:color="D6E3BC" w:themeColor="accent3" w:themeTint="66"/>
        <w:insideV w:val="single" w:sz="4" w:space="0" w:color="D6E3BC" w:themeColor="accent3" w:themeTint="66"/>
      </w:tblBorders>
    </w:tblPr>
    <w:tblStylePr w:type="firstRow">
      <w:rPr>
        <w:b/>
        <w:bCs/>
      </w:rPr>
      <w:tblPr/>
      <w:tcPr>
        <w:tcBorders>
          <w:bottom w:val="single" w:sz="12" w:space="0" w:color="C2D69B" w:themeColor="accent3" w:themeTint="99"/>
        </w:tcBorders>
      </w:tcPr>
    </w:tblStylePr>
    <w:tblStylePr w:type="lastRow">
      <w:rPr>
        <w:b/>
        <w:bCs/>
      </w:rPr>
      <w:tblPr/>
      <w:tcPr>
        <w:tcBorders>
          <w:top w:val="double" w:sz="2" w:space="0" w:color="C2D69B" w:themeColor="accent3" w:themeTint="99"/>
        </w:tcBorders>
      </w:tcPr>
    </w:tblStylePr>
    <w:tblStylePr w:type="firstCol">
      <w:rPr>
        <w:b/>
        <w:bCs/>
      </w:rPr>
    </w:tblStylePr>
    <w:tblStylePr w:type="lastCol">
      <w:rPr>
        <w:b/>
        <w:bCs/>
      </w:rPr>
    </w:tblStylePr>
  </w:style>
  <w:style w:type="table" w:styleId="TableauGrille3-Accentuation3">
    <w:name w:val="Grid Table 3 Accent 3"/>
    <w:basedOn w:val="TableauNormal"/>
    <w:uiPriority w:val="48"/>
    <w:rsid w:val="00737138"/>
    <w:rPr>
      <w:rFonts w:asciiTheme="minorHAnsi" w:eastAsiaTheme="minorHAnsi" w:hAnsiTheme="minorHAnsi" w:cstheme="minorBidi"/>
      <w:kern w:val="2"/>
      <w:sz w:val="22"/>
      <w:szCs w:val="22"/>
      <w14:ligatures w14:val="standardContextual"/>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AF1DD" w:themeFill="accent3" w:themeFillTint="33"/>
      </w:tcPr>
    </w:tblStylePr>
    <w:tblStylePr w:type="band1Horz">
      <w:tblPr/>
      <w:tcPr>
        <w:shd w:val="clear" w:color="auto" w:fill="EAF1DD" w:themeFill="accent3" w:themeFillTint="33"/>
      </w:tcPr>
    </w:tblStylePr>
    <w:tblStylePr w:type="neCell">
      <w:tblPr/>
      <w:tcPr>
        <w:tcBorders>
          <w:bottom w:val="single" w:sz="4" w:space="0" w:color="C2D69B" w:themeColor="accent3" w:themeTint="99"/>
        </w:tcBorders>
      </w:tcPr>
    </w:tblStylePr>
    <w:tblStylePr w:type="nwCell">
      <w:tblPr/>
      <w:tcPr>
        <w:tcBorders>
          <w:bottom w:val="single" w:sz="4" w:space="0" w:color="C2D69B" w:themeColor="accent3" w:themeTint="99"/>
        </w:tcBorders>
      </w:tcPr>
    </w:tblStylePr>
    <w:tblStylePr w:type="seCell">
      <w:tblPr/>
      <w:tcPr>
        <w:tcBorders>
          <w:top w:val="single" w:sz="4" w:space="0" w:color="C2D69B" w:themeColor="accent3" w:themeTint="99"/>
        </w:tcBorders>
      </w:tcPr>
    </w:tblStylePr>
    <w:tblStylePr w:type="swCell">
      <w:tblPr/>
      <w:tcPr>
        <w:tcBorders>
          <w:top w:val="single" w:sz="4" w:space="0" w:color="C2D69B" w:themeColor="accent3" w:themeTint="99"/>
        </w:tcBorders>
      </w:tcPr>
    </w:tblStylePr>
  </w:style>
  <w:style w:type="table" w:styleId="Tableausimple5">
    <w:name w:val="Plain Table 5"/>
    <w:basedOn w:val="TableauNormal"/>
    <w:uiPriority w:val="45"/>
    <w:rsid w:val="00737138"/>
    <w:rPr>
      <w:rFonts w:asciiTheme="minorHAnsi" w:eastAsiaTheme="minorHAnsi" w:hAnsiTheme="minorHAnsi" w:cstheme="minorBidi"/>
      <w:kern w:val="2"/>
      <w:sz w:val="22"/>
      <w:szCs w:val="22"/>
      <w14:ligatures w14:val="standardContextual"/>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eausimple4">
    <w:name w:val="Plain Table 4"/>
    <w:basedOn w:val="TableauNormal"/>
    <w:uiPriority w:val="44"/>
    <w:rsid w:val="00737138"/>
    <w:rPr>
      <w:rFonts w:asciiTheme="minorHAnsi" w:eastAsiaTheme="minorHAnsi" w:hAnsiTheme="minorHAnsi" w:cstheme="minorBidi"/>
      <w:kern w:val="2"/>
      <w:sz w:val="22"/>
      <w:szCs w:val="22"/>
      <w14:ligatures w14:val="standardContextual"/>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eausimple2">
    <w:name w:val="Plain Table 2"/>
    <w:basedOn w:val="TableauNormal"/>
    <w:uiPriority w:val="42"/>
    <w:rsid w:val="00737138"/>
    <w:rPr>
      <w:rFonts w:asciiTheme="majorBidi" w:eastAsiaTheme="minorHAnsi" w:hAnsiTheme="majorBidi" w:cstheme="minorBidi"/>
      <w:kern w:val="2"/>
      <w:szCs w:val="22"/>
      <w14:ligatures w14:val="standardContextual"/>
    </w:rPr>
    <w:tblPr>
      <w:tblStyleRowBandSize w:val="1"/>
      <w:tblStyleColBandSize w:val="1"/>
      <w:tblBorders>
        <w:top w:val="double" w:sz="4" w:space="0" w:color="auto"/>
        <w:bottom w:val="double" w:sz="4" w:space="0" w:color="auto"/>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Style1">
    <w:name w:val="Style1"/>
    <w:basedOn w:val="TableauNormal"/>
    <w:uiPriority w:val="99"/>
    <w:rsid w:val="00737138"/>
    <w:rPr>
      <w:rFonts w:asciiTheme="minorHAnsi" w:eastAsiaTheme="minorHAnsi" w:hAnsiTheme="minorHAnsi" w:cstheme="minorBidi"/>
      <w:kern w:val="2"/>
      <w:sz w:val="22"/>
      <w:szCs w:val="22"/>
      <w14:ligatures w14:val="standardContextual"/>
    </w:rPr>
    <w:tblPr>
      <w:tblBorders>
        <w:top w:val="thinThickThinLargeGap" w:sz="24" w:space="0" w:color="auto"/>
        <w:left w:val="thinThickThinLargeGap" w:sz="24" w:space="0" w:color="auto"/>
        <w:bottom w:val="thinThickThinLargeGap" w:sz="24" w:space="0" w:color="auto"/>
        <w:right w:val="thinThickThinLargeGap" w:sz="24" w:space="0" w:color="auto"/>
      </w:tblBorders>
    </w:tblPr>
  </w:style>
  <w:style w:type="table" w:styleId="TableauGrille1Clair">
    <w:name w:val="Grid Table 1 Light"/>
    <w:basedOn w:val="TableauNormal"/>
    <w:uiPriority w:val="46"/>
    <w:rsid w:val="00737138"/>
    <w:rPr>
      <w:rFonts w:asciiTheme="minorHAnsi" w:eastAsiaTheme="minorHAnsi" w:hAnsiTheme="minorHAnsi" w:cstheme="minorBidi"/>
      <w:kern w:val="2"/>
      <w:sz w:val="22"/>
      <w:szCs w:val="22"/>
      <w14:ligatures w14:val="standardContextual"/>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TableauGrille4-Accentuation1">
    <w:name w:val="Grid Table 4 Accent 1"/>
    <w:basedOn w:val="TableauNormal"/>
    <w:uiPriority w:val="49"/>
    <w:rsid w:val="00737138"/>
    <w:rPr>
      <w:rFonts w:asciiTheme="minorHAnsi" w:eastAsiaTheme="minorHAnsi" w:hAnsiTheme="minorHAnsi" w:cstheme="minorBidi"/>
      <w:kern w:val="2"/>
      <w:sz w:val="22"/>
      <w:szCs w:val="22"/>
      <w14:ligatures w14:val="standardContextual"/>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paragraph" w:styleId="En-tte">
    <w:name w:val="header"/>
    <w:basedOn w:val="Normal"/>
    <w:link w:val="En-tteCar"/>
    <w:uiPriority w:val="99"/>
    <w:unhideWhenUsed/>
    <w:rsid w:val="00737138"/>
    <w:pPr>
      <w:tabs>
        <w:tab w:val="center" w:pos="4680"/>
        <w:tab w:val="right" w:pos="9360"/>
      </w:tabs>
    </w:pPr>
    <w:rPr>
      <w:rFonts w:asciiTheme="minorHAnsi" w:eastAsiaTheme="minorHAnsi" w:hAnsiTheme="minorHAnsi" w:cstheme="minorBidi"/>
      <w:kern w:val="2"/>
      <w:position w:val="0"/>
      <w:sz w:val="22"/>
      <w:szCs w:val="22"/>
      <w14:ligatures w14:val="standardContextual"/>
    </w:rPr>
  </w:style>
  <w:style w:type="character" w:customStyle="1" w:styleId="En-tteCar">
    <w:name w:val="En-tête Car"/>
    <w:basedOn w:val="Policepardfaut"/>
    <w:link w:val="En-tte"/>
    <w:uiPriority w:val="99"/>
    <w:rsid w:val="00737138"/>
    <w:rPr>
      <w:rFonts w:asciiTheme="minorHAnsi" w:eastAsiaTheme="minorHAnsi" w:hAnsiTheme="minorHAnsi" w:cstheme="minorBidi"/>
      <w:kern w:val="2"/>
      <w:sz w:val="22"/>
      <w:szCs w:val="22"/>
      <w14:ligatures w14:val="standardContextual"/>
    </w:rPr>
  </w:style>
  <w:style w:type="paragraph" w:styleId="Pieddepage">
    <w:name w:val="footer"/>
    <w:basedOn w:val="Normal"/>
    <w:link w:val="PieddepageCar"/>
    <w:uiPriority w:val="99"/>
    <w:unhideWhenUsed/>
    <w:rsid w:val="00737138"/>
    <w:pPr>
      <w:tabs>
        <w:tab w:val="center" w:pos="4680"/>
        <w:tab w:val="right" w:pos="9360"/>
      </w:tabs>
    </w:pPr>
    <w:rPr>
      <w:rFonts w:asciiTheme="minorHAnsi" w:eastAsiaTheme="minorHAnsi" w:hAnsiTheme="minorHAnsi" w:cstheme="minorBidi"/>
      <w:kern w:val="2"/>
      <w:position w:val="0"/>
      <w:sz w:val="22"/>
      <w:szCs w:val="22"/>
      <w14:ligatures w14:val="standardContextual"/>
    </w:rPr>
  </w:style>
  <w:style w:type="character" w:customStyle="1" w:styleId="PieddepageCar">
    <w:name w:val="Pied de page Car"/>
    <w:basedOn w:val="Policepardfaut"/>
    <w:link w:val="Pieddepage"/>
    <w:uiPriority w:val="99"/>
    <w:rsid w:val="00737138"/>
    <w:rPr>
      <w:rFonts w:asciiTheme="minorHAnsi" w:eastAsiaTheme="minorHAnsi" w:hAnsiTheme="minorHAnsi" w:cstheme="minorBidi"/>
      <w:kern w:val="2"/>
      <w:sz w:val="22"/>
      <w:szCs w:val="22"/>
      <w14:ligatures w14:val="standardContextual"/>
    </w:rPr>
  </w:style>
  <w:style w:type="table" w:customStyle="1" w:styleId="TableGrid1">
    <w:name w:val="Table Grid1"/>
    <w:basedOn w:val="TableauNormal"/>
    <w:next w:val="Grilledutableau"/>
    <w:uiPriority w:val="39"/>
    <w:rsid w:val="00737138"/>
    <w:rPr>
      <w:rFonts w:asciiTheme="minorHAnsi" w:eastAsiaTheme="minorHAnsi" w:hAnsiTheme="minorHAnsi" w:cstheme="minorBidi"/>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ttedetabledesmatires">
    <w:name w:val="TOC Heading"/>
    <w:basedOn w:val="Titre1"/>
    <w:next w:val="Normal"/>
    <w:uiPriority w:val="39"/>
    <w:unhideWhenUsed/>
    <w:qFormat/>
    <w:rsid w:val="00737138"/>
    <w:pPr>
      <w:keepLines/>
      <w:spacing w:before="240" w:line="259" w:lineRule="auto"/>
      <w:ind w:left="432" w:hanging="432"/>
      <w:outlineLvl w:val="9"/>
    </w:pPr>
    <w:rPr>
      <w:rFonts w:eastAsiaTheme="majorEastAsia"/>
      <w:bCs w:val="0"/>
      <w:color w:val="000000" w:themeColor="text1"/>
      <w:position w:val="0"/>
      <w:sz w:val="32"/>
      <w:szCs w:val="32"/>
      <w:lang w:bidi="ar-SA"/>
    </w:rPr>
  </w:style>
  <w:style w:type="paragraph" w:styleId="TM1">
    <w:name w:val="toc 1"/>
    <w:basedOn w:val="Normal"/>
    <w:next w:val="Normal"/>
    <w:autoRedefine/>
    <w:uiPriority w:val="39"/>
    <w:unhideWhenUsed/>
    <w:rsid w:val="00691526"/>
    <w:pPr>
      <w:tabs>
        <w:tab w:val="right" w:leader="dot" w:pos="9016"/>
      </w:tabs>
      <w:spacing w:after="100" w:line="278" w:lineRule="auto"/>
    </w:pPr>
    <w:rPr>
      <w:rFonts w:eastAsiaTheme="minorHAnsi" w:cstheme="minorBidi"/>
      <w:noProof/>
      <w:kern w:val="2"/>
      <w:position w:val="0"/>
      <w:sz w:val="22"/>
      <w:szCs w:val="22"/>
      <w14:ligatures w14:val="standardContextual"/>
    </w:rPr>
  </w:style>
  <w:style w:type="paragraph" w:styleId="Tabledesillustrations">
    <w:name w:val="table of figures"/>
    <w:basedOn w:val="Normal"/>
    <w:next w:val="Normal"/>
    <w:uiPriority w:val="99"/>
    <w:unhideWhenUsed/>
    <w:rsid w:val="00737138"/>
    <w:pPr>
      <w:spacing w:line="278" w:lineRule="auto"/>
    </w:pPr>
    <w:rPr>
      <w:rFonts w:asciiTheme="minorHAnsi" w:eastAsiaTheme="minorHAnsi" w:hAnsiTheme="minorHAnsi" w:cstheme="minorBidi"/>
      <w:kern w:val="2"/>
      <w:position w:val="0"/>
      <w:sz w:val="22"/>
      <w:szCs w:val="22"/>
      <w14:ligatures w14:val="standardContextual"/>
    </w:rPr>
  </w:style>
  <w:style w:type="character" w:styleId="Numrodeligne">
    <w:name w:val="line number"/>
    <w:basedOn w:val="Policepardfaut"/>
    <w:uiPriority w:val="99"/>
    <w:semiHidden/>
    <w:unhideWhenUsed/>
    <w:rsid w:val="00737138"/>
  </w:style>
  <w:style w:type="paragraph" w:styleId="TM2">
    <w:name w:val="toc 2"/>
    <w:basedOn w:val="Normal"/>
    <w:next w:val="Normal"/>
    <w:autoRedefine/>
    <w:uiPriority w:val="39"/>
    <w:unhideWhenUsed/>
    <w:rsid w:val="00737138"/>
    <w:pPr>
      <w:spacing w:after="100" w:line="259" w:lineRule="auto"/>
      <w:ind w:left="220"/>
    </w:pPr>
    <w:rPr>
      <w:rFonts w:asciiTheme="minorHAnsi" w:eastAsiaTheme="minorEastAsia" w:hAnsiTheme="minorHAnsi"/>
      <w:position w:val="0"/>
      <w:sz w:val="22"/>
      <w:szCs w:val="22"/>
    </w:rPr>
  </w:style>
  <w:style w:type="paragraph" w:styleId="TM3">
    <w:name w:val="toc 3"/>
    <w:basedOn w:val="Normal"/>
    <w:next w:val="Normal"/>
    <w:autoRedefine/>
    <w:uiPriority w:val="39"/>
    <w:unhideWhenUsed/>
    <w:rsid w:val="00737138"/>
    <w:pPr>
      <w:spacing w:after="100" w:line="259" w:lineRule="auto"/>
      <w:ind w:left="440"/>
    </w:pPr>
    <w:rPr>
      <w:rFonts w:asciiTheme="minorHAnsi" w:eastAsiaTheme="minorEastAsia" w:hAnsiTheme="minorHAnsi"/>
      <w:position w:val="0"/>
      <w:sz w:val="22"/>
      <w:szCs w:val="22"/>
    </w:rPr>
  </w:style>
  <w:style w:type="paragraph" w:styleId="TM4">
    <w:name w:val="toc 4"/>
    <w:basedOn w:val="Normal"/>
    <w:next w:val="Normal"/>
    <w:autoRedefine/>
    <w:uiPriority w:val="39"/>
    <w:unhideWhenUsed/>
    <w:rsid w:val="00737138"/>
    <w:pPr>
      <w:spacing w:after="100" w:line="278" w:lineRule="auto"/>
      <w:ind w:left="720"/>
    </w:pPr>
    <w:rPr>
      <w:rFonts w:asciiTheme="minorHAnsi" w:eastAsiaTheme="minorEastAsia" w:hAnsiTheme="minorHAnsi" w:cstheme="minorBidi"/>
      <w:kern w:val="2"/>
      <w:position w:val="0"/>
      <w14:ligatures w14:val="standardContextual"/>
    </w:rPr>
  </w:style>
  <w:style w:type="paragraph" w:styleId="TM5">
    <w:name w:val="toc 5"/>
    <w:basedOn w:val="Normal"/>
    <w:next w:val="Normal"/>
    <w:autoRedefine/>
    <w:uiPriority w:val="39"/>
    <w:unhideWhenUsed/>
    <w:rsid w:val="00737138"/>
    <w:pPr>
      <w:spacing w:after="100" w:line="278" w:lineRule="auto"/>
      <w:ind w:left="960"/>
    </w:pPr>
    <w:rPr>
      <w:rFonts w:asciiTheme="minorHAnsi" w:eastAsiaTheme="minorEastAsia" w:hAnsiTheme="minorHAnsi" w:cstheme="minorBidi"/>
      <w:kern w:val="2"/>
      <w:position w:val="0"/>
      <w14:ligatures w14:val="standardContextual"/>
    </w:rPr>
  </w:style>
  <w:style w:type="paragraph" w:styleId="TM6">
    <w:name w:val="toc 6"/>
    <w:basedOn w:val="Normal"/>
    <w:next w:val="Normal"/>
    <w:autoRedefine/>
    <w:uiPriority w:val="39"/>
    <w:unhideWhenUsed/>
    <w:rsid w:val="00737138"/>
    <w:pPr>
      <w:spacing w:after="100" w:line="278" w:lineRule="auto"/>
      <w:ind w:left="1200"/>
    </w:pPr>
    <w:rPr>
      <w:rFonts w:asciiTheme="minorHAnsi" w:eastAsiaTheme="minorEastAsia" w:hAnsiTheme="minorHAnsi" w:cstheme="minorBidi"/>
      <w:kern w:val="2"/>
      <w:position w:val="0"/>
      <w14:ligatures w14:val="standardContextual"/>
    </w:rPr>
  </w:style>
  <w:style w:type="paragraph" w:styleId="TM7">
    <w:name w:val="toc 7"/>
    <w:basedOn w:val="Normal"/>
    <w:next w:val="Normal"/>
    <w:autoRedefine/>
    <w:uiPriority w:val="39"/>
    <w:unhideWhenUsed/>
    <w:rsid w:val="00737138"/>
    <w:pPr>
      <w:spacing w:after="100" w:line="278" w:lineRule="auto"/>
      <w:ind w:left="1440"/>
    </w:pPr>
    <w:rPr>
      <w:rFonts w:asciiTheme="minorHAnsi" w:eastAsiaTheme="minorEastAsia" w:hAnsiTheme="minorHAnsi" w:cstheme="minorBidi"/>
      <w:kern w:val="2"/>
      <w:position w:val="0"/>
      <w14:ligatures w14:val="standardContextual"/>
    </w:rPr>
  </w:style>
  <w:style w:type="paragraph" w:styleId="TM8">
    <w:name w:val="toc 8"/>
    <w:basedOn w:val="Normal"/>
    <w:next w:val="Normal"/>
    <w:autoRedefine/>
    <w:uiPriority w:val="39"/>
    <w:unhideWhenUsed/>
    <w:rsid w:val="00737138"/>
    <w:pPr>
      <w:spacing w:after="100" w:line="278" w:lineRule="auto"/>
      <w:ind w:left="1680"/>
    </w:pPr>
    <w:rPr>
      <w:rFonts w:asciiTheme="minorHAnsi" w:eastAsiaTheme="minorEastAsia" w:hAnsiTheme="minorHAnsi" w:cstheme="minorBidi"/>
      <w:kern w:val="2"/>
      <w:position w:val="0"/>
      <w14:ligatures w14:val="standardContextual"/>
    </w:rPr>
  </w:style>
  <w:style w:type="paragraph" w:styleId="TM9">
    <w:name w:val="toc 9"/>
    <w:basedOn w:val="Normal"/>
    <w:next w:val="Normal"/>
    <w:autoRedefine/>
    <w:uiPriority w:val="39"/>
    <w:unhideWhenUsed/>
    <w:rsid w:val="00737138"/>
    <w:pPr>
      <w:spacing w:after="100" w:line="278" w:lineRule="auto"/>
      <w:ind w:left="1920"/>
    </w:pPr>
    <w:rPr>
      <w:rFonts w:asciiTheme="minorHAnsi" w:eastAsiaTheme="minorEastAsia" w:hAnsiTheme="minorHAnsi" w:cstheme="minorBidi"/>
      <w:kern w:val="2"/>
      <w:position w:val="0"/>
      <w14:ligatures w14:val="standardContextual"/>
    </w:rPr>
  </w:style>
  <w:style w:type="table" w:customStyle="1" w:styleId="TableGrid2">
    <w:name w:val="Table Grid2"/>
    <w:basedOn w:val="TableauNormal"/>
    <w:next w:val="Grilledutableau"/>
    <w:uiPriority w:val="39"/>
    <w:rsid w:val="00737138"/>
    <w:rPr>
      <w:rFonts w:asciiTheme="minorHAnsi" w:eastAsiaTheme="minorHAnsi" w:hAnsiTheme="minorHAnsi" w:cstheme="minorBidi"/>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auNormal"/>
    <w:next w:val="Grilledutableau"/>
    <w:uiPriority w:val="39"/>
    <w:rsid w:val="00CF3DB4"/>
    <w:rPr>
      <w:rFonts w:ascii="Calibri" w:eastAsia="Calibri" w:hAnsi="Calibri" w:cs="Arial"/>
      <w:kern w:val="2"/>
      <w:sz w:val="22"/>
      <w:szCs w:val="2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
    <w:name w:val="No List1"/>
    <w:next w:val="Aucuneliste"/>
    <w:uiPriority w:val="99"/>
    <w:semiHidden/>
    <w:unhideWhenUsed/>
    <w:rsid w:val="00D50069"/>
  </w:style>
  <w:style w:type="table" w:customStyle="1" w:styleId="TableGrid4">
    <w:name w:val="Table Grid4"/>
    <w:basedOn w:val="TableauNormal"/>
    <w:next w:val="Grilledutableau"/>
    <w:uiPriority w:val="39"/>
    <w:rsid w:val="00D50069"/>
    <w:rPr>
      <w:rFonts w:ascii="Calibri" w:eastAsia="Calibri" w:hAnsi="Calibri" w:cs="Arial"/>
      <w:kern w:val="2"/>
      <w:sz w:val="22"/>
      <w:szCs w:val="2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1945002">
      <w:bodyDiv w:val="1"/>
      <w:marLeft w:val="0"/>
      <w:marRight w:val="0"/>
      <w:marTop w:val="0"/>
      <w:marBottom w:val="0"/>
      <w:divBdr>
        <w:top w:val="none" w:sz="0" w:space="0" w:color="auto"/>
        <w:left w:val="none" w:sz="0" w:space="0" w:color="auto"/>
        <w:bottom w:val="none" w:sz="0" w:space="0" w:color="auto"/>
        <w:right w:val="none" w:sz="0" w:space="0" w:color="auto"/>
      </w:divBdr>
    </w:div>
    <w:div w:id="163597536">
      <w:bodyDiv w:val="1"/>
      <w:marLeft w:val="0"/>
      <w:marRight w:val="0"/>
      <w:marTop w:val="0"/>
      <w:marBottom w:val="0"/>
      <w:divBdr>
        <w:top w:val="none" w:sz="0" w:space="0" w:color="auto"/>
        <w:left w:val="none" w:sz="0" w:space="0" w:color="auto"/>
        <w:bottom w:val="none" w:sz="0" w:space="0" w:color="auto"/>
        <w:right w:val="none" w:sz="0" w:space="0" w:color="auto"/>
      </w:divBdr>
    </w:div>
    <w:div w:id="501088985">
      <w:bodyDiv w:val="1"/>
      <w:marLeft w:val="0"/>
      <w:marRight w:val="0"/>
      <w:marTop w:val="0"/>
      <w:marBottom w:val="0"/>
      <w:divBdr>
        <w:top w:val="none" w:sz="0" w:space="0" w:color="auto"/>
        <w:left w:val="none" w:sz="0" w:space="0" w:color="auto"/>
        <w:bottom w:val="none" w:sz="0" w:space="0" w:color="auto"/>
        <w:right w:val="none" w:sz="0" w:space="0" w:color="auto"/>
      </w:divBdr>
    </w:div>
    <w:div w:id="510337000">
      <w:bodyDiv w:val="1"/>
      <w:marLeft w:val="0"/>
      <w:marRight w:val="0"/>
      <w:marTop w:val="0"/>
      <w:marBottom w:val="0"/>
      <w:divBdr>
        <w:top w:val="none" w:sz="0" w:space="0" w:color="auto"/>
        <w:left w:val="none" w:sz="0" w:space="0" w:color="auto"/>
        <w:bottom w:val="none" w:sz="0" w:space="0" w:color="auto"/>
        <w:right w:val="none" w:sz="0" w:space="0" w:color="auto"/>
      </w:divBdr>
    </w:div>
    <w:div w:id="572082423">
      <w:bodyDiv w:val="1"/>
      <w:marLeft w:val="0"/>
      <w:marRight w:val="0"/>
      <w:marTop w:val="0"/>
      <w:marBottom w:val="0"/>
      <w:divBdr>
        <w:top w:val="none" w:sz="0" w:space="0" w:color="auto"/>
        <w:left w:val="none" w:sz="0" w:space="0" w:color="auto"/>
        <w:bottom w:val="none" w:sz="0" w:space="0" w:color="auto"/>
        <w:right w:val="none" w:sz="0" w:space="0" w:color="auto"/>
      </w:divBdr>
    </w:div>
    <w:div w:id="664548017">
      <w:bodyDiv w:val="1"/>
      <w:marLeft w:val="0"/>
      <w:marRight w:val="0"/>
      <w:marTop w:val="0"/>
      <w:marBottom w:val="0"/>
      <w:divBdr>
        <w:top w:val="none" w:sz="0" w:space="0" w:color="auto"/>
        <w:left w:val="none" w:sz="0" w:space="0" w:color="auto"/>
        <w:bottom w:val="none" w:sz="0" w:space="0" w:color="auto"/>
        <w:right w:val="none" w:sz="0" w:space="0" w:color="auto"/>
      </w:divBdr>
    </w:div>
    <w:div w:id="671568468">
      <w:bodyDiv w:val="1"/>
      <w:marLeft w:val="0"/>
      <w:marRight w:val="0"/>
      <w:marTop w:val="0"/>
      <w:marBottom w:val="0"/>
      <w:divBdr>
        <w:top w:val="none" w:sz="0" w:space="0" w:color="auto"/>
        <w:left w:val="none" w:sz="0" w:space="0" w:color="auto"/>
        <w:bottom w:val="none" w:sz="0" w:space="0" w:color="auto"/>
        <w:right w:val="none" w:sz="0" w:space="0" w:color="auto"/>
      </w:divBdr>
    </w:div>
    <w:div w:id="699555387">
      <w:bodyDiv w:val="1"/>
      <w:marLeft w:val="0"/>
      <w:marRight w:val="0"/>
      <w:marTop w:val="0"/>
      <w:marBottom w:val="0"/>
      <w:divBdr>
        <w:top w:val="none" w:sz="0" w:space="0" w:color="auto"/>
        <w:left w:val="none" w:sz="0" w:space="0" w:color="auto"/>
        <w:bottom w:val="none" w:sz="0" w:space="0" w:color="auto"/>
        <w:right w:val="none" w:sz="0" w:space="0" w:color="auto"/>
      </w:divBdr>
    </w:div>
    <w:div w:id="816413019">
      <w:bodyDiv w:val="1"/>
      <w:marLeft w:val="0"/>
      <w:marRight w:val="0"/>
      <w:marTop w:val="0"/>
      <w:marBottom w:val="0"/>
      <w:divBdr>
        <w:top w:val="none" w:sz="0" w:space="0" w:color="auto"/>
        <w:left w:val="none" w:sz="0" w:space="0" w:color="auto"/>
        <w:bottom w:val="none" w:sz="0" w:space="0" w:color="auto"/>
        <w:right w:val="none" w:sz="0" w:space="0" w:color="auto"/>
      </w:divBdr>
    </w:div>
    <w:div w:id="982930781">
      <w:bodyDiv w:val="1"/>
      <w:marLeft w:val="0"/>
      <w:marRight w:val="0"/>
      <w:marTop w:val="0"/>
      <w:marBottom w:val="0"/>
      <w:divBdr>
        <w:top w:val="none" w:sz="0" w:space="0" w:color="auto"/>
        <w:left w:val="none" w:sz="0" w:space="0" w:color="auto"/>
        <w:bottom w:val="none" w:sz="0" w:space="0" w:color="auto"/>
        <w:right w:val="none" w:sz="0" w:space="0" w:color="auto"/>
      </w:divBdr>
    </w:div>
    <w:div w:id="1037700961">
      <w:bodyDiv w:val="1"/>
      <w:marLeft w:val="0"/>
      <w:marRight w:val="0"/>
      <w:marTop w:val="0"/>
      <w:marBottom w:val="0"/>
      <w:divBdr>
        <w:top w:val="none" w:sz="0" w:space="0" w:color="auto"/>
        <w:left w:val="none" w:sz="0" w:space="0" w:color="auto"/>
        <w:bottom w:val="none" w:sz="0" w:space="0" w:color="auto"/>
        <w:right w:val="none" w:sz="0" w:space="0" w:color="auto"/>
      </w:divBdr>
    </w:div>
    <w:div w:id="1436631916">
      <w:bodyDiv w:val="1"/>
      <w:marLeft w:val="0"/>
      <w:marRight w:val="0"/>
      <w:marTop w:val="0"/>
      <w:marBottom w:val="0"/>
      <w:divBdr>
        <w:top w:val="none" w:sz="0" w:space="0" w:color="auto"/>
        <w:left w:val="none" w:sz="0" w:space="0" w:color="auto"/>
        <w:bottom w:val="none" w:sz="0" w:space="0" w:color="auto"/>
        <w:right w:val="none" w:sz="0" w:space="0" w:color="auto"/>
      </w:divBdr>
      <w:divsChild>
        <w:div w:id="2050296561">
          <w:marLeft w:val="547"/>
          <w:marRight w:val="0"/>
          <w:marTop w:val="0"/>
          <w:marBottom w:val="0"/>
          <w:divBdr>
            <w:top w:val="none" w:sz="0" w:space="0" w:color="auto"/>
            <w:left w:val="none" w:sz="0" w:space="0" w:color="auto"/>
            <w:bottom w:val="none" w:sz="0" w:space="0" w:color="auto"/>
            <w:right w:val="none" w:sz="0" w:space="0" w:color="auto"/>
          </w:divBdr>
        </w:div>
      </w:divsChild>
    </w:div>
    <w:div w:id="156009417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microsoft.com/office/2007/relationships/diagramDrawing" Target="diagrams/drawing2.xml"/><Relationship Id="rId117" Type="http://schemas.openxmlformats.org/officeDocument/2006/relationships/image" Target="media/image16.jpeg"/><Relationship Id="rId21" Type="http://schemas.microsoft.com/office/2007/relationships/diagramDrawing" Target="diagrams/drawing1.xml"/><Relationship Id="rId42" Type="http://schemas.microsoft.com/office/2007/relationships/diagramDrawing" Target="diagrams/drawing5.xml"/><Relationship Id="rId47" Type="http://schemas.openxmlformats.org/officeDocument/2006/relationships/chart" Target="charts/chart5.xml"/><Relationship Id="rId63" Type="http://schemas.openxmlformats.org/officeDocument/2006/relationships/diagramData" Target="diagrams/data6.xml"/><Relationship Id="rId68" Type="http://schemas.openxmlformats.org/officeDocument/2006/relationships/diagramData" Target="diagrams/data7.xml"/><Relationship Id="rId84" Type="http://schemas.openxmlformats.org/officeDocument/2006/relationships/hyperlink" Target="http://www.jstor.org/stable/10.1163/j.ctv1sr6h8g.6" TargetMode="External"/><Relationship Id="rId89" Type="http://schemas.openxmlformats.org/officeDocument/2006/relationships/hyperlink" Target="https://files.eric.ed.gov/fulltext/EJ1125098.pdf" TargetMode="External"/><Relationship Id="rId112" Type="http://schemas.openxmlformats.org/officeDocument/2006/relationships/image" Target="media/image11.jpeg"/><Relationship Id="rId16" Type="http://schemas.openxmlformats.org/officeDocument/2006/relationships/footer" Target="footer4.xml"/><Relationship Id="rId107" Type="http://schemas.openxmlformats.org/officeDocument/2006/relationships/image" Target="media/image8.png"/><Relationship Id="rId11" Type="http://schemas.openxmlformats.org/officeDocument/2006/relationships/header" Target="header2.xml"/><Relationship Id="rId32" Type="http://schemas.microsoft.com/office/2007/relationships/diagramDrawing" Target="diagrams/drawing3.xml"/><Relationship Id="rId37" Type="http://schemas.microsoft.com/office/2007/relationships/diagramDrawing" Target="diagrams/drawing4.xml"/><Relationship Id="rId53" Type="http://schemas.openxmlformats.org/officeDocument/2006/relationships/chart" Target="charts/chart11.xml"/><Relationship Id="rId58" Type="http://schemas.openxmlformats.org/officeDocument/2006/relationships/chart" Target="charts/chart16.xml"/><Relationship Id="rId74" Type="http://schemas.openxmlformats.org/officeDocument/2006/relationships/diagramLayout" Target="diagrams/layout8.xml"/><Relationship Id="rId79" Type="http://schemas.openxmlformats.org/officeDocument/2006/relationships/hyperlink" Target="https://doi.org/10.1080/0969594X.2011.582838" TargetMode="External"/><Relationship Id="rId102" Type="http://schemas.openxmlformats.org/officeDocument/2006/relationships/image" Target="media/image50.png"/><Relationship Id="rId5" Type="http://schemas.openxmlformats.org/officeDocument/2006/relationships/settings" Target="settings.xml"/><Relationship Id="rId90" Type="http://schemas.openxmlformats.org/officeDocument/2006/relationships/hyperlink" Target="http://www.uni-koeln.de/hf/konstrukt//didaktik/situierteslernen/clancey_situated_learning.PDF" TargetMode="External"/><Relationship Id="rId95" Type="http://schemas.openxmlformats.org/officeDocument/2006/relationships/image" Target="media/image2.png"/><Relationship Id="rId22" Type="http://schemas.openxmlformats.org/officeDocument/2006/relationships/diagramData" Target="diagrams/data2.xml"/><Relationship Id="rId27" Type="http://schemas.openxmlformats.org/officeDocument/2006/relationships/header" Target="header4.xml"/><Relationship Id="rId43" Type="http://schemas.openxmlformats.org/officeDocument/2006/relationships/chart" Target="charts/chart1.xml"/><Relationship Id="rId48" Type="http://schemas.openxmlformats.org/officeDocument/2006/relationships/chart" Target="charts/chart6.xml"/><Relationship Id="rId64" Type="http://schemas.openxmlformats.org/officeDocument/2006/relationships/diagramLayout" Target="diagrams/layout6.xml"/><Relationship Id="rId69" Type="http://schemas.openxmlformats.org/officeDocument/2006/relationships/diagramLayout" Target="diagrams/layout7.xml"/><Relationship Id="rId113" Type="http://schemas.openxmlformats.org/officeDocument/2006/relationships/image" Target="media/image12.jpeg"/><Relationship Id="rId118" Type="http://schemas.openxmlformats.org/officeDocument/2006/relationships/header" Target="header5.xml"/><Relationship Id="rId80" Type="http://schemas.openxmlformats.org/officeDocument/2006/relationships/hyperlink" Target="http://www.jstor.org/stable/20439619.%20Accessed%205%20Apr.%202025" TargetMode="External"/><Relationship Id="rId85" Type="http://schemas.openxmlformats.org/officeDocument/2006/relationships/hyperlink" Target="http://www.jstor.org/stable/j.ctv3t5qh3.8" TargetMode="External"/><Relationship Id="rId12" Type="http://schemas.openxmlformats.org/officeDocument/2006/relationships/footer" Target="footer1.xml"/><Relationship Id="rId17" Type="http://schemas.openxmlformats.org/officeDocument/2006/relationships/diagramData" Target="diagrams/data1.xml"/><Relationship Id="rId33" Type="http://schemas.openxmlformats.org/officeDocument/2006/relationships/diagramData" Target="diagrams/data4.xml"/><Relationship Id="rId38" Type="http://schemas.openxmlformats.org/officeDocument/2006/relationships/diagramData" Target="diagrams/data5.xml"/><Relationship Id="rId59" Type="http://schemas.openxmlformats.org/officeDocument/2006/relationships/chart" Target="charts/chart17.xml"/><Relationship Id="rId103" Type="http://schemas.openxmlformats.org/officeDocument/2006/relationships/image" Target="media/image6.png"/><Relationship Id="rId108" Type="http://schemas.openxmlformats.org/officeDocument/2006/relationships/image" Target="media/image80.png"/><Relationship Id="rId54" Type="http://schemas.openxmlformats.org/officeDocument/2006/relationships/chart" Target="charts/chart12.xml"/><Relationship Id="rId70" Type="http://schemas.openxmlformats.org/officeDocument/2006/relationships/diagramQuickStyle" Target="diagrams/quickStyle7.xml"/><Relationship Id="rId75" Type="http://schemas.openxmlformats.org/officeDocument/2006/relationships/diagramQuickStyle" Target="diagrams/quickStyle8.xml"/><Relationship Id="rId91" Type="http://schemas.openxmlformats.org/officeDocument/2006/relationships/hyperlink" Target="https://doi.org/10.1002/9781118611463.wbielsi188" TargetMode="External"/><Relationship Id="rId96" Type="http://schemas.openxmlformats.org/officeDocument/2006/relationships/image" Target="media/image20.png"/><Relationship Id="rId1" Type="http://schemas.openxmlformats.org/officeDocument/2006/relationships/customXml" Target="../customXml/item1.xml"/><Relationship Id="rId6" Type="http://schemas.openxmlformats.org/officeDocument/2006/relationships/webSettings" Target="webSettings.xml"/><Relationship Id="rId23" Type="http://schemas.openxmlformats.org/officeDocument/2006/relationships/diagramLayout" Target="diagrams/layout2.xml"/><Relationship Id="rId28" Type="http://schemas.openxmlformats.org/officeDocument/2006/relationships/diagramData" Target="diagrams/data3.xml"/><Relationship Id="rId49" Type="http://schemas.openxmlformats.org/officeDocument/2006/relationships/chart" Target="charts/chart7.xml"/><Relationship Id="rId114" Type="http://schemas.openxmlformats.org/officeDocument/2006/relationships/image" Target="media/image13.jpeg"/><Relationship Id="rId119" Type="http://schemas.openxmlformats.org/officeDocument/2006/relationships/fontTable" Target="fontTable.xml"/><Relationship Id="rId10" Type="http://schemas.openxmlformats.org/officeDocument/2006/relationships/header" Target="header1.xml"/><Relationship Id="rId31" Type="http://schemas.openxmlformats.org/officeDocument/2006/relationships/diagramColors" Target="diagrams/colors3.xml"/><Relationship Id="rId44" Type="http://schemas.openxmlformats.org/officeDocument/2006/relationships/chart" Target="charts/chart2.xml"/><Relationship Id="rId52" Type="http://schemas.openxmlformats.org/officeDocument/2006/relationships/chart" Target="charts/chart10.xml"/><Relationship Id="rId60" Type="http://schemas.openxmlformats.org/officeDocument/2006/relationships/chart" Target="charts/chart18.xml"/><Relationship Id="rId65" Type="http://schemas.openxmlformats.org/officeDocument/2006/relationships/diagramQuickStyle" Target="diagrams/quickStyle6.xml"/><Relationship Id="rId73" Type="http://schemas.openxmlformats.org/officeDocument/2006/relationships/diagramData" Target="diagrams/data8.xml"/><Relationship Id="rId78" Type="http://schemas.openxmlformats.org/officeDocument/2006/relationships/hyperlink" Target="https://doi.org/10.4324/9780429424465" TargetMode="External"/><Relationship Id="rId81" Type="http://schemas.openxmlformats.org/officeDocument/2006/relationships/hyperlink" Target="https://www.merriam-webster.com/dictionary/feedback" TargetMode="External"/><Relationship Id="rId86" Type="http://schemas.openxmlformats.org/officeDocument/2006/relationships/hyperlink" Target="https://asjp.cerist.dz/en/article/245370" TargetMode="External"/><Relationship Id="rId94" Type="http://schemas.openxmlformats.org/officeDocument/2006/relationships/hyperlink" Target="https://doi.org/10.3389/fpsyg.2022.1075818" TargetMode="External"/><Relationship Id="rId99" Type="http://schemas.openxmlformats.org/officeDocument/2006/relationships/image" Target="media/image4.png"/><Relationship Id="rId101" Type="http://schemas.openxmlformats.org/officeDocument/2006/relationships/image" Target="media/image5.png"/><Relationship Id="rId4" Type="http://schemas.openxmlformats.org/officeDocument/2006/relationships/styles" Target="styles.xml"/><Relationship Id="rId9" Type="http://schemas.openxmlformats.org/officeDocument/2006/relationships/image" Target="media/image1.jpg"/><Relationship Id="rId13" Type="http://schemas.openxmlformats.org/officeDocument/2006/relationships/footer" Target="footer2.xml"/><Relationship Id="rId18" Type="http://schemas.openxmlformats.org/officeDocument/2006/relationships/diagramLayout" Target="diagrams/layout1.xml"/><Relationship Id="rId39" Type="http://schemas.openxmlformats.org/officeDocument/2006/relationships/diagramLayout" Target="diagrams/layout5.xml"/><Relationship Id="rId109" Type="http://schemas.openxmlformats.org/officeDocument/2006/relationships/image" Target="media/image9.png"/><Relationship Id="rId34" Type="http://schemas.openxmlformats.org/officeDocument/2006/relationships/diagramLayout" Target="diagrams/layout4.xml"/><Relationship Id="rId50" Type="http://schemas.openxmlformats.org/officeDocument/2006/relationships/chart" Target="charts/chart8.xml"/><Relationship Id="rId55" Type="http://schemas.openxmlformats.org/officeDocument/2006/relationships/chart" Target="charts/chart13.xml"/><Relationship Id="rId76" Type="http://schemas.openxmlformats.org/officeDocument/2006/relationships/diagramColors" Target="diagrams/colors8.xml"/><Relationship Id="rId97" Type="http://schemas.openxmlformats.org/officeDocument/2006/relationships/image" Target="media/image3.png"/><Relationship Id="rId104" Type="http://schemas.openxmlformats.org/officeDocument/2006/relationships/image" Target="media/image60.png"/><Relationship Id="rId120" Type="http://schemas.openxmlformats.org/officeDocument/2006/relationships/theme" Target="theme/theme1.xml"/><Relationship Id="rId7" Type="http://schemas.openxmlformats.org/officeDocument/2006/relationships/footnotes" Target="footnotes.xml"/><Relationship Id="rId71" Type="http://schemas.openxmlformats.org/officeDocument/2006/relationships/diagramColors" Target="diagrams/colors7.xml"/><Relationship Id="rId92" Type="http://schemas.openxmlformats.org/officeDocument/2006/relationships/hyperlink" Target="https://ro.uow.edu.au/articles/conference_contribution/Activity_theory_a_framework_for_qualitative_analysis/27796473/1" TargetMode="External"/><Relationship Id="rId2" Type="http://schemas.openxmlformats.org/officeDocument/2006/relationships/customXml" Target="../customXml/item2.xml"/><Relationship Id="rId29" Type="http://schemas.openxmlformats.org/officeDocument/2006/relationships/diagramLayout" Target="diagrams/layout3.xml"/><Relationship Id="rId24" Type="http://schemas.openxmlformats.org/officeDocument/2006/relationships/diagramQuickStyle" Target="diagrams/quickStyle2.xml"/><Relationship Id="rId40" Type="http://schemas.openxmlformats.org/officeDocument/2006/relationships/diagramQuickStyle" Target="diagrams/quickStyle5.xml"/><Relationship Id="rId45" Type="http://schemas.openxmlformats.org/officeDocument/2006/relationships/chart" Target="charts/chart3.xml"/><Relationship Id="rId66" Type="http://schemas.openxmlformats.org/officeDocument/2006/relationships/diagramColors" Target="diagrams/colors6.xml"/><Relationship Id="rId87" Type="http://schemas.openxmlformats.org/officeDocument/2006/relationships/hyperlink" Target="https://doi.org/10.29140/ajal.v7n2.1522" TargetMode="External"/><Relationship Id="rId110" Type="http://schemas.openxmlformats.org/officeDocument/2006/relationships/image" Target="media/image90.png"/><Relationship Id="rId115" Type="http://schemas.openxmlformats.org/officeDocument/2006/relationships/image" Target="media/image14.jpeg"/><Relationship Id="rId61" Type="http://schemas.openxmlformats.org/officeDocument/2006/relationships/chart" Target="charts/chart19.xml"/><Relationship Id="rId82" Type="http://schemas.openxmlformats.org/officeDocument/2006/relationships/hyperlink" Target="https://www.oxfordlearnersdictionaries.com/definition/english/feedback?q=feedback" TargetMode="External"/><Relationship Id="rId19" Type="http://schemas.openxmlformats.org/officeDocument/2006/relationships/diagramQuickStyle" Target="diagrams/quickStyle1.xml"/><Relationship Id="rId14" Type="http://schemas.openxmlformats.org/officeDocument/2006/relationships/header" Target="header3.xml"/><Relationship Id="rId30" Type="http://schemas.openxmlformats.org/officeDocument/2006/relationships/diagramQuickStyle" Target="diagrams/quickStyle3.xml"/><Relationship Id="rId35" Type="http://schemas.openxmlformats.org/officeDocument/2006/relationships/diagramQuickStyle" Target="diagrams/quickStyle4.xml"/><Relationship Id="rId56" Type="http://schemas.openxmlformats.org/officeDocument/2006/relationships/chart" Target="charts/chart14.xml"/><Relationship Id="rId77" Type="http://schemas.microsoft.com/office/2007/relationships/diagramDrawing" Target="diagrams/drawing8.xml"/><Relationship Id="rId100" Type="http://schemas.openxmlformats.org/officeDocument/2006/relationships/image" Target="media/image40.png"/><Relationship Id="rId105" Type="http://schemas.openxmlformats.org/officeDocument/2006/relationships/image" Target="media/image7.png"/><Relationship Id="rId8" Type="http://schemas.openxmlformats.org/officeDocument/2006/relationships/endnotes" Target="endnotes.xml"/><Relationship Id="rId51" Type="http://schemas.openxmlformats.org/officeDocument/2006/relationships/chart" Target="charts/chart9.xml"/><Relationship Id="rId72" Type="http://schemas.microsoft.com/office/2007/relationships/diagramDrawing" Target="diagrams/drawing7.xml"/><Relationship Id="rId93" Type="http://schemas.openxmlformats.org/officeDocument/2006/relationships/hyperlink" Target="https://doi.org/10.4018/978-1-5225-6086-9" TargetMode="External"/><Relationship Id="rId98" Type="http://schemas.openxmlformats.org/officeDocument/2006/relationships/image" Target="media/image30.png"/><Relationship Id="rId3" Type="http://schemas.openxmlformats.org/officeDocument/2006/relationships/numbering" Target="numbering.xml"/><Relationship Id="rId25" Type="http://schemas.openxmlformats.org/officeDocument/2006/relationships/diagramColors" Target="diagrams/colors2.xml"/><Relationship Id="rId46" Type="http://schemas.openxmlformats.org/officeDocument/2006/relationships/chart" Target="charts/chart4.xml"/><Relationship Id="rId67" Type="http://schemas.microsoft.com/office/2007/relationships/diagramDrawing" Target="diagrams/drawing6.xml"/><Relationship Id="rId116" Type="http://schemas.openxmlformats.org/officeDocument/2006/relationships/image" Target="media/image15.jpeg"/><Relationship Id="rId20" Type="http://schemas.openxmlformats.org/officeDocument/2006/relationships/diagramColors" Target="diagrams/colors1.xml"/><Relationship Id="rId41" Type="http://schemas.openxmlformats.org/officeDocument/2006/relationships/diagramColors" Target="diagrams/colors5.xml"/><Relationship Id="rId62" Type="http://schemas.openxmlformats.org/officeDocument/2006/relationships/chart" Target="charts/chart20.xml"/><Relationship Id="rId83" Type="http://schemas.openxmlformats.org/officeDocument/2006/relationships/hyperlink" Target="http://www.jstor.org/stable/10.7249/j.ctt1b67wq3.13" TargetMode="External"/><Relationship Id="rId88" Type="http://schemas.openxmlformats.org/officeDocument/2006/relationships/hyperlink" Target="https://digitalcommons.spu.edu/soe_etd/43" TargetMode="External"/><Relationship Id="rId111" Type="http://schemas.openxmlformats.org/officeDocument/2006/relationships/image" Target="media/image10.jpeg"/><Relationship Id="rId15" Type="http://schemas.openxmlformats.org/officeDocument/2006/relationships/footer" Target="footer3.xml"/><Relationship Id="rId36" Type="http://schemas.openxmlformats.org/officeDocument/2006/relationships/diagramColors" Target="diagrams/colors4.xml"/><Relationship Id="rId57" Type="http://schemas.openxmlformats.org/officeDocument/2006/relationships/chart" Target="charts/chart15.xml"/><Relationship Id="rId106" Type="http://schemas.openxmlformats.org/officeDocument/2006/relationships/image" Target="media/image70.png"/></Relationships>
</file>

<file path=word/charts/_rels/chart1.xml.rels><?xml version="1.0" encoding="UTF-8" standalone="yes"?>
<Relationships xmlns="http://schemas.openxmlformats.org/package/2006/relationships"><Relationship Id="rId3" Type="http://schemas.openxmlformats.org/officeDocument/2006/relationships/package" Target="../embeddings/Feuille_de_calcul_Microsoft_Excel1.xlsx"/><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package" Target="../embeddings/Feuille_de_calcul_Microsoft_Excel10.xlsx"/><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themeOverride" Target="../theme/themeOverride6.xml"/><Relationship Id="rId2" Type="http://schemas.microsoft.com/office/2011/relationships/chartColorStyle" Target="colors11.xml"/><Relationship Id="rId1" Type="http://schemas.microsoft.com/office/2011/relationships/chartStyle" Target="style11.xml"/><Relationship Id="rId4" Type="http://schemas.openxmlformats.org/officeDocument/2006/relationships/package" Target="../embeddings/Feuille_de_calcul_Microsoft_Excel11.xlsx"/></Relationships>
</file>

<file path=word/charts/_rels/chart12.xml.rels><?xml version="1.0" encoding="UTF-8" standalone="yes"?>
<Relationships xmlns="http://schemas.openxmlformats.org/package/2006/relationships"><Relationship Id="rId3" Type="http://schemas.openxmlformats.org/officeDocument/2006/relationships/themeOverride" Target="../theme/themeOverride7.xml"/><Relationship Id="rId2" Type="http://schemas.microsoft.com/office/2011/relationships/chartColorStyle" Target="colors12.xml"/><Relationship Id="rId1" Type="http://schemas.microsoft.com/office/2011/relationships/chartStyle" Target="style12.xml"/><Relationship Id="rId4" Type="http://schemas.openxmlformats.org/officeDocument/2006/relationships/package" Target="../embeddings/Feuille_de_calcul_Microsoft_Excel12.xlsx"/></Relationships>
</file>

<file path=word/charts/_rels/chart13.xml.rels><?xml version="1.0" encoding="UTF-8" standalone="yes"?>
<Relationships xmlns="http://schemas.openxmlformats.org/package/2006/relationships"><Relationship Id="rId3" Type="http://schemas.openxmlformats.org/officeDocument/2006/relationships/themeOverride" Target="../theme/themeOverride8.xml"/><Relationship Id="rId2" Type="http://schemas.microsoft.com/office/2011/relationships/chartColorStyle" Target="colors13.xml"/><Relationship Id="rId1" Type="http://schemas.microsoft.com/office/2011/relationships/chartStyle" Target="style13.xml"/><Relationship Id="rId4" Type="http://schemas.openxmlformats.org/officeDocument/2006/relationships/package" Target="../embeddings/Feuille_de_calcul_Microsoft_Excel13.xlsx"/></Relationships>
</file>

<file path=word/charts/_rels/chart14.xml.rels><?xml version="1.0" encoding="UTF-8" standalone="yes"?>
<Relationships xmlns="http://schemas.openxmlformats.org/package/2006/relationships"><Relationship Id="rId3" Type="http://schemas.openxmlformats.org/officeDocument/2006/relationships/package" Target="../embeddings/Feuille_de_calcul_Microsoft_Excel14.xlsx"/><Relationship Id="rId2" Type="http://schemas.microsoft.com/office/2011/relationships/chartColorStyle" Target="colors14.xml"/><Relationship Id="rId1" Type="http://schemas.microsoft.com/office/2011/relationships/chartStyle" Target="style14.xml"/></Relationships>
</file>

<file path=word/charts/_rels/chart15.xml.rels><?xml version="1.0" encoding="UTF-8" standalone="yes"?>
<Relationships xmlns="http://schemas.openxmlformats.org/package/2006/relationships"><Relationship Id="rId3" Type="http://schemas.openxmlformats.org/officeDocument/2006/relationships/package" Target="../embeddings/Feuille_de_calcul_Microsoft_Excel15.xlsx"/><Relationship Id="rId2" Type="http://schemas.microsoft.com/office/2011/relationships/chartColorStyle" Target="colors15.xml"/><Relationship Id="rId1" Type="http://schemas.microsoft.com/office/2011/relationships/chartStyle" Target="style15.xml"/></Relationships>
</file>

<file path=word/charts/_rels/chart16.xml.rels><?xml version="1.0" encoding="UTF-8" standalone="yes"?>
<Relationships xmlns="http://schemas.openxmlformats.org/package/2006/relationships"><Relationship Id="rId3" Type="http://schemas.openxmlformats.org/officeDocument/2006/relationships/themeOverride" Target="../theme/themeOverride9.xml"/><Relationship Id="rId2" Type="http://schemas.microsoft.com/office/2011/relationships/chartColorStyle" Target="colors16.xml"/><Relationship Id="rId1" Type="http://schemas.microsoft.com/office/2011/relationships/chartStyle" Target="style16.xml"/><Relationship Id="rId4" Type="http://schemas.openxmlformats.org/officeDocument/2006/relationships/package" Target="../embeddings/Feuille_de_calcul_Microsoft_Excel16.xlsx"/></Relationships>
</file>

<file path=word/charts/_rels/chart17.xml.rels><?xml version="1.0" encoding="UTF-8" standalone="yes"?>
<Relationships xmlns="http://schemas.openxmlformats.org/package/2006/relationships"><Relationship Id="rId3" Type="http://schemas.openxmlformats.org/officeDocument/2006/relationships/package" Target="../embeddings/Feuille_de_calcul_Microsoft_Excel17.xlsx"/><Relationship Id="rId2" Type="http://schemas.microsoft.com/office/2011/relationships/chartColorStyle" Target="colors17.xml"/><Relationship Id="rId1" Type="http://schemas.microsoft.com/office/2011/relationships/chartStyle" Target="style17.xml"/></Relationships>
</file>

<file path=word/charts/_rels/chart18.xml.rels><?xml version="1.0" encoding="UTF-8" standalone="yes"?>
<Relationships xmlns="http://schemas.openxmlformats.org/package/2006/relationships"><Relationship Id="rId3" Type="http://schemas.openxmlformats.org/officeDocument/2006/relationships/package" Target="../embeddings/Feuille_de_calcul_Microsoft_Excel18.xlsx"/><Relationship Id="rId2" Type="http://schemas.microsoft.com/office/2011/relationships/chartColorStyle" Target="colors18.xml"/><Relationship Id="rId1" Type="http://schemas.microsoft.com/office/2011/relationships/chartStyle" Target="style18.xml"/></Relationships>
</file>

<file path=word/charts/_rels/chart19.xml.rels><?xml version="1.0" encoding="UTF-8" standalone="yes"?>
<Relationships xmlns="http://schemas.openxmlformats.org/package/2006/relationships"><Relationship Id="rId3" Type="http://schemas.openxmlformats.org/officeDocument/2006/relationships/package" Target="../embeddings/Feuille_de_calcul_Microsoft_Excel19.xlsx"/><Relationship Id="rId2" Type="http://schemas.microsoft.com/office/2011/relationships/chartColorStyle" Target="colors19.xml"/><Relationship Id="rId1" Type="http://schemas.microsoft.com/office/2011/relationships/chartStyle" Target="style19.xml"/></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Feuille_de_calcul_Microsoft_Excel2.xlsx"/></Relationships>
</file>

<file path=word/charts/_rels/chart20.xml.rels><?xml version="1.0" encoding="UTF-8" standalone="yes"?>
<Relationships xmlns="http://schemas.openxmlformats.org/package/2006/relationships"><Relationship Id="rId3" Type="http://schemas.openxmlformats.org/officeDocument/2006/relationships/themeOverride" Target="../theme/themeOverride10.xml"/><Relationship Id="rId2" Type="http://schemas.microsoft.com/office/2011/relationships/chartColorStyle" Target="colors20.xml"/><Relationship Id="rId1" Type="http://schemas.microsoft.com/office/2011/relationships/chartStyle" Target="style20.xml"/><Relationship Id="rId4" Type="http://schemas.openxmlformats.org/officeDocument/2006/relationships/package" Target="../embeddings/Feuille_de_calcul_Microsoft_Excel20.xlsx"/></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package" Target="../embeddings/Feuille_de_calcul_Microsoft_Excel3.xlsx"/></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package" Target="../embeddings/Feuille_de_calcul_Microsoft_Excel4.xlsx"/></Relationships>
</file>

<file path=word/charts/_rels/chart5.xml.rels><?xml version="1.0" encoding="UTF-8" standalone="yes"?>
<Relationships xmlns="http://schemas.openxmlformats.org/package/2006/relationships"><Relationship Id="rId3" Type="http://schemas.openxmlformats.org/officeDocument/2006/relationships/package" Target="../embeddings/Feuille_de_calcul_Microsoft_Excel5.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6.xml"/><Relationship Id="rId1" Type="http://schemas.microsoft.com/office/2011/relationships/chartStyle" Target="style6.xml"/><Relationship Id="rId4" Type="http://schemas.openxmlformats.org/officeDocument/2006/relationships/package" Target="../embeddings/Feuille_de_calcul_Microsoft_Excel6.xlsx"/></Relationships>
</file>

<file path=word/charts/_rels/chart7.xml.rels><?xml version="1.0" encoding="UTF-8" standalone="yes"?>
<Relationships xmlns="http://schemas.openxmlformats.org/package/2006/relationships"><Relationship Id="rId3" Type="http://schemas.openxmlformats.org/officeDocument/2006/relationships/themeOverride" Target="../theme/themeOverride5.xml"/><Relationship Id="rId2" Type="http://schemas.microsoft.com/office/2011/relationships/chartColorStyle" Target="colors7.xml"/><Relationship Id="rId1" Type="http://schemas.microsoft.com/office/2011/relationships/chartStyle" Target="style7.xml"/><Relationship Id="rId4" Type="http://schemas.openxmlformats.org/officeDocument/2006/relationships/package" Target="../embeddings/Feuille_de_calcul_Microsoft_Excel7.xlsx"/></Relationships>
</file>

<file path=word/charts/_rels/chart8.xml.rels><?xml version="1.0" encoding="UTF-8" standalone="yes"?>
<Relationships xmlns="http://schemas.openxmlformats.org/package/2006/relationships"><Relationship Id="rId3" Type="http://schemas.openxmlformats.org/officeDocument/2006/relationships/package" Target="../embeddings/Feuille_de_calcul_Microsoft_Excel8.xlsx"/><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package" Target="../embeddings/Feuille_de_calcul_Microsoft_Excel9.xlsx"/><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en-US"/>
              <a:t>1. Gender</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fr-FR"/>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Sheet1!$C$9</c:f>
              <c:strCache>
                <c:ptCount val="1"/>
                <c:pt idx="0">
                  <c:v>Frequency</c:v>
                </c:pt>
              </c:strCache>
            </c:strRef>
          </c:tx>
          <c:spPr>
            <a:gradFill rotWithShape="1">
              <a:gsLst>
                <a:gs pos="0">
                  <a:schemeClr val="accent1">
                    <a:tint val="100000"/>
                    <a:shade val="100000"/>
                    <a:satMod val="130000"/>
                  </a:schemeClr>
                </a:gs>
                <a:gs pos="100000">
                  <a:schemeClr val="accent1">
                    <a:tint val="50000"/>
                    <a:shade val="100000"/>
                    <a:satMod val="350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fr-F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Sheet1!$B$10:$B$12</c:f>
              <c:strCache>
                <c:ptCount val="3"/>
                <c:pt idx="0">
                  <c:v>Female</c:v>
                </c:pt>
                <c:pt idx="1">
                  <c:v>Male</c:v>
                </c:pt>
                <c:pt idx="2">
                  <c:v>Total</c:v>
                </c:pt>
              </c:strCache>
            </c:strRef>
          </c:cat>
          <c:val>
            <c:numRef>
              <c:f>Sheet1!$C$10:$C$12</c:f>
              <c:numCache>
                <c:formatCode>General</c:formatCode>
                <c:ptCount val="3"/>
                <c:pt idx="0">
                  <c:v>29</c:v>
                </c:pt>
                <c:pt idx="1">
                  <c:v>20</c:v>
                </c:pt>
                <c:pt idx="2">
                  <c:v>49</c:v>
                </c:pt>
              </c:numCache>
            </c:numRef>
          </c:val>
          <c:extLst xmlns:c16r2="http://schemas.microsoft.com/office/drawing/2015/06/chart">
            <c:ext xmlns:c16="http://schemas.microsoft.com/office/drawing/2014/chart" uri="{C3380CC4-5D6E-409C-BE32-E72D297353CC}">
              <c16:uniqueId val="{00000000-2B3D-49FB-AC17-B12EDD2EC89C}"/>
            </c:ext>
          </c:extLst>
        </c:ser>
        <c:ser>
          <c:idx val="1"/>
          <c:order val="1"/>
          <c:tx>
            <c:strRef>
              <c:f>Sheet1!$D$9</c:f>
              <c:strCache>
                <c:ptCount val="1"/>
                <c:pt idx="0">
                  <c:v>Percentage</c:v>
                </c:pt>
              </c:strCache>
            </c:strRef>
          </c:tx>
          <c:spPr>
            <a:gradFill rotWithShape="1">
              <a:gsLst>
                <a:gs pos="0">
                  <a:schemeClr val="accent3">
                    <a:tint val="100000"/>
                    <a:shade val="100000"/>
                    <a:satMod val="130000"/>
                  </a:schemeClr>
                </a:gs>
                <a:gs pos="100000">
                  <a:schemeClr val="accent3">
                    <a:tint val="50000"/>
                    <a:shade val="100000"/>
                    <a:satMod val="350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dLbl>
              <c:idx val="0"/>
              <c:layout>
                <c:manualLayout>
                  <c:x val="2.5000000000000001E-2"/>
                  <c:y val="0"/>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2B3D-49FB-AC17-B12EDD2EC89C}"/>
                </c:ext>
                <c:ext xmlns:c15="http://schemas.microsoft.com/office/drawing/2012/chart" uri="{CE6537A1-D6FC-4f65-9D91-7224C49458BB}"/>
              </c:extLst>
            </c:dLbl>
            <c:dLbl>
              <c:idx val="1"/>
              <c:layout>
                <c:manualLayout>
                  <c:x val="2.2222222222222119E-2"/>
                  <c:y val="0"/>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2B3D-49FB-AC17-B12EDD2EC89C}"/>
                </c:ext>
                <c:ext xmlns:c15="http://schemas.microsoft.com/office/drawing/2012/chart" uri="{CE6537A1-D6FC-4f65-9D91-7224C49458BB}"/>
              </c:extLst>
            </c:dLbl>
            <c:dLbl>
              <c:idx val="2"/>
              <c:layout>
                <c:manualLayout>
                  <c:x val="1.9444444444444445E-2"/>
                  <c:y val="-8.4875562720133283E-17"/>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2B3D-49FB-AC17-B12EDD2EC89C}"/>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fr-F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Sheet1!$B$10:$B$12</c:f>
              <c:strCache>
                <c:ptCount val="3"/>
                <c:pt idx="0">
                  <c:v>Female</c:v>
                </c:pt>
                <c:pt idx="1">
                  <c:v>Male</c:v>
                </c:pt>
                <c:pt idx="2">
                  <c:v>Total</c:v>
                </c:pt>
              </c:strCache>
            </c:strRef>
          </c:cat>
          <c:val>
            <c:numRef>
              <c:f>Sheet1!$D$10:$D$12</c:f>
              <c:numCache>
                <c:formatCode>0%</c:formatCode>
                <c:ptCount val="3"/>
                <c:pt idx="0">
                  <c:v>0.59183673469387754</c:v>
                </c:pt>
                <c:pt idx="1">
                  <c:v>0.40816326530612246</c:v>
                </c:pt>
                <c:pt idx="2">
                  <c:v>1</c:v>
                </c:pt>
              </c:numCache>
            </c:numRef>
          </c:val>
          <c:extLst xmlns:c16r2="http://schemas.microsoft.com/office/drawing/2015/06/chart">
            <c:ext xmlns:c16="http://schemas.microsoft.com/office/drawing/2014/chart" uri="{C3380CC4-5D6E-409C-BE32-E72D297353CC}">
              <c16:uniqueId val="{00000004-2B3D-49FB-AC17-B12EDD2EC89C}"/>
            </c:ext>
          </c:extLst>
        </c:ser>
        <c:dLbls>
          <c:showLegendKey val="0"/>
          <c:showVal val="1"/>
          <c:showCatName val="0"/>
          <c:showSerName val="0"/>
          <c:showPercent val="0"/>
          <c:showBubbleSize val="0"/>
        </c:dLbls>
        <c:gapWidth val="75"/>
        <c:shape val="box"/>
        <c:axId val="-617825856"/>
        <c:axId val="-617827488"/>
        <c:axId val="0"/>
      </c:bar3DChart>
      <c:catAx>
        <c:axId val="-617825856"/>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617827488"/>
        <c:crosses val="autoZero"/>
        <c:auto val="1"/>
        <c:lblAlgn val="ctr"/>
        <c:lblOffset val="100"/>
        <c:noMultiLvlLbl val="0"/>
      </c:catAx>
      <c:valAx>
        <c:axId val="-617827488"/>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61782585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3"/>
    </mc:Choice>
    <mc:Fallback>
      <c:style val="3"/>
    </mc:Fallback>
  </mc:AlternateContent>
  <c:chart>
    <c:autoTitleDeleted val="1"/>
    <c:view3D>
      <c:rotX val="0"/>
      <c:rotY val="0"/>
      <c:depthPercent val="60"/>
      <c:rAngAx val="0"/>
      <c:perspective val="100"/>
    </c:view3D>
    <c:floor>
      <c:thickness val="0"/>
      <c:spPr>
        <a:solidFill>
          <a:schemeClr val="lt1">
            <a:lumMod val="95000"/>
          </a:schemeClr>
        </a:solid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8494752523406596"/>
          <c:y val="0.14426378374728879"/>
          <c:w val="0.81505247476593401"/>
          <c:h val="0.6460899140019073"/>
        </c:manualLayout>
      </c:layout>
      <c:bar3DChart>
        <c:barDir val="bar"/>
        <c:grouping val="clustered"/>
        <c:varyColors val="0"/>
        <c:ser>
          <c:idx val="1"/>
          <c:order val="0"/>
          <c:tx>
            <c:v>Percentage</c:v>
          </c:tx>
          <c:spPr>
            <a:solidFill>
              <a:schemeClr val="accent1">
                <a:tint val="77000"/>
                <a:alpha val="85000"/>
              </a:schemeClr>
            </a:solidFill>
            <a:ln w="9525" cap="flat" cmpd="sng" algn="ctr">
              <a:solidFill>
                <a:schemeClr val="accent1">
                  <a:tint val="77000"/>
                  <a:lumMod val="75000"/>
                </a:schemeClr>
              </a:solidFill>
              <a:round/>
            </a:ln>
            <a:effectLst/>
            <a:sp3d contourW="9525">
              <a:contourClr>
                <a:schemeClr val="accent1">
                  <a:tint val="77000"/>
                  <a:lumMod val="75000"/>
                </a:schemeClr>
              </a:contourClr>
            </a:sp3d>
          </c:spPr>
          <c:invertIfNegative val="0"/>
          <c:dLbls>
            <c:spPr>
              <a:solidFill>
                <a:srgbClr val="000000">
                  <a:lumMod val="65000"/>
                  <a:lumOff val="35000"/>
                  <a:alpha val="75000"/>
                </a:srgbClr>
              </a:solidFill>
              <a:ln>
                <a:noFill/>
              </a:ln>
              <a:effectLst/>
            </c:spPr>
            <c:txPr>
              <a:bodyPr rot="0" spcFirstLastPara="1" vertOverflow="clip" horzOverflow="clip" vert="horz" wrap="square" lIns="38100" tIns="19050" rIns="38100" bIns="19050" anchor="ctr" anchorCtr="1">
                <a:spAutoFit/>
              </a:bodyPr>
              <a:lstStyle/>
              <a:p>
                <a:pPr>
                  <a:defRPr sz="900" b="1" i="0" u="none" strike="noStrike" kern="1200" baseline="0">
                    <a:ln>
                      <a:noFill/>
                    </a:ln>
                    <a:solidFill>
                      <a:schemeClr val="lt1"/>
                    </a:solidFill>
                    <a:latin typeface="+mn-lt"/>
                    <a:ea typeface="+mn-ea"/>
                    <a:cs typeface="+mn-cs"/>
                  </a:defRPr>
                </a:pPr>
                <a:endParaRPr lang="fr-F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pPr xmlns:c15="http://schemas.microsoft.com/office/drawing/2012/chart">
                  <a:prstGeom prst="wedgeRectCallout">
                    <a:avLst/>
                  </a:prstGeom>
                  <a:noFill/>
                  <a:ln>
                    <a:noFill/>
                  </a:ln>
                </c15:spPr>
                <c15:showLeaderLines val="0"/>
              </c:ext>
            </c:extLst>
          </c:dLbls>
          <c:cat>
            <c:strRef>
              <c:f>'Réponses au formulaire 1'!$N$53:$N$57</c:f>
              <c:strCache>
                <c:ptCount val="5"/>
                <c:pt idx="0">
                  <c:v>Never</c:v>
                </c:pt>
                <c:pt idx="1">
                  <c:v>Rarely</c:v>
                </c:pt>
                <c:pt idx="2">
                  <c:v>Sometimes</c:v>
                </c:pt>
                <c:pt idx="3">
                  <c:v>Often</c:v>
                </c:pt>
                <c:pt idx="4">
                  <c:v>Always</c:v>
                </c:pt>
              </c:strCache>
            </c:strRef>
          </c:cat>
          <c:val>
            <c:numRef>
              <c:f>'Réponses au formulaire 1'!$O$61:$O$65</c:f>
              <c:numCache>
                <c:formatCode>0%</c:formatCode>
                <c:ptCount val="5"/>
                <c:pt idx="0">
                  <c:v>2.1276595744680851E-2</c:v>
                </c:pt>
                <c:pt idx="1">
                  <c:v>0.10638297872340426</c:v>
                </c:pt>
                <c:pt idx="2">
                  <c:v>0.42553191489361702</c:v>
                </c:pt>
                <c:pt idx="3">
                  <c:v>0.38297872340425532</c:v>
                </c:pt>
                <c:pt idx="4">
                  <c:v>6.3829787234042548E-2</c:v>
                </c:pt>
              </c:numCache>
            </c:numRef>
          </c:val>
          <c:extLst xmlns:c16r2="http://schemas.microsoft.com/office/drawing/2015/06/chart">
            <c:ext xmlns:c16="http://schemas.microsoft.com/office/drawing/2014/chart" uri="{C3380CC4-5D6E-409C-BE32-E72D297353CC}">
              <c16:uniqueId val="{00000000-0158-4811-A0B1-896B387E111F}"/>
            </c:ext>
          </c:extLst>
        </c:ser>
        <c:ser>
          <c:idx val="0"/>
          <c:order val="1"/>
          <c:tx>
            <c:v>Frequency</c:v>
          </c:tx>
          <c:spPr>
            <a:solidFill>
              <a:schemeClr val="accent1">
                <a:shade val="76000"/>
                <a:alpha val="85000"/>
              </a:schemeClr>
            </a:solidFill>
            <a:ln w="9525" cap="flat" cmpd="sng" algn="ctr">
              <a:solidFill>
                <a:schemeClr val="accent1">
                  <a:shade val="76000"/>
                  <a:lumMod val="75000"/>
                </a:schemeClr>
              </a:solidFill>
              <a:round/>
            </a:ln>
            <a:effectLst/>
            <a:sp3d contourW="9525">
              <a:contourClr>
                <a:schemeClr val="accent1">
                  <a:shade val="76000"/>
                  <a:lumMod val="75000"/>
                </a:schemeClr>
              </a:contourClr>
            </a:sp3d>
          </c:spPr>
          <c:invertIfNegative val="0"/>
          <c:dLbls>
            <c:spPr>
              <a:solidFill>
                <a:srgbClr val="000000">
                  <a:lumMod val="65000"/>
                  <a:lumOff val="35000"/>
                  <a:alpha val="75000"/>
                </a:srgbClr>
              </a:solidFill>
              <a:ln>
                <a:noFill/>
              </a:ln>
              <a:effectLst/>
            </c:spPr>
            <c:txPr>
              <a:bodyPr rot="0" spcFirstLastPara="1" vertOverflow="clip" horzOverflow="clip"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fr-F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pPr xmlns:c15="http://schemas.microsoft.com/office/drawing/2012/chart">
                  <a:prstGeom prst="wedgeRectCallout">
                    <a:avLst/>
                  </a:prstGeom>
                  <a:noFill/>
                  <a:ln>
                    <a:noFill/>
                  </a:ln>
                </c15:spPr>
                <c15:showLeaderLines val="0"/>
              </c:ext>
            </c:extLst>
          </c:dLbls>
          <c:cat>
            <c:strRef>
              <c:f>'Réponses au formulaire 1'!$N$53:$N$57</c:f>
              <c:strCache>
                <c:ptCount val="5"/>
                <c:pt idx="0">
                  <c:v>Never</c:v>
                </c:pt>
                <c:pt idx="1">
                  <c:v>Rarely</c:v>
                </c:pt>
                <c:pt idx="2">
                  <c:v>Sometimes</c:v>
                </c:pt>
                <c:pt idx="3">
                  <c:v>Often</c:v>
                </c:pt>
                <c:pt idx="4">
                  <c:v>Always</c:v>
                </c:pt>
              </c:strCache>
            </c:strRef>
          </c:cat>
          <c:val>
            <c:numRef>
              <c:f>'Réponses au formulaire 1'!$O$53:$O$57</c:f>
              <c:numCache>
                <c:formatCode>General</c:formatCode>
                <c:ptCount val="5"/>
                <c:pt idx="0">
                  <c:v>1</c:v>
                </c:pt>
                <c:pt idx="1">
                  <c:v>5</c:v>
                </c:pt>
                <c:pt idx="2">
                  <c:v>20</c:v>
                </c:pt>
                <c:pt idx="3">
                  <c:v>18</c:v>
                </c:pt>
                <c:pt idx="4">
                  <c:v>3</c:v>
                </c:pt>
              </c:numCache>
            </c:numRef>
          </c:val>
          <c:extLst xmlns:c16r2="http://schemas.microsoft.com/office/drawing/2015/06/chart">
            <c:ext xmlns:c16="http://schemas.microsoft.com/office/drawing/2014/chart" uri="{C3380CC4-5D6E-409C-BE32-E72D297353CC}">
              <c16:uniqueId val="{00000001-0158-4811-A0B1-896B387E111F}"/>
            </c:ext>
          </c:extLst>
        </c:ser>
        <c:dLbls>
          <c:showLegendKey val="0"/>
          <c:showVal val="1"/>
          <c:showCatName val="0"/>
          <c:showSerName val="0"/>
          <c:showPercent val="0"/>
          <c:showBubbleSize val="0"/>
        </c:dLbls>
        <c:gapWidth val="150"/>
        <c:shape val="box"/>
        <c:axId val="-617828032"/>
        <c:axId val="-617822048"/>
        <c:axId val="0"/>
      </c:bar3DChart>
      <c:catAx>
        <c:axId val="-617828032"/>
        <c:scaling>
          <c:orientation val="minMax"/>
        </c:scaling>
        <c:delete val="0"/>
        <c:axPos val="l"/>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fr-FR"/>
          </a:p>
        </c:txPr>
        <c:crossAx val="-617822048"/>
        <c:crosses val="autoZero"/>
        <c:auto val="1"/>
        <c:lblAlgn val="ctr"/>
        <c:lblOffset val="100"/>
        <c:noMultiLvlLbl val="0"/>
      </c:catAx>
      <c:valAx>
        <c:axId val="-617822048"/>
        <c:scaling>
          <c:orientation val="minMax"/>
        </c:scaling>
        <c:delete val="1"/>
        <c:axPos val="b"/>
        <c:numFmt formatCode="0%" sourceLinked="1"/>
        <c:majorTickMark val="none"/>
        <c:minorTickMark val="none"/>
        <c:tickLblPos val="nextTo"/>
        <c:crossAx val="-617828032"/>
        <c:crosses val="autoZero"/>
        <c:crossBetween val="between"/>
      </c:valAx>
      <c:dTable>
        <c:showHorzBorder val="1"/>
        <c:showVertBorder val="1"/>
        <c:showOutline val="1"/>
        <c:showKeys val="1"/>
        <c:spPr>
          <a:noFill/>
          <a:ln w="9525">
            <a:solidFill>
              <a:schemeClr val="dk1">
                <a:lumMod val="35000"/>
                <a:lumOff val="65000"/>
              </a:schemeClr>
            </a:solid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fr-FR"/>
          </a:p>
        </c:txPr>
      </c:dTable>
      <c:spPr>
        <a:noFill/>
        <a:ln>
          <a:noFill/>
        </a:ln>
        <a:effectLst/>
      </c:spPr>
    </c:plotArea>
    <c:legend>
      <c:legendPos val="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fr-FR"/>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fr-FR"/>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7"/>
    </mc:Choice>
    <mc:Fallback>
      <c:style val="7"/>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8.9583552055992999E-2"/>
          <c:y val="5.0925925925925923E-2"/>
          <c:w val="0.87986089238845144"/>
          <c:h val="0.73923556430446202"/>
        </c:manualLayout>
      </c:layout>
      <c:bar3DChart>
        <c:barDir val="col"/>
        <c:grouping val="standard"/>
        <c:varyColors val="0"/>
        <c:ser>
          <c:idx val="0"/>
          <c:order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fr-F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'Réponses au formulaire 1'!$Q$62:$Q$66</c:f>
              <c:strCache>
                <c:ptCount val="5"/>
                <c:pt idx="0">
                  <c:v>Not effective</c:v>
                </c:pt>
                <c:pt idx="1">
                  <c:v>Slightly effective</c:v>
                </c:pt>
                <c:pt idx="2">
                  <c:v>Moderately effective</c:v>
                </c:pt>
                <c:pt idx="3">
                  <c:v>Very effective</c:v>
                </c:pt>
                <c:pt idx="4">
                  <c:v>Extremely effective</c:v>
                </c:pt>
              </c:strCache>
            </c:strRef>
          </c:cat>
          <c:val>
            <c:numRef>
              <c:f>'Réponses au formulaire 1'!$R$62:$R$66</c:f>
              <c:numCache>
                <c:formatCode>0%</c:formatCode>
                <c:ptCount val="5"/>
                <c:pt idx="0">
                  <c:v>2.1276595744680851E-2</c:v>
                </c:pt>
                <c:pt idx="1">
                  <c:v>0.1276595744680851</c:v>
                </c:pt>
                <c:pt idx="2">
                  <c:v>0.21276595744680851</c:v>
                </c:pt>
                <c:pt idx="3">
                  <c:v>0.5957446808510638</c:v>
                </c:pt>
                <c:pt idx="4">
                  <c:v>4.2553191489361701E-2</c:v>
                </c:pt>
              </c:numCache>
            </c:numRef>
          </c:val>
          <c:extLst xmlns:c16r2="http://schemas.microsoft.com/office/drawing/2015/06/chart">
            <c:ext xmlns:c16="http://schemas.microsoft.com/office/drawing/2014/chart" uri="{C3380CC4-5D6E-409C-BE32-E72D297353CC}">
              <c16:uniqueId val="{00000000-E62D-40E3-B284-8B14F6EE0415}"/>
            </c:ext>
          </c:extLst>
        </c:ser>
        <c:dLbls>
          <c:showLegendKey val="0"/>
          <c:showVal val="1"/>
          <c:showCatName val="0"/>
          <c:showSerName val="0"/>
          <c:showPercent val="0"/>
          <c:showBubbleSize val="0"/>
        </c:dLbls>
        <c:gapWidth val="150"/>
        <c:shape val="box"/>
        <c:axId val="-617832928"/>
        <c:axId val="-617819328"/>
        <c:axId val="-276157920"/>
      </c:bar3DChart>
      <c:catAx>
        <c:axId val="-617832928"/>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fr-FR"/>
          </a:p>
        </c:txPr>
        <c:crossAx val="-617819328"/>
        <c:crosses val="autoZero"/>
        <c:auto val="1"/>
        <c:lblAlgn val="ctr"/>
        <c:lblOffset val="100"/>
        <c:noMultiLvlLbl val="0"/>
      </c:catAx>
      <c:valAx>
        <c:axId val="-617819328"/>
        <c:scaling>
          <c:orientation val="minMax"/>
        </c:scaling>
        <c:delete val="0"/>
        <c:axPos val="l"/>
        <c:majorGridlines>
          <c:spPr>
            <a:ln w="9525" cap="flat" cmpd="sng" algn="ctr">
              <a:solidFill>
                <a:schemeClr val="tx2">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fr-FR"/>
          </a:p>
        </c:txPr>
        <c:crossAx val="-617832928"/>
        <c:crosses val="autoZero"/>
        <c:crossBetween val="between"/>
      </c:valAx>
      <c:serAx>
        <c:axId val="-276157920"/>
        <c:scaling>
          <c:orientation val="minMax"/>
        </c:scaling>
        <c:delete val="0"/>
        <c:axPos val="b"/>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fr-FR"/>
          </a:p>
        </c:txPr>
        <c:crossAx val="-617819328"/>
        <c:crosses val="autoZero"/>
      </c:ser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2">
          <a:lumMod val="15000"/>
          <a:lumOff val="85000"/>
        </a:schemeClr>
      </a:solidFill>
      <a:round/>
    </a:ln>
    <a:effectLst/>
  </c:spPr>
  <c:txPr>
    <a:bodyPr/>
    <a:lstStyle/>
    <a:p>
      <a:pPr>
        <a:defRPr/>
      </a:pPr>
      <a:endParaRPr lang="fr-FR"/>
    </a:p>
  </c:txPr>
  <c:externalData r:id="rId4">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72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r>
              <a:rPr lang="en-US" sz="1200"/>
              <a:t>2. Skills: a. Designing Assessment Tools</a:t>
            </a:r>
          </a:p>
        </c:rich>
      </c:tx>
      <c:overlay val="0"/>
      <c:spPr>
        <a:noFill/>
        <a:ln>
          <a:noFill/>
        </a:ln>
        <a:effectLst/>
      </c:spPr>
      <c:txPr>
        <a:bodyPr rot="0" spcFirstLastPara="1" vertOverflow="ellipsis" vert="horz" wrap="square" anchor="ctr" anchorCtr="1"/>
        <a:lstStyle/>
        <a:p>
          <a:pPr>
            <a:defRPr sz="72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fr-FR"/>
        </a:p>
      </c:txPr>
    </c:title>
    <c:autoTitleDeleted val="0"/>
    <c:view3D>
      <c:rotX val="0"/>
      <c:rotY val="0"/>
      <c:depthPercent val="60"/>
      <c:rAngAx val="0"/>
      <c:perspective val="100"/>
    </c:view3D>
    <c:floor>
      <c:thickness val="0"/>
      <c:spPr>
        <a:solidFill>
          <a:schemeClr val="lt1">
            <a:lumMod val="95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'Réponses au formulaire 1'!$Q$64</c:f>
              <c:strCache>
                <c:ptCount val="1"/>
                <c:pt idx="0">
                  <c:v>Strongly agree</c:v>
                </c:pt>
              </c:strCache>
            </c:strRef>
          </c:tx>
          <c:spPr>
            <a:solidFill>
              <a:schemeClr val="accent6">
                <a:alpha val="85000"/>
              </a:schemeClr>
            </a:solidFill>
            <a:ln w="9525" cap="flat" cmpd="sng" algn="ctr">
              <a:solidFill>
                <a:schemeClr val="accent6">
                  <a:lumMod val="75000"/>
                </a:schemeClr>
              </a:solidFill>
              <a:round/>
            </a:ln>
            <a:effectLst/>
            <a:sp3d contourW="9525">
              <a:contourClr>
                <a:schemeClr val="accent6">
                  <a:lumMod val="75000"/>
                </a:schemeClr>
              </a:contourClr>
            </a:sp3d>
          </c:spPr>
          <c:invertIfNegative val="0"/>
          <c:val>
            <c:numRef>
              <c:f>'Réponses au formulaire 1'!$R$64:$W$64</c:f>
              <c:numCache>
                <c:formatCode>0%</c:formatCode>
                <c:ptCount val="6"/>
                <c:pt idx="0">
                  <c:v>2.0833333333333332E-2</c:v>
                </c:pt>
                <c:pt idx="1">
                  <c:v>4.2553191489361701E-2</c:v>
                </c:pt>
                <c:pt idx="2">
                  <c:v>0.22916666666666666</c:v>
                </c:pt>
                <c:pt idx="3">
                  <c:v>4.1666666666666664E-2</c:v>
                </c:pt>
                <c:pt idx="4">
                  <c:v>8.3333333333333329E-2</c:v>
                </c:pt>
                <c:pt idx="5">
                  <c:v>8.3333333333333329E-2</c:v>
                </c:pt>
              </c:numCache>
            </c:numRef>
          </c:val>
          <c:extLst xmlns:c16r2="http://schemas.microsoft.com/office/drawing/2015/06/chart">
            <c:ext xmlns:c16="http://schemas.microsoft.com/office/drawing/2014/chart" uri="{C3380CC4-5D6E-409C-BE32-E72D297353CC}">
              <c16:uniqueId val="{00000000-D55A-4BA4-9A83-66C03BA95B75}"/>
            </c:ext>
          </c:extLst>
        </c:ser>
        <c:ser>
          <c:idx val="1"/>
          <c:order val="1"/>
          <c:tx>
            <c:strRef>
              <c:f>'Réponses au formulaire 1'!$Q$65</c:f>
              <c:strCache>
                <c:ptCount val="1"/>
                <c:pt idx="0">
                  <c:v>Agree</c:v>
                </c:pt>
              </c:strCache>
            </c:strRef>
          </c:tx>
          <c:spPr>
            <a:solidFill>
              <a:schemeClr val="accent5">
                <a:alpha val="85000"/>
              </a:schemeClr>
            </a:solidFill>
            <a:ln w="9525" cap="flat" cmpd="sng" algn="ctr">
              <a:solidFill>
                <a:schemeClr val="accent5">
                  <a:lumMod val="75000"/>
                </a:schemeClr>
              </a:solidFill>
              <a:round/>
            </a:ln>
            <a:effectLst/>
            <a:sp3d contourW="9525">
              <a:contourClr>
                <a:schemeClr val="accent5">
                  <a:lumMod val="75000"/>
                </a:schemeClr>
              </a:contourClr>
            </a:sp3d>
          </c:spPr>
          <c:invertIfNegative val="0"/>
          <c:val>
            <c:numRef>
              <c:f>'Réponses au formulaire 1'!$R$65:$W$65</c:f>
              <c:numCache>
                <c:formatCode>0%</c:formatCode>
                <c:ptCount val="6"/>
                <c:pt idx="0">
                  <c:v>0.83333333333333337</c:v>
                </c:pt>
                <c:pt idx="1">
                  <c:v>0.74468085106382975</c:v>
                </c:pt>
                <c:pt idx="2">
                  <c:v>0.70833333333333337</c:v>
                </c:pt>
                <c:pt idx="3">
                  <c:v>0.60416666666666663</c:v>
                </c:pt>
                <c:pt idx="4">
                  <c:v>0.58333333333333337</c:v>
                </c:pt>
                <c:pt idx="5">
                  <c:v>0.79166666666666663</c:v>
                </c:pt>
              </c:numCache>
            </c:numRef>
          </c:val>
          <c:extLst xmlns:c16r2="http://schemas.microsoft.com/office/drawing/2015/06/chart">
            <c:ext xmlns:c16="http://schemas.microsoft.com/office/drawing/2014/chart" uri="{C3380CC4-5D6E-409C-BE32-E72D297353CC}">
              <c16:uniqueId val="{00000001-D55A-4BA4-9A83-66C03BA95B75}"/>
            </c:ext>
          </c:extLst>
        </c:ser>
        <c:ser>
          <c:idx val="2"/>
          <c:order val="2"/>
          <c:tx>
            <c:strRef>
              <c:f>'Réponses au formulaire 1'!$Q$66</c:f>
              <c:strCache>
                <c:ptCount val="1"/>
                <c:pt idx="0">
                  <c:v>Neutral</c:v>
                </c:pt>
              </c:strCache>
            </c:strRef>
          </c:tx>
          <c:spPr>
            <a:solidFill>
              <a:schemeClr val="accent4">
                <a:alpha val="85000"/>
              </a:schemeClr>
            </a:solidFill>
            <a:ln w="9525" cap="flat" cmpd="sng" algn="ctr">
              <a:solidFill>
                <a:schemeClr val="accent4">
                  <a:lumMod val="75000"/>
                </a:schemeClr>
              </a:solidFill>
              <a:round/>
            </a:ln>
            <a:effectLst/>
            <a:sp3d contourW="9525">
              <a:contourClr>
                <a:schemeClr val="accent4">
                  <a:lumMod val="75000"/>
                </a:schemeClr>
              </a:contourClr>
            </a:sp3d>
          </c:spPr>
          <c:invertIfNegative val="0"/>
          <c:val>
            <c:numRef>
              <c:f>'Réponses au formulaire 1'!$R$66:$W$66</c:f>
              <c:numCache>
                <c:formatCode>0%</c:formatCode>
                <c:ptCount val="6"/>
                <c:pt idx="0">
                  <c:v>0.125</c:v>
                </c:pt>
                <c:pt idx="1">
                  <c:v>0.19148936170212766</c:v>
                </c:pt>
                <c:pt idx="2">
                  <c:v>4.1666666666666664E-2</c:v>
                </c:pt>
                <c:pt idx="3">
                  <c:v>0.27083333333333331</c:v>
                </c:pt>
                <c:pt idx="4">
                  <c:v>0.20833333333333334</c:v>
                </c:pt>
                <c:pt idx="5">
                  <c:v>0.10416666666666667</c:v>
                </c:pt>
              </c:numCache>
            </c:numRef>
          </c:val>
          <c:extLst xmlns:c16r2="http://schemas.microsoft.com/office/drawing/2015/06/chart">
            <c:ext xmlns:c16="http://schemas.microsoft.com/office/drawing/2014/chart" uri="{C3380CC4-5D6E-409C-BE32-E72D297353CC}">
              <c16:uniqueId val="{00000002-D55A-4BA4-9A83-66C03BA95B75}"/>
            </c:ext>
          </c:extLst>
        </c:ser>
        <c:ser>
          <c:idx val="3"/>
          <c:order val="3"/>
          <c:tx>
            <c:strRef>
              <c:f>'Réponses au formulaire 1'!$Q$67</c:f>
              <c:strCache>
                <c:ptCount val="1"/>
                <c:pt idx="0">
                  <c:v>Disagree</c:v>
                </c:pt>
              </c:strCache>
            </c:strRef>
          </c:tx>
          <c:spPr>
            <a:solidFill>
              <a:schemeClr val="accent6">
                <a:lumMod val="60000"/>
                <a:alpha val="85000"/>
              </a:schemeClr>
            </a:solidFill>
            <a:ln w="9525" cap="flat" cmpd="sng" algn="ctr">
              <a:solidFill>
                <a:schemeClr val="accent6">
                  <a:lumMod val="60000"/>
                  <a:lumMod val="75000"/>
                </a:schemeClr>
              </a:solidFill>
              <a:round/>
            </a:ln>
            <a:effectLst/>
            <a:sp3d contourW="9525">
              <a:contourClr>
                <a:schemeClr val="accent6">
                  <a:lumMod val="60000"/>
                  <a:lumMod val="75000"/>
                </a:schemeClr>
              </a:contourClr>
            </a:sp3d>
          </c:spPr>
          <c:invertIfNegative val="0"/>
          <c:val>
            <c:numRef>
              <c:f>'Réponses au formulaire 1'!$R$67:$W$67</c:f>
              <c:numCache>
                <c:formatCode>0%</c:formatCode>
                <c:ptCount val="6"/>
                <c:pt idx="0">
                  <c:v>2.0833333333333332E-2</c:v>
                </c:pt>
                <c:pt idx="1">
                  <c:v>2.1276595744680851E-2</c:v>
                </c:pt>
                <c:pt idx="2">
                  <c:v>2.0833333333333332E-2</c:v>
                </c:pt>
                <c:pt idx="3">
                  <c:v>6.25E-2</c:v>
                </c:pt>
                <c:pt idx="4">
                  <c:v>0.10416666666666667</c:v>
                </c:pt>
                <c:pt idx="5">
                  <c:v>2.0833333333333332E-2</c:v>
                </c:pt>
              </c:numCache>
            </c:numRef>
          </c:val>
          <c:extLst xmlns:c16r2="http://schemas.microsoft.com/office/drawing/2015/06/chart">
            <c:ext xmlns:c16="http://schemas.microsoft.com/office/drawing/2014/chart" uri="{C3380CC4-5D6E-409C-BE32-E72D297353CC}">
              <c16:uniqueId val="{00000003-D55A-4BA4-9A83-66C03BA95B75}"/>
            </c:ext>
          </c:extLst>
        </c:ser>
        <c:ser>
          <c:idx val="4"/>
          <c:order val="4"/>
          <c:tx>
            <c:strRef>
              <c:f>'Réponses au formulaire 1'!$Q$68</c:f>
              <c:strCache>
                <c:ptCount val="1"/>
                <c:pt idx="0">
                  <c:v>Strongly disagree</c:v>
                </c:pt>
              </c:strCache>
            </c:strRef>
          </c:tx>
          <c:spPr>
            <a:solidFill>
              <a:schemeClr val="accent5">
                <a:lumMod val="60000"/>
                <a:alpha val="85000"/>
              </a:schemeClr>
            </a:solidFill>
            <a:ln w="9525" cap="flat" cmpd="sng" algn="ctr">
              <a:solidFill>
                <a:schemeClr val="accent5">
                  <a:lumMod val="60000"/>
                  <a:lumMod val="75000"/>
                </a:schemeClr>
              </a:solidFill>
              <a:round/>
            </a:ln>
            <a:effectLst/>
            <a:sp3d contourW="9525">
              <a:contourClr>
                <a:schemeClr val="accent5">
                  <a:lumMod val="60000"/>
                  <a:lumMod val="75000"/>
                </a:schemeClr>
              </a:contourClr>
            </a:sp3d>
          </c:spPr>
          <c:invertIfNegative val="0"/>
          <c:val>
            <c:numRef>
              <c:f>'Réponses au formulaire 1'!$R$68:$W$68</c:f>
              <c:numCache>
                <c:formatCode>0%</c:formatCode>
                <c:ptCount val="6"/>
                <c:pt idx="0">
                  <c:v>0</c:v>
                </c:pt>
                <c:pt idx="1">
                  <c:v>0</c:v>
                </c:pt>
                <c:pt idx="2">
                  <c:v>0</c:v>
                </c:pt>
                <c:pt idx="3">
                  <c:v>2.0833333333333332E-2</c:v>
                </c:pt>
                <c:pt idx="4">
                  <c:v>2.0833333333333332E-2</c:v>
                </c:pt>
                <c:pt idx="5">
                  <c:v>0</c:v>
                </c:pt>
              </c:numCache>
            </c:numRef>
          </c:val>
          <c:extLst xmlns:c16r2="http://schemas.microsoft.com/office/drawing/2015/06/chart">
            <c:ext xmlns:c16="http://schemas.microsoft.com/office/drawing/2014/chart" uri="{C3380CC4-5D6E-409C-BE32-E72D297353CC}">
              <c16:uniqueId val="{00000004-D55A-4BA4-9A83-66C03BA95B75}"/>
            </c:ext>
          </c:extLst>
        </c:ser>
        <c:dLbls>
          <c:showLegendKey val="0"/>
          <c:showVal val="0"/>
          <c:showCatName val="0"/>
          <c:showSerName val="0"/>
          <c:showPercent val="0"/>
          <c:showBubbleSize val="0"/>
        </c:dLbls>
        <c:gapWidth val="65"/>
        <c:shape val="box"/>
        <c:axId val="-617832384"/>
        <c:axId val="-617831840"/>
        <c:axId val="0"/>
      </c:bar3DChart>
      <c:catAx>
        <c:axId val="-617832384"/>
        <c:scaling>
          <c:orientation val="minMax"/>
        </c:scaling>
        <c:delete val="0"/>
        <c:axPos val="b"/>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600" b="0" i="0" u="none" strike="noStrike" kern="1200" cap="all"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fr-FR"/>
          </a:p>
        </c:txPr>
        <c:crossAx val="-617831840"/>
        <c:crosses val="autoZero"/>
        <c:auto val="1"/>
        <c:lblAlgn val="ctr"/>
        <c:lblOffset val="100"/>
        <c:noMultiLvlLbl val="0"/>
      </c:catAx>
      <c:valAx>
        <c:axId val="-617831840"/>
        <c:scaling>
          <c:orientation val="minMax"/>
        </c:scaling>
        <c:delete val="0"/>
        <c:axPos val="l"/>
        <c:majorGridlines>
          <c:spPr>
            <a:ln w="9525" cap="flat" cmpd="sng" algn="ctr">
              <a:solidFill>
                <a:schemeClr val="dk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6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fr-FR"/>
          </a:p>
        </c:txPr>
        <c:crossAx val="-617832384"/>
        <c:crosses val="autoZero"/>
        <c:crossBetween val="between"/>
      </c:valAx>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12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fr-FR"/>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sz="600">
          <a:latin typeface="Times New Roman" panose="02020603050405020304" pitchFamily="18" charset="0"/>
          <a:cs typeface="Times New Roman" panose="02020603050405020304" pitchFamily="18" charset="0"/>
        </a:defRPr>
      </a:pPr>
      <a:endParaRPr lang="fr-FR"/>
    </a:p>
  </c:txPr>
  <c:externalData r:id="rId4">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fr-FR"/>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errBars>
            <c:errBarType val="plus"/>
            <c:errValType val="cust"/>
            <c:noEndCap val="0"/>
            <c:plus>
              <c:numRef>
                <c:f>Sheet8!$I$36:$N$36</c:f>
                <c:numCache>
                  <c:formatCode>General</c:formatCode>
                  <c:ptCount val="6"/>
                  <c:pt idx="0">
                    <c:v>0.78097956312197192</c:v>
                  </c:pt>
                  <c:pt idx="1">
                    <c:v>0.88150909205234607</c:v>
                  </c:pt>
                  <c:pt idx="2">
                    <c:v>0.67240438693874394</c:v>
                  </c:pt>
                  <c:pt idx="3">
                    <c:v>1.148349107962759</c:v>
                  </c:pt>
                  <c:pt idx="4">
                    <c:v>1.1893066697071568</c:v>
                  </c:pt>
                  <c:pt idx="5">
                    <c:v>0.75764425866961937</c:v>
                  </c:pt>
                </c:numCache>
              </c:numRef>
            </c:plus>
            <c:minus>
              <c:numLit>
                <c:formatCode>General</c:formatCode>
                <c:ptCount val="1"/>
                <c:pt idx="0">
                  <c:v>1</c:v>
                </c:pt>
              </c:numLit>
            </c:minus>
            <c:spPr>
              <a:noFill/>
              <a:ln w="9525" cap="flat" cmpd="sng" algn="ctr">
                <a:solidFill>
                  <a:schemeClr val="tx1">
                    <a:lumMod val="65000"/>
                    <a:lumOff val="35000"/>
                  </a:schemeClr>
                </a:solidFill>
                <a:round/>
              </a:ln>
              <a:effectLst/>
            </c:spPr>
          </c:errBars>
          <c:cat>
            <c:strRef>
              <c:f>Sheet8!$I$31:$N$31</c:f>
              <c:strCache>
                <c:ptCount val="6"/>
                <c:pt idx="0">
                  <c:v>Question1</c:v>
                </c:pt>
                <c:pt idx="1">
                  <c:v>Question 2</c:v>
                </c:pt>
                <c:pt idx="2">
                  <c:v>Question 3</c:v>
                </c:pt>
                <c:pt idx="3">
                  <c:v>Question 4</c:v>
                </c:pt>
                <c:pt idx="4">
                  <c:v>Question 5</c:v>
                </c:pt>
                <c:pt idx="5">
                  <c:v>Question6</c:v>
                </c:pt>
              </c:strCache>
            </c:strRef>
          </c:cat>
          <c:val>
            <c:numRef>
              <c:f>Sheet8!$I$33:$N$33</c:f>
              <c:numCache>
                <c:formatCode>0.00</c:formatCode>
                <c:ptCount val="6"/>
                <c:pt idx="0">
                  <c:v>4.666666666666667</c:v>
                </c:pt>
                <c:pt idx="1">
                  <c:v>4.5106382978723403</c:v>
                </c:pt>
                <c:pt idx="2">
                  <c:v>4.625</c:v>
                </c:pt>
                <c:pt idx="3">
                  <c:v>4.145833333333333</c:v>
                </c:pt>
                <c:pt idx="4">
                  <c:v>4.104166666666667</c:v>
                </c:pt>
                <c:pt idx="5">
                  <c:v>4.645833333333333</c:v>
                </c:pt>
              </c:numCache>
            </c:numRef>
          </c:val>
          <c:extLst xmlns:c16r2="http://schemas.microsoft.com/office/drawing/2015/06/chart">
            <c:ext xmlns:c16="http://schemas.microsoft.com/office/drawing/2014/chart" uri="{C3380CC4-5D6E-409C-BE32-E72D297353CC}">
              <c16:uniqueId val="{00000000-C1E1-4CA0-A952-59EED6333200}"/>
            </c:ext>
          </c:extLst>
        </c:ser>
        <c:dLbls>
          <c:dLblPos val="inEnd"/>
          <c:showLegendKey val="0"/>
          <c:showVal val="1"/>
          <c:showCatName val="0"/>
          <c:showSerName val="0"/>
          <c:showPercent val="0"/>
          <c:showBubbleSize val="0"/>
        </c:dLbls>
        <c:gapWidth val="100"/>
        <c:overlap val="-24"/>
        <c:axId val="-729759440"/>
        <c:axId val="-729761616"/>
      </c:barChart>
      <c:catAx>
        <c:axId val="-729759440"/>
        <c:scaling>
          <c:orientation val="minMax"/>
        </c:scaling>
        <c:delete val="0"/>
        <c:axPos val="b"/>
        <c:title>
          <c:tx>
            <c:rich>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r>
                  <a:rPr lang="en-US"/>
                  <a:t>Skills of Designing Summative Assessment Tools</a:t>
                </a:r>
              </a:p>
            </c:rich>
          </c:tx>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title>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729761616"/>
        <c:crosses val="autoZero"/>
        <c:auto val="1"/>
        <c:lblAlgn val="ctr"/>
        <c:lblOffset val="100"/>
        <c:noMultiLvlLbl val="0"/>
      </c:catAx>
      <c:valAx>
        <c:axId val="-72976161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r>
                  <a:rPr lang="en-US"/>
                  <a:t>Levels of Agreement</a:t>
                </a:r>
              </a:p>
            </c:rich>
          </c:tx>
          <c:overlay val="0"/>
          <c:spPr>
            <a:noFill/>
            <a:ln>
              <a:noFill/>
            </a:ln>
            <a:effectLst/>
          </c:spPr>
          <c:txPr>
            <a:bodyPr rot="-54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729759440"/>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4">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2. Skills: b. Feedback and Reflective Practice</a:t>
            </a:r>
          </a:p>
        </c:rich>
      </c:tx>
      <c:overlay val="0"/>
      <c:spPr>
        <a:noFill/>
        <a:ln>
          <a:noFill/>
        </a:ln>
        <a:effectLst/>
      </c:spPr>
      <c:txPr>
        <a:bodyPr rot="0" spcFirstLastPara="1" vertOverflow="ellipsis" vert="horz" wrap="square" anchor="ctr" anchorCtr="1"/>
        <a:lstStyle/>
        <a:p>
          <a:pPr>
            <a:defRPr sz="12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fr-FR"/>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v>Feedback Techniques</c:v>
          </c:tx>
          <c:spPr>
            <a:gradFill rotWithShape="1">
              <a:gsLst>
                <a:gs pos="0">
                  <a:schemeClr val="accent1">
                    <a:tint val="100000"/>
                    <a:shade val="100000"/>
                    <a:satMod val="130000"/>
                  </a:schemeClr>
                </a:gs>
                <a:gs pos="100000">
                  <a:schemeClr val="accent1">
                    <a:tint val="50000"/>
                    <a:shade val="100000"/>
                    <a:satMod val="350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fr-F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'Réponses au formulaire 1'!$W$62:$W$66</c:f>
              <c:strCache>
                <c:ptCount val="5"/>
                <c:pt idx="0">
                  <c:v>Agree</c:v>
                </c:pt>
                <c:pt idx="1">
                  <c:v>Strongly agree</c:v>
                </c:pt>
                <c:pt idx="2">
                  <c:v>Disagree</c:v>
                </c:pt>
                <c:pt idx="3">
                  <c:v>Strongly disagree</c:v>
                </c:pt>
                <c:pt idx="4">
                  <c:v>Neutral</c:v>
                </c:pt>
              </c:strCache>
            </c:strRef>
          </c:cat>
          <c:val>
            <c:numRef>
              <c:f>'Réponses au formulaire 1'!$X$62:$X$66</c:f>
              <c:numCache>
                <c:formatCode>0%</c:formatCode>
                <c:ptCount val="5"/>
                <c:pt idx="0">
                  <c:v>0.68085106382978722</c:v>
                </c:pt>
                <c:pt idx="1">
                  <c:v>0.1702127659574468</c:v>
                </c:pt>
                <c:pt idx="2">
                  <c:v>2.1276595744680851E-2</c:v>
                </c:pt>
                <c:pt idx="3">
                  <c:v>0</c:v>
                </c:pt>
                <c:pt idx="4">
                  <c:v>0.1276595744680851</c:v>
                </c:pt>
              </c:numCache>
            </c:numRef>
          </c:val>
          <c:extLst xmlns:c16r2="http://schemas.microsoft.com/office/drawing/2015/06/chart">
            <c:ext xmlns:c16="http://schemas.microsoft.com/office/drawing/2014/chart" uri="{C3380CC4-5D6E-409C-BE32-E72D297353CC}">
              <c16:uniqueId val="{00000000-854E-4F2F-AAFA-D78AD6F6618A}"/>
            </c:ext>
          </c:extLst>
        </c:ser>
        <c:ser>
          <c:idx val="1"/>
          <c:order val="1"/>
          <c:tx>
            <c:v>Feedback Significance</c:v>
          </c:tx>
          <c:spPr>
            <a:gradFill rotWithShape="1">
              <a:gsLst>
                <a:gs pos="0">
                  <a:schemeClr val="accent3">
                    <a:tint val="100000"/>
                    <a:shade val="100000"/>
                    <a:satMod val="130000"/>
                  </a:schemeClr>
                </a:gs>
                <a:gs pos="100000">
                  <a:schemeClr val="accent3">
                    <a:tint val="50000"/>
                    <a:shade val="100000"/>
                    <a:satMod val="350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fr-F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'Réponses au formulaire 1'!$W$62:$W$66</c:f>
              <c:strCache>
                <c:ptCount val="5"/>
                <c:pt idx="0">
                  <c:v>Agree</c:v>
                </c:pt>
                <c:pt idx="1">
                  <c:v>Strongly agree</c:v>
                </c:pt>
                <c:pt idx="2">
                  <c:v>Disagree</c:v>
                </c:pt>
                <c:pt idx="3">
                  <c:v>Strongly disagree</c:v>
                </c:pt>
                <c:pt idx="4">
                  <c:v>Neutral</c:v>
                </c:pt>
              </c:strCache>
            </c:strRef>
          </c:cat>
          <c:val>
            <c:numRef>
              <c:f>'Réponses au formulaire 1'!$Y$62:$Y$66</c:f>
              <c:numCache>
                <c:formatCode>0%</c:formatCode>
                <c:ptCount val="5"/>
                <c:pt idx="0">
                  <c:v>0.73469387755102045</c:v>
                </c:pt>
                <c:pt idx="1">
                  <c:v>0.20408163265306123</c:v>
                </c:pt>
                <c:pt idx="2">
                  <c:v>0</c:v>
                </c:pt>
                <c:pt idx="3">
                  <c:v>0</c:v>
                </c:pt>
                <c:pt idx="4">
                  <c:v>6.1224489795918366E-2</c:v>
                </c:pt>
              </c:numCache>
            </c:numRef>
          </c:val>
          <c:extLst xmlns:c16r2="http://schemas.microsoft.com/office/drawing/2015/06/chart">
            <c:ext xmlns:c16="http://schemas.microsoft.com/office/drawing/2014/chart" uri="{C3380CC4-5D6E-409C-BE32-E72D297353CC}">
              <c16:uniqueId val="{00000001-854E-4F2F-AAFA-D78AD6F6618A}"/>
            </c:ext>
          </c:extLst>
        </c:ser>
        <c:ser>
          <c:idx val="2"/>
          <c:order val="2"/>
          <c:tx>
            <c:v>Reflection</c:v>
          </c:tx>
          <c:spPr>
            <a:gradFill rotWithShape="1">
              <a:gsLst>
                <a:gs pos="0">
                  <a:schemeClr val="accent5">
                    <a:tint val="100000"/>
                    <a:shade val="100000"/>
                    <a:satMod val="130000"/>
                  </a:schemeClr>
                </a:gs>
                <a:gs pos="100000">
                  <a:schemeClr val="accent5">
                    <a:tint val="50000"/>
                    <a:shade val="100000"/>
                    <a:satMod val="350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fr-F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'Réponses au formulaire 1'!$W$62:$W$66</c:f>
              <c:strCache>
                <c:ptCount val="5"/>
                <c:pt idx="0">
                  <c:v>Agree</c:v>
                </c:pt>
                <c:pt idx="1">
                  <c:v>Strongly agree</c:v>
                </c:pt>
                <c:pt idx="2">
                  <c:v>Disagree</c:v>
                </c:pt>
                <c:pt idx="3">
                  <c:v>Strongly disagree</c:v>
                </c:pt>
                <c:pt idx="4">
                  <c:v>Neutral</c:v>
                </c:pt>
              </c:strCache>
            </c:strRef>
          </c:cat>
          <c:val>
            <c:numRef>
              <c:f>'Réponses au formulaire 1'!$Z$62:$Z$66</c:f>
              <c:numCache>
                <c:formatCode>0%</c:formatCode>
                <c:ptCount val="5"/>
                <c:pt idx="0">
                  <c:v>0.64583333333333337</c:v>
                </c:pt>
                <c:pt idx="1">
                  <c:v>0.22916666666666666</c:v>
                </c:pt>
                <c:pt idx="2">
                  <c:v>2.0833333333333332E-2</c:v>
                </c:pt>
                <c:pt idx="3">
                  <c:v>0</c:v>
                </c:pt>
                <c:pt idx="4">
                  <c:v>0.10416666666666667</c:v>
                </c:pt>
              </c:numCache>
            </c:numRef>
          </c:val>
          <c:extLst xmlns:c16r2="http://schemas.microsoft.com/office/drawing/2015/06/chart">
            <c:ext xmlns:c16="http://schemas.microsoft.com/office/drawing/2014/chart" uri="{C3380CC4-5D6E-409C-BE32-E72D297353CC}">
              <c16:uniqueId val="{00000002-854E-4F2F-AAFA-D78AD6F6618A}"/>
            </c:ext>
          </c:extLst>
        </c:ser>
        <c:ser>
          <c:idx val="3"/>
          <c:order val="3"/>
          <c:tx>
            <c:v>Refinement</c:v>
          </c:tx>
          <c:spPr>
            <a:gradFill rotWithShape="1">
              <a:gsLst>
                <a:gs pos="0">
                  <a:schemeClr val="accent1">
                    <a:lumMod val="60000"/>
                    <a:tint val="100000"/>
                    <a:shade val="100000"/>
                    <a:satMod val="130000"/>
                  </a:schemeClr>
                </a:gs>
                <a:gs pos="100000">
                  <a:schemeClr val="accent1">
                    <a:lumMod val="60000"/>
                    <a:tint val="50000"/>
                    <a:shade val="100000"/>
                    <a:satMod val="350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fr-F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'Réponses au formulaire 1'!$W$62:$W$66</c:f>
              <c:strCache>
                <c:ptCount val="5"/>
                <c:pt idx="0">
                  <c:v>Agree</c:v>
                </c:pt>
                <c:pt idx="1">
                  <c:v>Strongly agree</c:v>
                </c:pt>
                <c:pt idx="2">
                  <c:v>Disagree</c:v>
                </c:pt>
                <c:pt idx="3">
                  <c:v>Strongly disagree</c:v>
                </c:pt>
                <c:pt idx="4">
                  <c:v>Neutral</c:v>
                </c:pt>
              </c:strCache>
            </c:strRef>
          </c:cat>
          <c:val>
            <c:numRef>
              <c:f>'Réponses au formulaire 1'!$AA$62:$AA$66</c:f>
              <c:numCache>
                <c:formatCode>0%</c:formatCode>
                <c:ptCount val="5"/>
                <c:pt idx="0">
                  <c:v>0.625</c:v>
                </c:pt>
                <c:pt idx="1">
                  <c:v>0.10416666666666667</c:v>
                </c:pt>
                <c:pt idx="2">
                  <c:v>8.3333333333333329E-2</c:v>
                </c:pt>
                <c:pt idx="3">
                  <c:v>0</c:v>
                </c:pt>
                <c:pt idx="4">
                  <c:v>0.1875</c:v>
                </c:pt>
              </c:numCache>
            </c:numRef>
          </c:val>
          <c:extLst xmlns:c16r2="http://schemas.microsoft.com/office/drawing/2015/06/chart">
            <c:ext xmlns:c16="http://schemas.microsoft.com/office/drawing/2014/chart" uri="{C3380CC4-5D6E-409C-BE32-E72D297353CC}">
              <c16:uniqueId val="{00000003-854E-4F2F-AAFA-D78AD6F6618A}"/>
            </c:ext>
          </c:extLst>
        </c:ser>
        <c:dLbls>
          <c:showLegendKey val="0"/>
          <c:showVal val="1"/>
          <c:showCatName val="0"/>
          <c:showSerName val="0"/>
          <c:showPercent val="0"/>
          <c:showBubbleSize val="0"/>
        </c:dLbls>
        <c:gapWidth val="150"/>
        <c:shape val="box"/>
        <c:axId val="-729754544"/>
        <c:axId val="-729758896"/>
        <c:axId val="0"/>
      </c:bar3DChart>
      <c:catAx>
        <c:axId val="-729754544"/>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fr-FR"/>
          </a:p>
        </c:txPr>
        <c:crossAx val="-729758896"/>
        <c:crosses val="autoZero"/>
        <c:auto val="1"/>
        <c:lblAlgn val="ctr"/>
        <c:lblOffset val="100"/>
        <c:noMultiLvlLbl val="0"/>
      </c:catAx>
      <c:valAx>
        <c:axId val="-729758896"/>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fr-FR"/>
          </a:p>
        </c:txPr>
        <c:crossAx val="-72975454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fr-FR"/>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sz="1000">
          <a:latin typeface="Times New Roman" panose="02020603050405020304" pitchFamily="18" charset="0"/>
          <a:cs typeface="Times New Roman" panose="02020603050405020304" pitchFamily="18" charset="0"/>
        </a:defRPr>
      </a:pPr>
      <a:endParaRPr lang="fr-FR"/>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fr-FR"/>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errBars>
            <c:errBarType val="plus"/>
            <c:errValType val="cust"/>
            <c:noEndCap val="0"/>
            <c:plus>
              <c:numRef>
                <c:f>Sheet2!$C$9:$F$9</c:f>
                <c:numCache>
                  <c:formatCode>General</c:formatCode>
                  <c:ptCount val="4"/>
                  <c:pt idx="0">
                    <c:v>0.43334600000000001</c:v>
                  </c:pt>
                  <c:pt idx="1">
                    <c:v>0.242226</c:v>
                  </c:pt>
                  <c:pt idx="2">
                    <c:v>0.41203099999999998</c:v>
                  </c:pt>
                  <c:pt idx="3">
                    <c:v>0.63546199999999997</c:v>
                  </c:pt>
                </c:numCache>
              </c:numRef>
            </c:plus>
            <c:minus>
              <c:numLit>
                <c:formatCode>General</c:formatCode>
                <c:ptCount val="1"/>
                <c:pt idx="0">
                  <c:v>1</c:v>
                </c:pt>
              </c:numLit>
            </c:minus>
            <c:spPr>
              <a:noFill/>
              <a:ln w="9525" cap="flat" cmpd="sng" algn="ctr">
                <a:solidFill>
                  <a:schemeClr val="tx1">
                    <a:lumMod val="65000"/>
                    <a:lumOff val="35000"/>
                  </a:schemeClr>
                </a:solidFill>
                <a:round/>
              </a:ln>
              <a:effectLst/>
            </c:spPr>
          </c:errBars>
          <c:cat>
            <c:strRef>
              <c:f>Sheet2!$C$4:$F$4</c:f>
              <c:strCache>
                <c:ptCount val="4"/>
                <c:pt idx="0">
                  <c:v>Question 01</c:v>
                </c:pt>
                <c:pt idx="1">
                  <c:v>Question 02</c:v>
                </c:pt>
                <c:pt idx="2">
                  <c:v>Question 03</c:v>
                </c:pt>
                <c:pt idx="3">
                  <c:v>Question 04</c:v>
                </c:pt>
              </c:strCache>
            </c:strRef>
          </c:cat>
          <c:val>
            <c:numRef>
              <c:f>Sheet2!$C$5:$F$5</c:f>
              <c:numCache>
                <c:formatCode>0.00</c:formatCode>
                <c:ptCount val="4"/>
                <c:pt idx="0">
                  <c:v>3.8297870000000001</c:v>
                </c:pt>
                <c:pt idx="1">
                  <c:v>3.9387759999999998</c:v>
                </c:pt>
                <c:pt idx="2">
                  <c:v>3.8541669999999999</c:v>
                </c:pt>
                <c:pt idx="3">
                  <c:v>3.6458330000000001</c:v>
                </c:pt>
              </c:numCache>
            </c:numRef>
          </c:val>
          <c:extLst xmlns:c16r2="http://schemas.microsoft.com/office/drawing/2015/06/chart">
            <c:ext xmlns:c16="http://schemas.microsoft.com/office/drawing/2014/chart" uri="{C3380CC4-5D6E-409C-BE32-E72D297353CC}">
              <c16:uniqueId val="{00000000-DB5D-4A44-80C9-A16915BEB6B0}"/>
            </c:ext>
          </c:extLst>
        </c:ser>
        <c:dLbls>
          <c:dLblPos val="inEnd"/>
          <c:showLegendKey val="0"/>
          <c:showVal val="1"/>
          <c:showCatName val="0"/>
          <c:showSerName val="0"/>
          <c:showPercent val="0"/>
          <c:showBubbleSize val="0"/>
        </c:dLbls>
        <c:gapWidth val="219"/>
        <c:overlap val="-27"/>
        <c:axId val="-729765424"/>
        <c:axId val="-729757808"/>
      </c:barChart>
      <c:catAx>
        <c:axId val="-72976542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Feedback, Reflective Practice and Assessment</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fr-FR"/>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729757808"/>
        <c:crosses val="autoZero"/>
        <c:auto val="1"/>
        <c:lblAlgn val="ctr"/>
        <c:lblOffset val="100"/>
        <c:noMultiLvlLbl val="0"/>
      </c:catAx>
      <c:valAx>
        <c:axId val="-72975780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Levels of Agreement</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fr-FR"/>
            </a:p>
          </c:tx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729765424"/>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3">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1-14CF-448C-AEB0-A9B36A87FF4A}"/>
              </c:ext>
            </c:extLst>
          </c:dPt>
          <c:dPt>
            <c:idx val="1"/>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3-14CF-448C-AEB0-A9B36A87FF4A}"/>
              </c:ext>
            </c:extLst>
          </c:dPt>
          <c:dPt>
            <c:idx val="2"/>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5-14CF-448C-AEB0-A9B36A87FF4A}"/>
              </c:ext>
            </c:extLst>
          </c:dPt>
          <c:dPt>
            <c:idx val="3"/>
            <c:bubble3D val="0"/>
            <c:spPr>
              <a:gradFill rotWithShape="1">
                <a:gsLst>
                  <a:gs pos="0">
                    <a:schemeClr val="accent6">
                      <a:lumMod val="60000"/>
                      <a:satMod val="103000"/>
                      <a:lumMod val="102000"/>
                      <a:tint val="94000"/>
                    </a:schemeClr>
                  </a:gs>
                  <a:gs pos="50000">
                    <a:schemeClr val="accent6">
                      <a:lumMod val="60000"/>
                      <a:satMod val="110000"/>
                      <a:lumMod val="100000"/>
                      <a:shade val="100000"/>
                    </a:schemeClr>
                  </a:gs>
                  <a:gs pos="100000">
                    <a:schemeClr val="accent6">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7-14CF-448C-AEB0-A9B36A87FF4A}"/>
              </c:ext>
            </c:extLst>
          </c:dPt>
          <c:dPt>
            <c:idx val="4"/>
            <c:bubble3D val="0"/>
            <c:spPr>
              <a:gradFill rotWithShape="1">
                <a:gsLst>
                  <a:gs pos="0">
                    <a:schemeClr val="accent5">
                      <a:lumMod val="60000"/>
                      <a:satMod val="103000"/>
                      <a:lumMod val="102000"/>
                      <a:tint val="94000"/>
                    </a:schemeClr>
                  </a:gs>
                  <a:gs pos="50000">
                    <a:schemeClr val="accent5">
                      <a:lumMod val="60000"/>
                      <a:satMod val="110000"/>
                      <a:lumMod val="100000"/>
                      <a:shade val="100000"/>
                    </a:schemeClr>
                  </a:gs>
                  <a:gs pos="100000">
                    <a:schemeClr val="accent5">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9-14CF-448C-AEB0-A9B36A87FF4A}"/>
              </c:ext>
            </c:extLst>
          </c:dPt>
          <c:dLbls>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fr-FR"/>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'Réponses au formulaire 1'!$AA$62:$AA$66</c:f>
              <c:strCache>
                <c:ptCount val="5"/>
                <c:pt idx="0">
                  <c:v>Not valuable</c:v>
                </c:pt>
                <c:pt idx="1">
                  <c:v>Slightly valuable</c:v>
                </c:pt>
                <c:pt idx="2">
                  <c:v>Moderately valuable</c:v>
                </c:pt>
                <c:pt idx="3">
                  <c:v>Very valuable</c:v>
                </c:pt>
                <c:pt idx="4">
                  <c:v>Extremely valuable</c:v>
                </c:pt>
              </c:strCache>
            </c:strRef>
          </c:cat>
          <c:val>
            <c:numRef>
              <c:f>'Réponses au formulaire 1'!$AB$62:$AB$66</c:f>
              <c:numCache>
                <c:formatCode>0%</c:formatCode>
                <c:ptCount val="5"/>
                <c:pt idx="0">
                  <c:v>2.1739130434782608E-2</c:v>
                </c:pt>
                <c:pt idx="1">
                  <c:v>0.10869565217391304</c:v>
                </c:pt>
                <c:pt idx="2">
                  <c:v>0.39130434782608697</c:v>
                </c:pt>
                <c:pt idx="3">
                  <c:v>0.39130434782608697</c:v>
                </c:pt>
                <c:pt idx="4">
                  <c:v>8.6956521739130432E-2</c:v>
                </c:pt>
              </c:numCache>
            </c:numRef>
          </c:val>
          <c:extLst xmlns:c16r2="http://schemas.microsoft.com/office/drawing/2015/06/chart">
            <c:ext xmlns:c16="http://schemas.microsoft.com/office/drawing/2014/chart" uri="{C3380CC4-5D6E-409C-BE32-E72D297353CC}">
              <c16:uniqueId val="{0000000A-14CF-448C-AEB0-A9B36A87FF4A}"/>
            </c:ext>
          </c:extLst>
        </c:ser>
        <c:dLbls>
          <c:dLblPos val="inEnd"/>
          <c:showLegendKey val="0"/>
          <c:showVal val="0"/>
          <c:showCatName val="0"/>
          <c:showSerName val="0"/>
          <c:showPercent val="1"/>
          <c:showBubbleSize val="0"/>
          <c:showLeaderLines val="1"/>
        </c:dLbls>
      </c:pie3D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4">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v>Frequency</c:v>
          </c:tx>
          <c:spPr>
            <a:solidFill>
              <a:schemeClr val="accent1"/>
            </a:solidFill>
            <a:ln>
              <a:noFill/>
            </a:ln>
            <a:effectLst/>
            <a:sp3d/>
          </c:spPr>
          <c:invertIfNegative val="0"/>
          <c:cat>
            <c:strRef>
              <c:f>'Réponses au formulaire 1'!$AD$54:$AD$59</c:f>
              <c:strCache>
                <c:ptCount val="6"/>
                <c:pt idx="0">
                  <c:v>Not confident at all</c:v>
                </c:pt>
                <c:pt idx="1">
                  <c:v>Slightly confident</c:v>
                </c:pt>
                <c:pt idx="2">
                  <c:v>Neutral</c:v>
                </c:pt>
                <c:pt idx="3">
                  <c:v>Confident</c:v>
                </c:pt>
                <c:pt idx="4">
                  <c:v>Very confident</c:v>
                </c:pt>
                <c:pt idx="5">
                  <c:v>Total</c:v>
                </c:pt>
              </c:strCache>
            </c:strRef>
          </c:cat>
          <c:val>
            <c:numRef>
              <c:f>'Réponses au formulaire 1'!$AE$54:$AE$59</c:f>
              <c:numCache>
                <c:formatCode>General</c:formatCode>
                <c:ptCount val="6"/>
                <c:pt idx="0">
                  <c:v>0</c:v>
                </c:pt>
                <c:pt idx="1">
                  <c:v>4</c:v>
                </c:pt>
                <c:pt idx="2">
                  <c:v>11</c:v>
                </c:pt>
                <c:pt idx="3">
                  <c:v>31</c:v>
                </c:pt>
                <c:pt idx="4">
                  <c:v>1</c:v>
                </c:pt>
                <c:pt idx="5">
                  <c:v>47</c:v>
                </c:pt>
              </c:numCache>
            </c:numRef>
          </c:val>
          <c:extLst xmlns:c16r2="http://schemas.microsoft.com/office/drawing/2015/06/chart">
            <c:ext xmlns:c16="http://schemas.microsoft.com/office/drawing/2014/chart" uri="{C3380CC4-5D6E-409C-BE32-E72D297353CC}">
              <c16:uniqueId val="{00000000-0F43-4035-AFA8-70A9C630758B}"/>
            </c:ext>
          </c:extLst>
        </c:ser>
        <c:ser>
          <c:idx val="1"/>
          <c:order val="1"/>
          <c:tx>
            <c:v>Percentage</c:v>
          </c:tx>
          <c:spPr>
            <a:solidFill>
              <a:schemeClr val="accent3"/>
            </a:solidFill>
            <a:ln>
              <a:noFill/>
            </a:ln>
            <a:effectLst/>
            <a:sp3d/>
          </c:spPr>
          <c:invertIfNegative val="0"/>
          <c:dLbls>
            <c:dLbl>
              <c:idx val="0"/>
              <c:layout>
                <c:manualLayout>
                  <c:x val="2.4274790629930819E-3"/>
                  <c:y val="-1.7297297297297377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0F43-4035-AFA8-70A9C630758B}"/>
                </c:ext>
                <c:ext xmlns:c15="http://schemas.microsoft.com/office/drawing/2012/chart" uri="{CE6537A1-D6FC-4f65-9D91-7224C49458BB}"/>
              </c:extLst>
            </c:dLbl>
            <c:dLbl>
              <c:idx val="1"/>
              <c:layout>
                <c:manualLayout>
                  <c:x val="2.4274790629931261E-3"/>
                  <c:y val="-3.027027027027035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0F43-4035-AFA8-70A9C630758B}"/>
                </c:ext>
                <c:ext xmlns:c15="http://schemas.microsoft.com/office/drawing/2012/chart" uri="{CE6537A1-D6FC-4f65-9D91-7224C49458BB}"/>
              </c:extLst>
            </c:dLbl>
            <c:dLbl>
              <c:idx val="2"/>
              <c:layout>
                <c:manualLayout>
                  <c:x val="4.8549581259861637E-3"/>
                  <c:y val="-3.4594594594594595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0F43-4035-AFA8-70A9C630758B}"/>
                </c:ext>
                <c:ext xmlns:c15="http://schemas.microsoft.com/office/drawing/2012/chart" uri="{CE6537A1-D6FC-4f65-9D91-7224C49458BB}"/>
              </c:extLst>
            </c:dLbl>
            <c:dLbl>
              <c:idx val="3"/>
              <c:layout>
                <c:manualLayout>
                  <c:x val="2.4274790629930819E-3"/>
                  <c:y val="-2.5945945945945945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0F43-4035-AFA8-70A9C630758B}"/>
                </c:ext>
                <c:ext xmlns:c15="http://schemas.microsoft.com/office/drawing/2012/chart" uri="{CE6537A1-D6FC-4f65-9D91-7224C49458BB}"/>
              </c:extLst>
            </c:dLbl>
            <c:dLbl>
              <c:idx val="4"/>
              <c:layout>
                <c:manualLayout>
                  <c:x val="2.4274790629929925E-3"/>
                  <c:y val="-4.3243243243243246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0F43-4035-AFA8-70A9C630758B}"/>
                </c:ext>
                <c:ext xmlns:c15="http://schemas.microsoft.com/office/drawing/2012/chart" uri="{CE6537A1-D6FC-4f65-9D91-7224C49458BB}"/>
              </c:extLst>
            </c:dLbl>
            <c:dLbl>
              <c:idx val="5"/>
              <c:layout>
                <c:manualLayout>
                  <c:x val="4.854958125985985E-3"/>
                  <c:y val="-3.027027027027027E-2"/>
                </c:manualLayout>
              </c:layout>
              <c:spPr>
                <a:solidFill>
                  <a:srgbClr val="000000">
                    <a:lumMod val="15000"/>
                    <a:lumOff val="85000"/>
                  </a:srgbClr>
                </a:solidFill>
                <a:ln>
                  <a:noFill/>
                </a:ln>
                <a:effectLst/>
              </c:spPr>
              <c:txPr>
                <a:bodyPr rot="5400000" spcFirstLastPara="1" vertOverflow="clip" horzOverflow="clip" vert="horz" wrap="square" lIns="38100" tIns="19050" rIns="38100" bIns="19050" anchor="ctr" anchorCtr="1">
                  <a:spAutoFit/>
                </a:bodyPr>
                <a:lstStyle/>
                <a:p>
                  <a:pPr>
                    <a:defRPr sz="900" b="0" i="0" u="none" strike="noStrike" kern="1200" baseline="0">
                      <a:ln>
                        <a:noFill/>
                      </a:ln>
                      <a:solidFill>
                        <a:schemeClr val="dk1">
                          <a:lumMod val="75000"/>
                          <a:lumOff val="25000"/>
                        </a:schemeClr>
                      </a:solidFill>
                      <a:latin typeface="+mn-lt"/>
                      <a:ea typeface="+mn-ea"/>
                      <a:cs typeface="+mn-cs"/>
                    </a:defRPr>
                  </a:pPr>
                  <a:endParaRPr lang="fr-FR"/>
                </a:p>
              </c:txP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6-0F43-4035-AFA8-70A9C630758B}"/>
                </c:ext>
                <c:ext xmlns:c15="http://schemas.microsoft.com/office/drawing/2012/chart" uri="{CE6537A1-D6FC-4f65-9D91-7224C49458BB}">
                  <c15:spPr xmlns:c15="http://schemas.microsoft.com/office/drawing/2012/chart">
                    <a:prstGeom prst="wedgeRectCallout">
                      <a:avLst/>
                    </a:prstGeom>
                    <a:noFill/>
                    <a:ln>
                      <a:noFill/>
                    </a:ln>
                  </c15:spPr>
                </c:ext>
              </c:extLst>
            </c:dLbl>
            <c:spPr>
              <a:solidFill>
                <a:srgbClr val="000000">
                  <a:lumMod val="15000"/>
                  <a:lumOff val="85000"/>
                </a:srgbClr>
              </a:solidFill>
              <a:ln>
                <a:noFill/>
              </a:ln>
              <a:effectLst/>
            </c:spPr>
            <c:txPr>
              <a:bodyPr rot="5400000" spcFirstLastPara="1" vertOverflow="clip" horzOverflow="clip"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fr-F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pPr xmlns:c15="http://schemas.microsoft.com/office/drawing/2012/chart">
                  <a:prstGeom prst="wedgeRectCallout">
                    <a:avLst/>
                  </a:prstGeom>
                  <a:noFill/>
                  <a:ln>
                    <a:noFill/>
                  </a:ln>
                </c15:spPr>
                <c15:showLeaderLines val="0"/>
              </c:ext>
            </c:extLst>
          </c:dLbls>
          <c:cat>
            <c:strRef>
              <c:f>'Réponses au formulaire 1'!$AD$54:$AD$59</c:f>
              <c:strCache>
                <c:ptCount val="6"/>
                <c:pt idx="0">
                  <c:v>Not confident at all</c:v>
                </c:pt>
                <c:pt idx="1">
                  <c:v>Slightly confident</c:v>
                </c:pt>
                <c:pt idx="2">
                  <c:v>Neutral</c:v>
                </c:pt>
                <c:pt idx="3">
                  <c:v>Confident</c:v>
                </c:pt>
                <c:pt idx="4">
                  <c:v>Very confident</c:v>
                </c:pt>
                <c:pt idx="5">
                  <c:v>Total</c:v>
                </c:pt>
              </c:strCache>
            </c:strRef>
          </c:cat>
          <c:val>
            <c:numRef>
              <c:f>'Réponses au formulaire 1'!$AE$62:$AE$67</c:f>
              <c:numCache>
                <c:formatCode>0%</c:formatCode>
                <c:ptCount val="6"/>
                <c:pt idx="0">
                  <c:v>0</c:v>
                </c:pt>
                <c:pt idx="1">
                  <c:v>8.5106382978723402E-2</c:v>
                </c:pt>
                <c:pt idx="2">
                  <c:v>0.23404255319148937</c:v>
                </c:pt>
                <c:pt idx="3">
                  <c:v>0.65957446808510634</c:v>
                </c:pt>
                <c:pt idx="4">
                  <c:v>2.1276595744680851E-2</c:v>
                </c:pt>
                <c:pt idx="5">
                  <c:v>1</c:v>
                </c:pt>
              </c:numCache>
            </c:numRef>
          </c:val>
          <c:extLst xmlns:c16r2="http://schemas.microsoft.com/office/drawing/2015/06/chart">
            <c:ext xmlns:c16="http://schemas.microsoft.com/office/drawing/2014/chart" uri="{C3380CC4-5D6E-409C-BE32-E72D297353CC}">
              <c16:uniqueId val="{00000007-0F43-4035-AFA8-70A9C630758B}"/>
            </c:ext>
          </c:extLst>
        </c:ser>
        <c:dLbls>
          <c:showLegendKey val="0"/>
          <c:showVal val="0"/>
          <c:showCatName val="0"/>
          <c:showSerName val="0"/>
          <c:showPercent val="0"/>
          <c:showBubbleSize val="0"/>
        </c:dLbls>
        <c:gapWidth val="150"/>
        <c:shape val="box"/>
        <c:axId val="-729769776"/>
        <c:axId val="-729769232"/>
        <c:axId val="0"/>
      </c:bar3DChart>
      <c:catAx>
        <c:axId val="-729769776"/>
        <c:scaling>
          <c:orientation val="minMax"/>
        </c:scaling>
        <c:delete val="0"/>
        <c:axPos val="b"/>
        <c:title>
          <c:tx>
            <c:rich>
              <a:bodyPr rot="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r>
                  <a:rPr lang="en-US"/>
                  <a:t>Level of Support for Reflective Practice Development</a:t>
                </a:r>
              </a:p>
            </c:rich>
          </c:tx>
          <c:layout>
            <c:manualLayout>
              <c:xMode val="edge"/>
              <c:yMode val="edge"/>
              <c:x val="0.20600103406785281"/>
              <c:y val="0.90981536497127047"/>
            </c:manualLayout>
          </c:layout>
          <c:overlay val="0"/>
          <c:spPr>
            <a:noFill/>
            <a:ln>
              <a:noFill/>
            </a:ln>
            <a:effectLst/>
          </c:spPr>
          <c:txPr>
            <a:bodyPr rot="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endParaRPr lang="fr-FR"/>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cap="none" spc="0" normalizeH="0" baseline="0">
                <a:solidFill>
                  <a:schemeClr val="tx1">
                    <a:lumMod val="65000"/>
                    <a:lumOff val="35000"/>
                  </a:schemeClr>
                </a:solidFill>
                <a:latin typeface="+mn-lt"/>
                <a:ea typeface="+mn-ea"/>
                <a:cs typeface="+mn-cs"/>
              </a:defRPr>
            </a:pPr>
            <a:endParaRPr lang="fr-FR"/>
          </a:p>
        </c:txPr>
        <c:crossAx val="-729769232"/>
        <c:crosses val="autoZero"/>
        <c:auto val="1"/>
        <c:lblAlgn val="ctr"/>
        <c:lblOffset val="100"/>
        <c:noMultiLvlLbl val="0"/>
      </c:catAx>
      <c:valAx>
        <c:axId val="-729769232"/>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r>
                  <a:rPr lang="en-US"/>
                  <a:t>Respondents ' Percentage</a:t>
                </a:r>
              </a:p>
            </c:rich>
          </c:tx>
          <c:overlay val="0"/>
          <c:spPr>
            <a:noFill/>
            <a:ln>
              <a:noFill/>
            </a:ln>
            <a:effectLst/>
          </c:spPr>
          <c:txPr>
            <a:bodyPr rot="-540000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endParaRPr lang="fr-FR"/>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729769776"/>
        <c:crosses val="autoZero"/>
        <c:crossBetween val="between"/>
      </c:valAx>
      <c:dTable>
        <c:showHorzBorder val="1"/>
        <c:showVertBorder val="1"/>
        <c:showOutline val="1"/>
        <c:showKeys val="1"/>
        <c:spPr>
          <a:noFill/>
          <a:ln w="9525">
            <a:solidFill>
              <a:schemeClr val="tx1">
                <a:lumMod val="15000"/>
                <a:lumOff val="85000"/>
              </a:schemeClr>
            </a:solid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dTable>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3">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Reflective Practice Distribution</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fr-FR"/>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v>Regular Reflection</c:v>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fr-F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'Réponses au formulaire 1'!$AB$62:$AB$66</c:f>
              <c:strCache>
                <c:ptCount val="5"/>
                <c:pt idx="0">
                  <c:v>Never</c:v>
                </c:pt>
                <c:pt idx="1">
                  <c:v>Occasionally</c:v>
                </c:pt>
                <c:pt idx="2">
                  <c:v>Sometimes</c:v>
                </c:pt>
                <c:pt idx="3">
                  <c:v>Often</c:v>
                </c:pt>
                <c:pt idx="4">
                  <c:v>Consistently</c:v>
                </c:pt>
              </c:strCache>
            </c:strRef>
          </c:cat>
          <c:val>
            <c:numRef>
              <c:f>'Réponses au formulaire 1'!$AC$62:$AC$66</c:f>
              <c:numCache>
                <c:formatCode>0%</c:formatCode>
                <c:ptCount val="5"/>
                <c:pt idx="0">
                  <c:v>0.14583333333333334</c:v>
                </c:pt>
                <c:pt idx="1">
                  <c:v>0.1875</c:v>
                </c:pt>
                <c:pt idx="2">
                  <c:v>0.33333333333333331</c:v>
                </c:pt>
                <c:pt idx="3">
                  <c:v>0.29166666666666669</c:v>
                </c:pt>
                <c:pt idx="4">
                  <c:v>4.1666666666666664E-2</c:v>
                </c:pt>
              </c:numCache>
            </c:numRef>
          </c:val>
          <c:extLst xmlns:c16r2="http://schemas.microsoft.com/office/drawing/2015/06/chart">
            <c:ext xmlns:c16="http://schemas.microsoft.com/office/drawing/2014/chart" uri="{C3380CC4-5D6E-409C-BE32-E72D297353CC}">
              <c16:uniqueId val="{00000000-A503-4705-9384-3420C281E9E3}"/>
            </c:ext>
          </c:extLst>
        </c:ser>
        <c:ser>
          <c:idx val="1"/>
          <c:order val="1"/>
          <c:tx>
            <c:v>Self and Peer Assessment</c:v>
          </c:tx>
          <c:spPr>
            <a:solidFill>
              <a:schemeClr val="accent3"/>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fr-F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'Réponses au formulaire 1'!$AB$62:$AB$66</c:f>
              <c:strCache>
                <c:ptCount val="5"/>
                <c:pt idx="0">
                  <c:v>Never</c:v>
                </c:pt>
                <c:pt idx="1">
                  <c:v>Occasionally</c:v>
                </c:pt>
                <c:pt idx="2">
                  <c:v>Sometimes</c:v>
                </c:pt>
                <c:pt idx="3">
                  <c:v>Often</c:v>
                </c:pt>
                <c:pt idx="4">
                  <c:v>Consistently</c:v>
                </c:pt>
              </c:strCache>
            </c:strRef>
          </c:cat>
          <c:val>
            <c:numRef>
              <c:f>'Réponses au formulaire 1'!$AD$62:$AD$66</c:f>
              <c:numCache>
                <c:formatCode>0%</c:formatCode>
                <c:ptCount val="5"/>
                <c:pt idx="0">
                  <c:v>8.5106382978723402E-2</c:v>
                </c:pt>
                <c:pt idx="1">
                  <c:v>0.1276595744680851</c:v>
                </c:pt>
                <c:pt idx="2">
                  <c:v>0.36170212765957449</c:v>
                </c:pt>
                <c:pt idx="3">
                  <c:v>0.38297872340425532</c:v>
                </c:pt>
                <c:pt idx="4">
                  <c:v>4.2553191489361701E-2</c:v>
                </c:pt>
              </c:numCache>
            </c:numRef>
          </c:val>
          <c:extLst xmlns:c16r2="http://schemas.microsoft.com/office/drawing/2015/06/chart">
            <c:ext xmlns:c16="http://schemas.microsoft.com/office/drawing/2014/chart" uri="{C3380CC4-5D6E-409C-BE32-E72D297353CC}">
              <c16:uniqueId val="{00000001-A503-4705-9384-3420C281E9E3}"/>
            </c:ext>
          </c:extLst>
        </c:ser>
        <c:ser>
          <c:idx val="2"/>
          <c:order val="2"/>
          <c:tx>
            <c:v>Reflective Models</c:v>
          </c:tx>
          <c:spPr>
            <a:solidFill>
              <a:schemeClr val="accent5"/>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fr-F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'Réponses au formulaire 1'!$AB$62:$AB$66</c:f>
              <c:strCache>
                <c:ptCount val="5"/>
                <c:pt idx="0">
                  <c:v>Never</c:v>
                </c:pt>
                <c:pt idx="1">
                  <c:v>Occasionally</c:v>
                </c:pt>
                <c:pt idx="2">
                  <c:v>Sometimes</c:v>
                </c:pt>
                <c:pt idx="3">
                  <c:v>Often</c:v>
                </c:pt>
                <c:pt idx="4">
                  <c:v>Consistently</c:v>
                </c:pt>
              </c:strCache>
            </c:strRef>
          </c:cat>
          <c:val>
            <c:numRef>
              <c:f>'Réponses au formulaire 1'!$AE$62:$AE$66</c:f>
              <c:numCache>
                <c:formatCode>0%</c:formatCode>
                <c:ptCount val="5"/>
                <c:pt idx="0">
                  <c:v>0.10638297872340426</c:v>
                </c:pt>
                <c:pt idx="1">
                  <c:v>8.5106382978723402E-2</c:v>
                </c:pt>
                <c:pt idx="2">
                  <c:v>0.31914893617021278</c:v>
                </c:pt>
                <c:pt idx="3">
                  <c:v>0.42553191489361702</c:v>
                </c:pt>
                <c:pt idx="4">
                  <c:v>6.3829787234042548E-2</c:v>
                </c:pt>
              </c:numCache>
            </c:numRef>
          </c:val>
          <c:extLst xmlns:c16r2="http://schemas.microsoft.com/office/drawing/2015/06/chart">
            <c:ext xmlns:c16="http://schemas.microsoft.com/office/drawing/2014/chart" uri="{C3380CC4-5D6E-409C-BE32-E72D297353CC}">
              <c16:uniqueId val="{00000002-A503-4705-9384-3420C281E9E3}"/>
            </c:ext>
          </c:extLst>
        </c:ser>
        <c:dLbls>
          <c:showLegendKey val="0"/>
          <c:showVal val="1"/>
          <c:showCatName val="0"/>
          <c:showSerName val="0"/>
          <c:showPercent val="0"/>
          <c:showBubbleSize val="0"/>
        </c:dLbls>
        <c:gapWidth val="150"/>
        <c:shape val="box"/>
        <c:axId val="-729762704"/>
        <c:axId val="-725562992"/>
        <c:axId val="0"/>
      </c:bar3DChart>
      <c:catAx>
        <c:axId val="-72976270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725562992"/>
        <c:crosses val="autoZero"/>
        <c:auto val="1"/>
        <c:lblAlgn val="ctr"/>
        <c:lblOffset val="100"/>
        <c:noMultiLvlLbl val="0"/>
      </c:catAx>
      <c:valAx>
        <c:axId val="-72556299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72976270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3">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Sheet3!$B$5</c:f>
              <c:strCache>
                <c:ptCount val="1"/>
                <c:pt idx="0">
                  <c:v>Mean</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fr-FR"/>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errBars>
            <c:errBarType val="plus"/>
            <c:errValType val="cust"/>
            <c:noEndCap val="0"/>
            <c:plus>
              <c:numRef>
                <c:f>Sheet3!$C$9:$E$9</c:f>
                <c:numCache>
                  <c:formatCode>General</c:formatCode>
                  <c:ptCount val="3"/>
                  <c:pt idx="0">
                    <c:v>1.1154539999999999</c:v>
                  </c:pt>
                  <c:pt idx="1">
                    <c:v>1.0069140000000001</c:v>
                  </c:pt>
                  <c:pt idx="2">
                    <c:v>1.0727469999999999</c:v>
                  </c:pt>
                </c:numCache>
              </c:numRef>
            </c:plus>
            <c:minus>
              <c:numLit>
                <c:formatCode>General</c:formatCode>
                <c:ptCount val="1"/>
                <c:pt idx="0">
                  <c:v>1</c:v>
                </c:pt>
              </c:numLit>
            </c:minus>
            <c:spPr>
              <a:noFill/>
              <a:ln w="9525" cap="flat" cmpd="sng" algn="ctr">
                <a:solidFill>
                  <a:schemeClr val="dk1">
                    <a:lumMod val="50000"/>
                    <a:lumOff val="50000"/>
                  </a:schemeClr>
                </a:solidFill>
                <a:round/>
              </a:ln>
              <a:effectLst/>
            </c:spPr>
          </c:errBars>
          <c:cat>
            <c:strRef>
              <c:f>Sheet3!$C$4:$E$4</c:f>
              <c:strCache>
                <c:ptCount val="3"/>
                <c:pt idx="0">
                  <c:v>Question 07</c:v>
                </c:pt>
                <c:pt idx="1">
                  <c:v>Question 08</c:v>
                </c:pt>
                <c:pt idx="2">
                  <c:v>Question 08</c:v>
                </c:pt>
              </c:strCache>
            </c:strRef>
          </c:cat>
          <c:val>
            <c:numRef>
              <c:f>Sheet3!$C$5:$E$5</c:f>
              <c:numCache>
                <c:formatCode>0.00</c:formatCode>
                <c:ptCount val="3"/>
                <c:pt idx="0">
                  <c:v>2.8958330000000001</c:v>
                </c:pt>
                <c:pt idx="1">
                  <c:v>3.1702129999999999</c:v>
                </c:pt>
                <c:pt idx="2">
                  <c:v>3.2553190000000001</c:v>
                </c:pt>
              </c:numCache>
            </c:numRef>
          </c:val>
          <c:extLst xmlns:c16r2="http://schemas.microsoft.com/office/drawing/2015/06/chart">
            <c:ext xmlns:c16="http://schemas.microsoft.com/office/drawing/2014/chart" uri="{C3380CC4-5D6E-409C-BE32-E72D297353CC}">
              <c16:uniqueId val="{00000000-D6CF-48FE-8518-D4A09CD0FA17}"/>
            </c:ext>
          </c:extLst>
        </c:ser>
        <c:dLbls>
          <c:dLblPos val="ctr"/>
          <c:showLegendKey val="0"/>
          <c:showVal val="1"/>
          <c:showCatName val="0"/>
          <c:showSerName val="0"/>
          <c:showPercent val="0"/>
          <c:showBubbleSize val="0"/>
        </c:dLbls>
        <c:gapWidth val="267"/>
        <c:overlap val="-43"/>
        <c:axId val="-421005328"/>
        <c:axId val="-421009680"/>
      </c:barChart>
      <c:catAx>
        <c:axId val="-421005328"/>
        <c:scaling>
          <c:orientation val="minMax"/>
        </c:scaling>
        <c:delete val="0"/>
        <c:axPos val="b"/>
        <c:majorGridlines>
          <c:spPr>
            <a:ln w="9525" cap="flat" cmpd="sng" algn="ctr">
              <a:solidFill>
                <a:schemeClr val="dk1">
                  <a:lumMod val="15000"/>
                  <a:lumOff val="85000"/>
                </a:schemeClr>
              </a:solidFill>
              <a:round/>
            </a:ln>
            <a:effectLst/>
          </c:spPr>
        </c:majorGridlines>
        <c:title>
          <c:tx>
            <c:rich>
              <a:bodyPr rot="0" spcFirstLastPara="1" vertOverflow="ellipsis" vert="horz" wrap="square" anchor="ctr" anchorCtr="1"/>
              <a:lstStyle/>
              <a:p>
                <a:pPr>
                  <a:defRPr sz="900" b="1" i="0" u="none" strike="noStrike" kern="1200" baseline="0">
                    <a:solidFill>
                      <a:schemeClr val="dk1">
                        <a:lumMod val="65000"/>
                        <a:lumOff val="35000"/>
                      </a:schemeClr>
                    </a:solidFill>
                    <a:latin typeface="+mn-lt"/>
                    <a:ea typeface="+mn-ea"/>
                    <a:cs typeface="+mn-cs"/>
                  </a:defRPr>
                </a:pPr>
                <a:r>
                  <a:rPr lang="en-US"/>
                  <a:t>Engagement in Reflective Practices</a:t>
                </a:r>
              </a:p>
            </c:rich>
          </c:tx>
          <c:overlay val="0"/>
          <c:spPr>
            <a:noFill/>
            <a:ln>
              <a:noFill/>
            </a:ln>
            <a:effectLst/>
          </c:spPr>
          <c:txPr>
            <a:bodyPr rot="0" spcFirstLastPara="1" vertOverflow="ellipsis" vert="horz" wrap="square" anchor="ctr" anchorCtr="1"/>
            <a:lstStyle/>
            <a:p>
              <a:pPr>
                <a:defRPr sz="900" b="1" i="0" u="none" strike="noStrike" kern="1200" baseline="0">
                  <a:solidFill>
                    <a:schemeClr val="dk1">
                      <a:lumMod val="65000"/>
                      <a:lumOff val="35000"/>
                    </a:schemeClr>
                  </a:solidFill>
                  <a:latin typeface="+mn-lt"/>
                  <a:ea typeface="+mn-ea"/>
                  <a:cs typeface="+mn-cs"/>
                </a:defRPr>
              </a:pPr>
              <a:endParaRPr lang="fr-FR"/>
            </a:p>
          </c:txPr>
        </c:title>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cap="none" spc="0" normalizeH="0" baseline="0">
                <a:solidFill>
                  <a:schemeClr val="dk1">
                    <a:lumMod val="65000"/>
                    <a:lumOff val="35000"/>
                  </a:schemeClr>
                </a:solidFill>
                <a:latin typeface="+mn-lt"/>
                <a:ea typeface="+mn-ea"/>
                <a:cs typeface="+mn-cs"/>
              </a:defRPr>
            </a:pPr>
            <a:endParaRPr lang="fr-FR"/>
          </a:p>
        </c:txPr>
        <c:crossAx val="-421009680"/>
        <c:crosses val="autoZero"/>
        <c:auto val="1"/>
        <c:lblAlgn val="ctr"/>
        <c:lblOffset val="100"/>
        <c:noMultiLvlLbl val="0"/>
      </c:catAx>
      <c:valAx>
        <c:axId val="-421009680"/>
        <c:scaling>
          <c:orientation val="minMax"/>
        </c:scaling>
        <c:delete val="0"/>
        <c:axPos val="l"/>
        <c:majorGridlines>
          <c:spPr>
            <a:ln w="9525" cap="flat" cmpd="sng" algn="ctr">
              <a:solidFill>
                <a:schemeClr val="dk1">
                  <a:lumMod val="15000"/>
                  <a:lumOff val="85000"/>
                </a:schemeClr>
              </a:solidFill>
              <a:round/>
            </a:ln>
            <a:effectLst/>
          </c:spPr>
        </c:majorGridlines>
        <c:title>
          <c:tx>
            <c:rich>
              <a:bodyPr rot="-5400000" spcFirstLastPara="1" vertOverflow="ellipsis" vert="horz" wrap="square" anchor="ctr" anchorCtr="1"/>
              <a:lstStyle/>
              <a:p>
                <a:pPr>
                  <a:defRPr sz="900" b="1" i="0" u="none" strike="noStrike" kern="1200" baseline="0">
                    <a:solidFill>
                      <a:schemeClr val="dk1">
                        <a:lumMod val="65000"/>
                        <a:lumOff val="35000"/>
                      </a:schemeClr>
                    </a:solidFill>
                    <a:latin typeface="+mn-lt"/>
                    <a:ea typeface="+mn-ea"/>
                    <a:cs typeface="+mn-cs"/>
                  </a:defRPr>
                </a:pPr>
                <a:r>
                  <a:rPr lang="en-US"/>
                  <a:t>Frequency of Engagement</a:t>
                </a:r>
              </a:p>
            </c:rich>
          </c:tx>
          <c:overlay val="0"/>
          <c:spPr>
            <a:noFill/>
            <a:ln>
              <a:noFill/>
            </a:ln>
            <a:effectLst/>
          </c:spPr>
          <c:txPr>
            <a:bodyPr rot="-5400000" spcFirstLastPara="1" vertOverflow="ellipsis" vert="horz" wrap="square" anchor="ctr" anchorCtr="1"/>
            <a:lstStyle/>
            <a:p>
              <a:pPr>
                <a:defRPr sz="900" b="1" i="0" u="none" strike="noStrike" kern="1200" baseline="0">
                  <a:solidFill>
                    <a:schemeClr val="dk1">
                      <a:lumMod val="65000"/>
                      <a:lumOff val="35000"/>
                    </a:schemeClr>
                  </a:solidFill>
                  <a:latin typeface="+mn-lt"/>
                  <a:ea typeface="+mn-ea"/>
                  <a:cs typeface="+mn-cs"/>
                </a:defRPr>
              </a:pPr>
              <a:endParaRPr lang="fr-FR"/>
            </a:p>
          </c:tx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fr-FR"/>
          </a:p>
        </c:txPr>
        <c:crossAx val="-421005328"/>
        <c:crosses val="autoZero"/>
        <c:crossBetween val="between"/>
      </c:valAx>
      <c:spPr>
        <a:pattFill prst="ltDnDiag">
          <a:fgClr>
            <a:schemeClr val="dk1">
              <a:lumMod val="15000"/>
              <a:lumOff val="85000"/>
            </a:schemeClr>
          </a:fgClr>
          <a:bgClr>
            <a:schemeClr val="lt1"/>
          </a:bgClr>
        </a:patt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lt1"/>
    </a:solidFill>
    <a:ln w="9525" cap="flat" cmpd="sng" algn="ctr">
      <a:solidFill>
        <a:schemeClr val="dk1">
          <a:lumMod val="15000"/>
          <a:lumOff val="85000"/>
        </a:schemeClr>
      </a:solidFill>
      <a:round/>
    </a:ln>
    <a:effectLst/>
  </c:spPr>
  <c:txPr>
    <a:bodyPr/>
    <a:lstStyle/>
    <a:p>
      <a:pPr>
        <a:defRPr/>
      </a:pPr>
      <a:endParaRPr lang="fr-FR"/>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3"/>
    </mc:Choice>
    <mc:Fallback>
      <c:style val="3"/>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a:t>2.Teachers' Teaching Experience</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fr-FR"/>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hade val="53000"/>
                </a:schemeClr>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1-522B-4A9B-AC03-2AFB163F6F93}"/>
              </c:ext>
            </c:extLst>
          </c:dPt>
          <c:dPt>
            <c:idx val="1"/>
            <c:bubble3D val="0"/>
            <c:spPr>
              <a:solidFill>
                <a:schemeClr val="accent1">
                  <a:shade val="76000"/>
                </a:schemeClr>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3-522B-4A9B-AC03-2AFB163F6F93}"/>
              </c:ext>
            </c:extLst>
          </c:dPt>
          <c:dPt>
            <c:idx val="2"/>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5-522B-4A9B-AC03-2AFB163F6F93}"/>
              </c:ext>
            </c:extLst>
          </c:dPt>
          <c:dPt>
            <c:idx val="3"/>
            <c:bubble3D val="0"/>
            <c:spPr>
              <a:solidFill>
                <a:schemeClr val="accent1">
                  <a:tint val="77000"/>
                </a:schemeClr>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7-522B-4A9B-AC03-2AFB163F6F93}"/>
              </c:ext>
            </c:extLst>
          </c:dPt>
          <c:dPt>
            <c:idx val="4"/>
            <c:bubble3D val="0"/>
            <c:spPr>
              <a:solidFill>
                <a:schemeClr val="accent1">
                  <a:tint val="54000"/>
                </a:schemeClr>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9-522B-4A9B-AC03-2AFB163F6F93}"/>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fr-FR"/>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Sheet6!$B$17:$B$21</c:f>
              <c:strCache>
                <c:ptCount val="5"/>
                <c:pt idx="0">
                  <c:v>[0-2]</c:v>
                </c:pt>
                <c:pt idx="1">
                  <c:v>[3-5]</c:v>
                </c:pt>
                <c:pt idx="2">
                  <c:v>[6-10]</c:v>
                </c:pt>
                <c:pt idx="3">
                  <c:v>&lt;10</c:v>
                </c:pt>
                <c:pt idx="4">
                  <c:v>&lt;20</c:v>
                </c:pt>
              </c:strCache>
            </c:strRef>
          </c:cat>
          <c:val>
            <c:numRef>
              <c:f>Sheet6!$E$17:$E$21</c:f>
              <c:numCache>
                <c:formatCode>General</c:formatCode>
                <c:ptCount val="5"/>
                <c:pt idx="0">
                  <c:v>6</c:v>
                </c:pt>
                <c:pt idx="1">
                  <c:v>15</c:v>
                </c:pt>
                <c:pt idx="2">
                  <c:v>9</c:v>
                </c:pt>
                <c:pt idx="3">
                  <c:v>18</c:v>
                </c:pt>
                <c:pt idx="4">
                  <c:v>1</c:v>
                </c:pt>
              </c:numCache>
            </c:numRef>
          </c:val>
          <c:extLst xmlns:c16r2="http://schemas.microsoft.com/office/drawing/2015/06/chart">
            <c:ext xmlns:c16="http://schemas.microsoft.com/office/drawing/2014/chart" uri="{C3380CC4-5D6E-409C-BE32-E72D297353CC}">
              <c16:uniqueId val="{0000000A-522B-4A9B-AC03-2AFB163F6F93}"/>
            </c:ext>
          </c:extLst>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fr-FR"/>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fr-FR"/>
    </a:p>
  </c:txPr>
  <c:externalData r:id="rId4">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200" b="1" i="0" u="none" strike="noStrike" kern="1200" baseline="0">
                <a:solidFill>
                  <a:schemeClr val="tx2"/>
                </a:solidFill>
                <a:latin typeface="Times New Roman" panose="02020603050405020304" pitchFamily="18" charset="0"/>
                <a:ea typeface="+mn-ea"/>
                <a:cs typeface="Times New Roman" panose="02020603050405020304" pitchFamily="18" charset="0"/>
              </a:defRPr>
            </a:pPr>
            <a:r>
              <a:rPr lang="en-US"/>
              <a:t>4. Challenges</a:t>
            </a:r>
          </a:p>
        </c:rich>
      </c:tx>
      <c:overlay val="0"/>
      <c:spPr>
        <a:noFill/>
        <a:ln>
          <a:noFill/>
        </a:ln>
        <a:effectLst/>
      </c:spPr>
      <c:txPr>
        <a:bodyPr rot="0" spcFirstLastPara="1" vertOverflow="ellipsis" vert="horz" wrap="square" anchor="ctr" anchorCtr="1"/>
        <a:lstStyle/>
        <a:p>
          <a:pPr>
            <a:defRPr sz="1200" b="1" i="0" u="none" strike="noStrike" kern="1200" baseline="0">
              <a:solidFill>
                <a:schemeClr val="tx2"/>
              </a:solidFill>
              <a:latin typeface="Times New Roman" panose="02020603050405020304" pitchFamily="18" charset="0"/>
              <a:ea typeface="+mn-ea"/>
              <a:cs typeface="Times New Roman" panose="02020603050405020304" pitchFamily="18" charset="0"/>
            </a:defRPr>
          </a:pPr>
          <a:endParaRPr lang="fr-FR"/>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24862832363345885"/>
          <c:y val="2.2648181247282739E-2"/>
          <c:w val="0.70963776267097045"/>
          <c:h val="0.56060319147223159"/>
        </c:manualLayout>
      </c:layout>
      <c:bar3DChart>
        <c:barDir val="col"/>
        <c:grouping val="standard"/>
        <c:varyColors val="0"/>
        <c:ser>
          <c:idx val="0"/>
          <c:order val="0"/>
          <c:tx>
            <c:v>Students' specific needs</c:v>
          </c:tx>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sp3d/>
          </c:spPr>
          <c:invertIfNegative val="0"/>
          <c:cat>
            <c:strRef>
              <c:f>'Réponses au formulaire 1'!$AF$61:$AF$65</c:f>
              <c:strCache>
                <c:ptCount val="5"/>
                <c:pt idx="0">
                  <c:v>Strongly agree</c:v>
                </c:pt>
                <c:pt idx="1">
                  <c:v>agree</c:v>
                </c:pt>
                <c:pt idx="2">
                  <c:v>neutral</c:v>
                </c:pt>
                <c:pt idx="3">
                  <c:v>strongly disagree</c:v>
                </c:pt>
                <c:pt idx="4">
                  <c:v>disagree</c:v>
                </c:pt>
              </c:strCache>
            </c:strRef>
          </c:cat>
          <c:val>
            <c:numRef>
              <c:f>'Réponses au formulaire 1'!$AG$61:$AG$65</c:f>
              <c:numCache>
                <c:formatCode>0%</c:formatCode>
                <c:ptCount val="5"/>
                <c:pt idx="0">
                  <c:v>4.1666666666666664E-2</c:v>
                </c:pt>
                <c:pt idx="1">
                  <c:v>0.52083333333333337</c:v>
                </c:pt>
                <c:pt idx="2">
                  <c:v>0.14583333333333334</c:v>
                </c:pt>
                <c:pt idx="3">
                  <c:v>4.1666666666666664E-2</c:v>
                </c:pt>
                <c:pt idx="4">
                  <c:v>0.25</c:v>
                </c:pt>
              </c:numCache>
            </c:numRef>
          </c:val>
          <c:extLst xmlns:c16r2="http://schemas.microsoft.com/office/drawing/2015/06/chart">
            <c:ext xmlns:c16="http://schemas.microsoft.com/office/drawing/2014/chart" uri="{C3380CC4-5D6E-409C-BE32-E72D297353CC}">
              <c16:uniqueId val="{00000000-8149-41C8-AC8B-FBC4552E060A}"/>
            </c:ext>
          </c:extLst>
        </c:ser>
        <c:ser>
          <c:idx val="1"/>
          <c:order val="1"/>
          <c:tx>
            <c:v>Time constraints</c:v>
          </c:tx>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sp3d/>
          </c:spPr>
          <c:invertIfNegative val="0"/>
          <c:cat>
            <c:strRef>
              <c:f>'Réponses au formulaire 1'!$AF$61:$AF$65</c:f>
              <c:strCache>
                <c:ptCount val="5"/>
                <c:pt idx="0">
                  <c:v>Strongly agree</c:v>
                </c:pt>
                <c:pt idx="1">
                  <c:v>agree</c:v>
                </c:pt>
                <c:pt idx="2">
                  <c:v>neutral</c:v>
                </c:pt>
                <c:pt idx="3">
                  <c:v>strongly disagree</c:v>
                </c:pt>
                <c:pt idx="4">
                  <c:v>disagree</c:v>
                </c:pt>
              </c:strCache>
            </c:strRef>
          </c:cat>
          <c:val>
            <c:numRef>
              <c:f>'Réponses au formulaire 1'!$AH$61:$AH$65</c:f>
              <c:numCache>
                <c:formatCode>0%</c:formatCode>
                <c:ptCount val="5"/>
                <c:pt idx="0">
                  <c:v>0.10869565217391304</c:v>
                </c:pt>
                <c:pt idx="1">
                  <c:v>0.54347826086956519</c:v>
                </c:pt>
                <c:pt idx="2">
                  <c:v>0.2391304347826087</c:v>
                </c:pt>
                <c:pt idx="3">
                  <c:v>4.3478260869565216E-2</c:v>
                </c:pt>
                <c:pt idx="4">
                  <c:v>6.5217391304347824E-2</c:v>
                </c:pt>
              </c:numCache>
            </c:numRef>
          </c:val>
          <c:extLst xmlns:c16r2="http://schemas.microsoft.com/office/drawing/2015/06/chart">
            <c:ext xmlns:c16="http://schemas.microsoft.com/office/drawing/2014/chart" uri="{C3380CC4-5D6E-409C-BE32-E72D297353CC}">
              <c16:uniqueId val="{00000001-8149-41C8-AC8B-FBC4552E060A}"/>
            </c:ext>
          </c:extLst>
        </c:ser>
        <c:ser>
          <c:idx val="2"/>
          <c:order val="2"/>
          <c:tx>
            <c:v>Privacy concerns</c:v>
          </c:tx>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sp3d/>
          </c:spPr>
          <c:invertIfNegative val="0"/>
          <c:cat>
            <c:strRef>
              <c:f>'Réponses au formulaire 1'!$AF$61:$AF$65</c:f>
              <c:strCache>
                <c:ptCount val="5"/>
                <c:pt idx="0">
                  <c:v>Strongly agree</c:v>
                </c:pt>
                <c:pt idx="1">
                  <c:v>agree</c:v>
                </c:pt>
                <c:pt idx="2">
                  <c:v>neutral</c:v>
                </c:pt>
                <c:pt idx="3">
                  <c:v>strongly disagree</c:v>
                </c:pt>
                <c:pt idx="4">
                  <c:v>disagree</c:v>
                </c:pt>
              </c:strCache>
            </c:strRef>
          </c:cat>
          <c:val>
            <c:numRef>
              <c:f>'Réponses au formulaire 1'!$AI$61:$AI$65</c:f>
              <c:numCache>
                <c:formatCode>0%</c:formatCode>
                <c:ptCount val="5"/>
                <c:pt idx="0">
                  <c:v>0.24444444444444444</c:v>
                </c:pt>
                <c:pt idx="1">
                  <c:v>0.55555555555555558</c:v>
                </c:pt>
                <c:pt idx="2">
                  <c:v>0.1111111111111111</c:v>
                </c:pt>
                <c:pt idx="3">
                  <c:v>0</c:v>
                </c:pt>
                <c:pt idx="4">
                  <c:v>8.8888888888888892E-2</c:v>
                </c:pt>
              </c:numCache>
            </c:numRef>
          </c:val>
          <c:extLst xmlns:c16r2="http://schemas.microsoft.com/office/drawing/2015/06/chart">
            <c:ext xmlns:c16="http://schemas.microsoft.com/office/drawing/2014/chart" uri="{C3380CC4-5D6E-409C-BE32-E72D297353CC}">
              <c16:uniqueId val="{00000002-8149-41C8-AC8B-FBC4552E060A}"/>
            </c:ext>
          </c:extLst>
        </c:ser>
        <c:dLbls>
          <c:showLegendKey val="0"/>
          <c:showVal val="0"/>
          <c:showCatName val="0"/>
          <c:showSerName val="0"/>
          <c:showPercent val="0"/>
          <c:showBubbleSize val="0"/>
        </c:dLbls>
        <c:gapWidth val="150"/>
        <c:shape val="box"/>
        <c:axId val="-421011312"/>
        <c:axId val="-420996080"/>
        <c:axId val="-276159792"/>
      </c:bar3DChart>
      <c:catAx>
        <c:axId val="-421011312"/>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2"/>
                </a:solidFill>
                <a:latin typeface="Times New Roman" panose="02020603050405020304" pitchFamily="18" charset="0"/>
                <a:ea typeface="+mn-ea"/>
                <a:cs typeface="Times New Roman" panose="02020603050405020304" pitchFamily="18" charset="0"/>
              </a:defRPr>
            </a:pPr>
            <a:endParaRPr lang="fr-FR"/>
          </a:p>
        </c:txPr>
        <c:crossAx val="-420996080"/>
        <c:crosses val="autoZero"/>
        <c:auto val="1"/>
        <c:lblAlgn val="ctr"/>
        <c:lblOffset val="100"/>
        <c:noMultiLvlLbl val="0"/>
      </c:catAx>
      <c:valAx>
        <c:axId val="-420996080"/>
        <c:scaling>
          <c:orientation val="minMax"/>
        </c:scaling>
        <c:delete val="0"/>
        <c:axPos val="l"/>
        <c:majorGridlines>
          <c:spPr>
            <a:ln w="9525" cap="flat" cmpd="sng" algn="ctr">
              <a:solidFill>
                <a:schemeClr val="tx2">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2"/>
                </a:solidFill>
                <a:latin typeface="Times New Roman" panose="02020603050405020304" pitchFamily="18" charset="0"/>
                <a:ea typeface="+mn-ea"/>
                <a:cs typeface="Times New Roman" panose="02020603050405020304" pitchFamily="18" charset="0"/>
              </a:defRPr>
            </a:pPr>
            <a:endParaRPr lang="fr-FR"/>
          </a:p>
        </c:txPr>
        <c:crossAx val="-421011312"/>
        <c:crosses val="autoZero"/>
        <c:crossBetween val="between"/>
      </c:valAx>
      <c:serAx>
        <c:axId val="-276159792"/>
        <c:scaling>
          <c:orientation val="minMax"/>
        </c:scaling>
        <c:delete val="1"/>
        <c:axPos val="b"/>
        <c:majorTickMark val="none"/>
        <c:minorTickMark val="none"/>
        <c:tickLblPos val="nextTo"/>
        <c:crossAx val="-420996080"/>
        <c:crosses val="autoZero"/>
      </c:serAx>
      <c:dTable>
        <c:showHorzBorder val="1"/>
        <c:showVertBorder val="1"/>
        <c:showOutline val="1"/>
        <c:showKeys val="1"/>
        <c:spPr>
          <a:noFill/>
          <a:ln w="9525">
            <a:solidFill>
              <a:schemeClr val="tx2">
                <a:lumMod val="15000"/>
                <a:lumOff val="85000"/>
              </a:schemeClr>
            </a:solidFill>
          </a:ln>
          <a:effectLst/>
        </c:spPr>
        <c:txPr>
          <a:bodyPr rot="0" spcFirstLastPara="1" vertOverflow="ellipsis" vert="horz" wrap="square" anchor="ctr" anchorCtr="1"/>
          <a:lstStyle/>
          <a:p>
            <a:pPr>
              <a:defRPr sz="1000" b="0" i="0" u="none" strike="noStrike" kern="1200" baseline="0">
                <a:solidFill>
                  <a:schemeClr val="tx2"/>
                </a:solidFill>
                <a:latin typeface="Times New Roman" panose="02020603050405020304" pitchFamily="18" charset="0"/>
                <a:ea typeface="+mn-ea"/>
                <a:cs typeface="Times New Roman" panose="02020603050405020304" pitchFamily="18" charset="0"/>
              </a:defRPr>
            </a:pPr>
            <a:endParaRPr lang="fr-FR"/>
          </a:p>
        </c:txPr>
      </c:dTable>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2">
          <a:lumMod val="15000"/>
          <a:lumOff val="85000"/>
        </a:schemeClr>
      </a:solidFill>
      <a:round/>
    </a:ln>
    <a:effectLst/>
  </c:spPr>
  <c:txPr>
    <a:bodyPr/>
    <a:lstStyle/>
    <a:p>
      <a:pPr>
        <a:defRPr sz="1000">
          <a:latin typeface="Times New Roman" panose="02020603050405020304" pitchFamily="18" charset="0"/>
          <a:cs typeface="Times New Roman" panose="02020603050405020304" pitchFamily="18" charset="0"/>
        </a:defRPr>
      </a:pPr>
      <a:endParaRPr lang="fr-FR"/>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3"/>
    </mc:Choice>
    <mc:Fallback>
      <c:style val="3"/>
    </mc:Fallback>
  </mc:AlternateContent>
  <c:clrMapOvr bg1="lt1" tx1="dk1" bg2="lt2" tx2="dk2" accent1="accent1" accent2="accent2" accent3="accent3" accent4="accent4" accent5="accent5" accent6="accent6" hlink="hlink" folHlink="folHlink"/>
  <c:pivotSource>
    <c:name>[Copie de Questionnaire vierge WORK.xlsx]Sheet1!PivotTable2</c:name>
    <c:fmtId val="-1"/>
  </c:pivotSource>
  <c:chart>
    <c:title>
      <c:tx>
        <c:rich>
          <a:bodyPr rot="0" spcFirstLastPara="1" vertOverflow="ellipsis" vert="horz" wrap="square" anchor="ctr" anchorCtr="1"/>
          <a:lstStyle/>
          <a:p>
            <a:pPr algn="ctr">
              <a:defRPr sz="120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b="1">
                <a:latin typeface="Times New Roman" panose="02020603050405020304" pitchFamily="18" charset="0"/>
                <a:cs typeface="Times New Roman" panose="02020603050405020304" pitchFamily="18" charset="0"/>
              </a:rPr>
              <a:t>3. Have</a:t>
            </a:r>
            <a:r>
              <a:rPr lang="en-US" sz="1200" b="1" baseline="0">
                <a:latin typeface="Times New Roman" panose="02020603050405020304" pitchFamily="18" charset="0"/>
                <a:cs typeface="Times New Roman" panose="02020603050405020304" pitchFamily="18" charset="0"/>
              </a:rPr>
              <a:t> you participated in an online community?</a:t>
            </a:r>
            <a:endParaRPr lang="en-US" sz="1200" b="1">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lgn="ctr">
            <a:defRPr sz="120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fr-FR"/>
        </a:p>
      </c:txPr>
    </c:title>
    <c:autoTitleDeleted val="0"/>
    <c:pivotFmts>
      <c:pivotFmt>
        <c:idx val="0"/>
        <c:spPr>
          <a:solidFill>
            <a:schemeClr val="accent1"/>
          </a:solidFill>
          <a:ln w="19050">
            <a:solidFill>
              <a:schemeClr val="lt1"/>
            </a:solidFill>
          </a:ln>
          <a:effectLst/>
          <a:sp3d contourW="25400">
            <a:contourClr>
              <a:schemeClr val="lt1"/>
            </a:contourClr>
          </a:sp3d>
        </c:spPr>
        <c:marker>
          <c:symbol val="circle"/>
          <c:size val="5"/>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fr-FR"/>
            </a:p>
          </c:txPr>
          <c:dLblPos val="inEnd"/>
          <c:showLegendKey val="0"/>
          <c:showVal val="0"/>
          <c:showCatName val="1"/>
          <c:showSerName val="0"/>
          <c:showPercent val="1"/>
          <c:showBubbleSize val="0"/>
          <c:extLst xmlns:c16r2="http://schemas.microsoft.com/office/drawing/2015/06/chart">
            <c:ext xmlns:c15="http://schemas.microsoft.com/office/drawing/2012/chart" uri="{CE6537A1-D6FC-4f65-9D91-7224C49458BB}"/>
          </c:extLst>
        </c:dLbl>
      </c:pivotFmt>
      <c:pivotFmt>
        <c:idx val="1"/>
        <c:spPr>
          <a:solidFill>
            <a:schemeClr val="accent1"/>
          </a:solidFill>
          <a:ln w="19050">
            <a:solidFill>
              <a:schemeClr val="lt1"/>
            </a:solidFill>
          </a:ln>
          <a:effectLst/>
          <a:sp3d contourW="25400">
            <a:contourClr>
              <a:schemeClr val="lt1"/>
            </a:contourClr>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fr-FR"/>
            </a:p>
          </c:txPr>
          <c:dLblPos val="inEnd"/>
          <c:showLegendKey val="0"/>
          <c:showVal val="0"/>
          <c:showCatName val="1"/>
          <c:showSerName val="0"/>
          <c:showPercent val="1"/>
          <c:showBubbleSize val="0"/>
          <c:extLst xmlns:c16r2="http://schemas.microsoft.com/office/drawing/2015/06/chart">
            <c:ext xmlns:c15="http://schemas.microsoft.com/office/drawing/2012/chart" uri="{CE6537A1-D6FC-4f65-9D91-7224C49458BB}"/>
          </c:extLst>
        </c:dLbl>
      </c:pivotFmt>
      <c:pivotFmt>
        <c:idx val="2"/>
        <c:spPr>
          <a:solidFill>
            <a:schemeClr val="accent1"/>
          </a:solidFill>
          <a:ln w="19050">
            <a:solidFill>
              <a:schemeClr val="lt1"/>
            </a:solidFill>
          </a:ln>
          <a:effectLst/>
          <a:sp3d contourW="25400">
            <a:contourClr>
              <a:schemeClr val="lt1"/>
            </a:contourClr>
          </a:sp3d>
        </c:spPr>
      </c:pivotFmt>
      <c:pivotFmt>
        <c:idx val="3"/>
        <c:spPr>
          <a:solidFill>
            <a:schemeClr val="accent1"/>
          </a:solidFill>
          <a:ln w="19050">
            <a:solidFill>
              <a:schemeClr val="lt1"/>
            </a:solidFill>
          </a:ln>
          <a:effectLst/>
          <a:sp3d contourW="25400">
            <a:contourClr>
              <a:schemeClr val="lt1"/>
            </a:contourClr>
          </a:sp3d>
        </c:spPr>
      </c:pivotFmt>
      <c:pivotFmt>
        <c:idx val="4"/>
        <c:spPr>
          <a:solidFill>
            <a:schemeClr val="accent1"/>
          </a:solidFill>
          <a:ln w="19050">
            <a:solidFill>
              <a:schemeClr val="lt1"/>
            </a:solidFill>
          </a:ln>
          <a:effectLst/>
          <a:sp3d contourW="25400">
            <a:contourClr>
              <a:schemeClr val="lt1"/>
            </a:contourClr>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fr-FR"/>
            </a:p>
          </c:txPr>
          <c:dLblPos val="inEnd"/>
          <c:showLegendKey val="0"/>
          <c:showVal val="0"/>
          <c:showCatName val="1"/>
          <c:showSerName val="0"/>
          <c:showPercent val="1"/>
          <c:showBubbleSize val="0"/>
          <c:extLst xmlns:c16r2="http://schemas.microsoft.com/office/drawing/2015/06/chart">
            <c:ext xmlns:c15="http://schemas.microsoft.com/office/drawing/2012/chart" uri="{CE6537A1-D6FC-4f65-9D91-7224C49458BB}"/>
          </c:extLst>
        </c:dLbl>
      </c:pivotFmt>
      <c:pivotFmt>
        <c:idx val="5"/>
        <c:spPr>
          <a:solidFill>
            <a:schemeClr val="accent1"/>
          </a:solidFill>
          <a:ln w="19050">
            <a:solidFill>
              <a:schemeClr val="lt1"/>
            </a:solidFill>
          </a:ln>
          <a:effectLst/>
          <a:sp3d contourW="25400">
            <a:contourClr>
              <a:schemeClr val="lt1"/>
            </a:contourClr>
          </a:sp3d>
        </c:spPr>
      </c:pivotFmt>
      <c:pivotFmt>
        <c:idx val="6"/>
        <c:spPr>
          <a:solidFill>
            <a:schemeClr val="accent1"/>
          </a:solidFill>
          <a:ln w="19050">
            <a:solidFill>
              <a:schemeClr val="lt1"/>
            </a:solidFill>
          </a:ln>
          <a:effectLst/>
          <a:sp3d contourW="25400">
            <a:contourClr>
              <a:schemeClr val="lt1"/>
            </a:contourClr>
          </a:sp3d>
        </c:spPr>
      </c:pivotFmt>
    </c:pivotFmts>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Sheet1!$B$3</c:f>
              <c:strCache>
                <c:ptCount val="1"/>
                <c:pt idx="0">
                  <c:v>Total</c:v>
                </c:pt>
              </c:strCache>
            </c:strRef>
          </c:tx>
          <c:dPt>
            <c:idx val="0"/>
            <c:bubble3D val="0"/>
            <c:spPr>
              <a:solidFill>
                <a:schemeClr val="accent1">
                  <a:shade val="76000"/>
                </a:schemeClr>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1-E47B-435A-B4DE-E1613072F50C}"/>
              </c:ext>
            </c:extLst>
          </c:dPt>
          <c:dPt>
            <c:idx val="1"/>
            <c:bubble3D val="0"/>
            <c:spPr>
              <a:solidFill>
                <a:schemeClr val="accent1">
                  <a:tint val="77000"/>
                </a:schemeClr>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3-E47B-435A-B4DE-E1613072F50C}"/>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fr-FR"/>
              </a:p>
            </c:txPr>
            <c:dLblPos val="in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Sheet1!$A$4:$A$6</c:f>
              <c:strCache>
                <c:ptCount val="2"/>
                <c:pt idx="0">
                  <c:v>no</c:v>
                </c:pt>
                <c:pt idx="1">
                  <c:v>yes</c:v>
                </c:pt>
              </c:strCache>
            </c:strRef>
          </c:cat>
          <c:val>
            <c:numRef>
              <c:f>Sheet1!$B$4:$B$6</c:f>
              <c:numCache>
                <c:formatCode>General</c:formatCode>
                <c:ptCount val="2"/>
                <c:pt idx="0">
                  <c:v>8</c:v>
                </c:pt>
                <c:pt idx="1">
                  <c:v>41</c:v>
                </c:pt>
              </c:numCache>
            </c:numRef>
          </c:val>
          <c:extLst xmlns:c16r2="http://schemas.microsoft.com/office/drawing/2015/06/chart">
            <c:ext xmlns:c16="http://schemas.microsoft.com/office/drawing/2014/chart" uri="{C3380CC4-5D6E-409C-BE32-E72D297353CC}">
              <c16:uniqueId val="{00000004-E47B-435A-B4DE-E1613072F50C}"/>
            </c:ext>
          </c:extLst>
        </c:ser>
        <c:dLbls>
          <c:dLblPos val="inEnd"/>
          <c:showLegendKey val="0"/>
          <c:showVal val="0"/>
          <c:showCatName val="0"/>
          <c:showSerName val="0"/>
          <c:showPercent val="1"/>
          <c:showBubbleSize val="0"/>
          <c:showLeaderLines val="1"/>
        </c:dLbls>
      </c:pie3D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4">
    <c:autoUpdate val="0"/>
  </c:externalData>
  <c:extLst xmlns:c16r2="http://schemas.microsoft.com/office/drawing/2015/06/chart">
    <c:ext xmlns:c16="http://schemas.microsoft.com/office/drawing/2014/chart" uri="{E28EC0CA-F0BB-4C9C-879D-F8772B89E7AC}">
      <c16:pivotOptions16>
        <c16:showExpandCollapseFieldButtons val="1"/>
      </c16:pivotOptions16>
    </c:ext>
    <c:ext xmlns:c14="http://schemas.microsoft.com/office/drawing/2007/8/2/chart" uri="{781A3756-C4B2-4CAC-9D66-4F8BD8637D16}">
      <c14:pivotOptions>
        <c14:dropZoneFilter val="1"/>
        <c14:dropZoneCategories val="1"/>
        <c14:dropZoneData val="1"/>
        <c14:dropZoneSeries val="1"/>
        <c14:dropZonesVisible val="1"/>
      </c14:pivotOptions>
    </c:ext>
  </c:extLst>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7"/>
    </mc:Choice>
    <mc:Fallback>
      <c:style val="7"/>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en-US"/>
              <a:t>4. If yes, how often do you engage in these communities?</a:t>
            </a:r>
          </a:p>
        </c:rich>
      </c:tx>
      <c:layout>
        <c:manualLayout>
          <c:xMode val="edge"/>
          <c:yMode val="edge"/>
          <c:x val="0.23880555555555555"/>
          <c:y val="8.3333333333333329E-2"/>
        </c:manualLayout>
      </c:layout>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fr-FR"/>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dLbl>
              <c:idx val="0"/>
              <c:tx>
                <c:rich>
                  <a:bodyPr/>
                  <a:lstStyle/>
                  <a:p>
                    <a:fld id="{BE92FEFE-F64D-44E1-BC16-2D2B7EE2264E}" type="VALUE">
                      <a:rPr lang="en-US"/>
                      <a:pPr/>
                      <a:t>[VALEUR]</a:t>
                    </a:fld>
                    <a:endParaRPr lang="en-US"/>
                  </a:p>
                  <a:p>
                    <a:r>
                      <a:rPr lang="en-US"/>
                      <a:t>Daily</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8A2D-4400-9657-42C54FFF583E}"/>
                </c:ext>
                <c:ext xmlns:c15="http://schemas.microsoft.com/office/drawing/2012/chart" uri="{CE6537A1-D6FC-4f65-9D91-7224C49458BB}">
                  <c15:dlblFieldTable/>
                  <c15:showDataLabelsRange val="0"/>
                </c:ext>
              </c:extLst>
            </c:dLbl>
            <c:dLbl>
              <c:idx val="1"/>
              <c:tx>
                <c:rich>
                  <a:bodyPr/>
                  <a:lstStyle/>
                  <a:p>
                    <a:fld id="{7B20B8CA-CF7B-4C6A-815C-52D9B4D727E1}" type="VALUE">
                      <a:rPr lang="en-US"/>
                      <a:pPr/>
                      <a:t>[VALEUR]</a:t>
                    </a:fld>
                    <a:endParaRPr lang="en-US"/>
                  </a:p>
                  <a:p>
                    <a:r>
                      <a:rPr lang="en-US"/>
                      <a:t>Monthly</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8A2D-4400-9657-42C54FFF583E}"/>
                </c:ext>
                <c:ext xmlns:c15="http://schemas.microsoft.com/office/drawing/2012/chart" uri="{CE6537A1-D6FC-4f65-9D91-7224C49458BB}">
                  <c15:dlblFieldTable/>
                  <c15:showDataLabelsRange val="0"/>
                </c:ext>
              </c:extLst>
            </c:dLbl>
            <c:dLbl>
              <c:idx val="2"/>
              <c:tx>
                <c:rich>
                  <a:bodyPr/>
                  <a:lstStyle/>
                  <a:p>
                    <a:fld id="{382EDA78-3B5A-4914-9BE8-FC138EE95A23}" type="VALUE">
                      <a:rPr lang="en-US"/>
                      <a:pPr/>
                      <a:t>[VALEUR]</a:t>
                    </a:fld>
                    <a:endParaRPr lang="en-US"/>
                  </a:p>
                  <a:p>
                    <a:r>
                      <a:rPr lang="en-US"/>
                      <a:t>Rarely</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8A2D-4400-9657-42C54FFF583E}"/>
                </c:ext>
                <c:ext xmlns:c15="http://schemas.microsoft.com/office/drawing/2012/chart" uri="{CE6537A1-D6FC-4f65-9D91-7224C49458BB}">
                  <c15:dlblFieldTable/>
                  <c15:showDataLabelsRange val="0"/>
                </c:ext>
              </c:extLst>
            </c:dLbl>
            <c:dLbl>
              <c:idx val="3"/>
              <c:tx>
                <c:rich>
                  <a:bodyPr/>
                  <a:lstStyle/>
                  <a:p>
                    <a:fld id="{FD880BD1-D804-47FB-AC42-9440F09CFA78}" type="VALUE">
                      <a:rPr lang="en-US"/>
                      <a:pPr/>
                      <a:t>[VALEUR]</a:t>
                    </a:fld>
                    <a:endParaRPr lang="en-US"/>
                  </a:p>
                  <a:p>
                    <a:r>
                      <a:rPr lang="en-US"/>
                      <a:t>Weekly</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8A2D-4400-9657-42C54FFF583E}"/>
                </c:ext>
                <c:ext xmlns:c15="http://schemas.microsoft.com/office/drawing/2012/chart" uri="{CE6537A1-D6FC-4f65-9D91-7224C49458BB}">
                  <c15:dlblFieldTable/>
                  <c15:showDataLabelsRange val="0"/>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fr-F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Sheet3!$C$12:$C$15</c:f>
              <c:numCache>
                <c:formatCode>0%</c:formatCode>
                <c:ptCount val="4"/>
                <c:pt idx="0">
                  <c:v>0.39534883720930231</c:v>
                </c:pt>
                <c:pt idx="1">
                  <c:v>6.9767441860465115E-2</c:v>
                </c:pt>
                <c:pt idx="2">
                  <c:v>0.23255813953488372</c:v>
                </c:pt>
                <c:pt idx="3">
                  <c:v>0.30232558139534882</c:v>
                </c:pt>
              </c:numCache>
            </c:numRef>
          </c:val>
          <c:extLst xmlns:c16r2="http://schemas.microsoft.com/office/drawing/2015/06/chart">
            <c:ext xmlns:c16="http://schemas.microsoft.com/office/drawing/2014/chart" uri="{C3380CC4-5D6E-409C-BE32-E72D297353CC}">
              <c16:uniqueId val="{00000004-8A2D-4400-9657-42C54FFF583E}"/>
            </c:ext>
          </c:extLst>
        </c:ser>
        <c:dLbls>
          <c:showLegendKey val="0"/>
          <c:showVal val="1"/>
          <c:showCatName val="0"/>
          <c:showSerName val="0"/>
          <c:showPercent val="0"/>
          <c:showBubbleSize val="0"/>
        </c:dLbls>
        <c:gapWidth val="150"/>
        <c:shape val="box"/>
        <c:axId val="-617823680"/>
        <c:axId val="-617831296"/>
        <c:axId val="0"/>
      </c:bar3DChart>
      <c:catAx>
        <c:axId val="-617823680"/>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617831296"/>
        <c:crosses val="autoZero"/>
        <c:auto val="1"/>
        <c:lblAlgn val="ctr"/>
        <c:lblOffset val="100"/>
        <c:noMultiLvlLbl val="0"/>
      </c:catAx>
      <c:valAx>
        <c:axId val="-617831296"/>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61782368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gradFill rotWithShape="1">
              <a:gsLst>
                <a:gs pos="0">
                  <a:schemeClr val="accent1">
                    <a:tint val="100000"/>
                    <a:shade val="100000"/>
                    <a:satMod val="130000"/>
                  </a:schemeClr>
                </a:gs>
                <a:gs pos="100000">
                  <a:schemeClr val="accent1">
                    <a:tint val="50000"/>
                    <a:shade val="100000"/>
                    <a:satMod val="350000"/>
                  </a:schemeClr>
                </a:gs>
              </a:gsLst>
              <a:lin ang="16200000" scaled="0"/>
            </a:gradFill>
            <a:ln>
              <a:noFill/>
            </a:ln>
            <a:effectLst>
              <a:outerShdw blurRad="40000" dist="23000" dir="5400000" rotWithShape="0">
                <a:srgbClr val="000000">
                  <a:alpha val="35000"/>
                </a:srgbClr>
              </a:outerShdw>
            </a:effectLst>
          </c:spPr>
          <c:invertIfNegative val="0"/>
          <c:dLbls>
            <c:delete val="1"/>
          </c:dLbls>
          <c:cat>
            <c:strRef>
              <c:f>Sheet8!$B$17:$B$21</c:f>
              <c:strCache>
                <c:ptCount val="5"/>
                <c:pt idx="0">
                  <c:v>[0-2]</c:v>
                </c:pt>
                <c:pt idx="1">
                  <c:v>[3-5]</c:v>
                </c:pt>
                <c:pt idx="2">
                  <c:v>[6-10]</c:v>
                </c:pt>
                <c:pt idx="3">
                  <c:v>&lt;10</c:v>
                </c:pt>
                <c:pt idx="4">
                  <c:v>&lt;20</c:v>
                </c:pt>
              </c:strCache>
            </c:strRef>
          </c:cat>
          <c:val>
            <c:numRef>
              <c:f>Sheet8!$C$17:$C$21</c:f>
              <c:numCache>
                <c:formatCode>General</c:formatCode>
                <c:ptCount val="5"/>
                <c:pt idx="0">
                  <c:v>6</c:v>
                </c:pt>
                <c:pt idx="1">
                  <c:v>12</c:v>
                </c:pt>
                <c:pt idx="2">
                  <c:v>9</c:v>
                </c:pt>
                <c:pt idx="3">
                  <c:v>15</c:v>
                </c:pt>
                <c:pt idx="4">
                  <c:v>1</c:v>
                </c:pt>
              </c:numCache>
            </c:numRef>
          </c:val>
          <c:extLst xmlns:c16r2="http://schemas.microsoft.com/office/drawing/2015/06/chart">
            <c:ext xmlns:c16="http://schemas.microsoft.com/office/drawing/2014/chart" uri="{C3380CC4-5D6E-409C-BE32-E72D297353CC}">
              <c16:uniqueId val="{00000000-E3E3-4223-A8E7-AB89556D64F2}"/>
            </c:ext>
          </c:extLst>
        </c:ser>
        <c:dLbls>
          <c:showLegendKey val="0"/>
          <c:showVal val="1"/>
          <c:showCatName val="0"/>
          <c:showSerName val="0"/>
          <c:showPercent val="0"/>
          <c:showBubbleSize val="0"/>
        </c:dLbls>
        <c:gapWidth val="219"/>
        <c:overlap val="-27"/>
        <c:axId val="-617830208"/>
        <c:axId val="-617829120"/>
      </c:barChart>
      <c:lineChart>
        <c:grouping val="standard"/>
        <c:varyColors val="0"/>
        <c:ser>
          <c:idx val="1"/>
          <c:order val="1"/>
          <c:spPr>
            <a:ln w="31750" cap="rnd">
              <a:solidFill>
                <a:schemeClr val="accent3"/>
              </a:solidFill>
              <a:round/>
            </a:ln>
            <a:effectLst>
              <a:outerShdw blurRad="40000" dist="23000" dir="5400000" rotWithShape="0">
                <a:srgbClr val="000000">
                  <a:alpha val="35000"/>
                </a:srgbClr>
              </a:outerShdw>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fr-F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Sheet8!$B$17:$B$21</c:f>
              <c:strCache>
                <c:ptCount val="5"/>
                <c:pt idx="0">
                  <c:v>[0-2]</c:v>
                </c:pt>
                <c:pt idx="1">
                  <c:v>[3-5]</c:v>
                </c:pt>
                <c:pt idx="2">
                  <c:v>[6-10]</c:v>
                </c:pt>
                <c:pt idx="3">
                  <c:v>&lt;10</c:v>
                </c:pt>
                <c:pt idx="4">
                  <c:v>&lt;20</c:v>
                </c:pt>
              </c:strCache>
            </c:strRef>
          </c:cat>
          <c:val>
            <c:numRef>
              <c:f>Sheet8!$D$17:$D$21</c:f>
              <c:numCache>
                <c:formatCode>0%</c:formatCode>
                <c:ptCount val="5"/>
                <c:pt idx="0">
                  <c:v>0.13953488372093023</c:v>
                </c:pt>
                <c:pt idx="1">
                  <c:v>0.27906976744186046</c:v>
                </c:pt>
                <c:pt idx="2">
                  <c:v>0.20930232558139536</c:v>
                </c:pt>
                <c:pt idx="3">
                  <c:v>0.34883720930232559</c:v>
                </c:pt>
                <c:pt idx="4">
                  <c:v>2.3255813953488372E-2</c:v>
                </c:pt>
              </c:numCache>
            </c:numRef>
          </c:val>
          <c:smooth val="0"/>
          <c:extLst xmlns:c16r2="http://schemas.microsoft.com/office/drawing/2015/06/chart">
            <c:ext xmlns:c16="http://schemas.microsoft.com/office/drawing/2014/chart" uri="{C3380CC4-5D6E-409C-BE32-E72D297353CC}">
              <c16:uniqueId val="{00000001-E3E3-4223-A8E7-AB89556D64F2}"/>
            </c:ext>
          </c:extLst>
        </c:ser>
        <c:dLbls>
          <c:showLegendKey val="0"/>
          <c:showVal val="1"/>
          <c:showCatName val="0"/>
          <c:showSerName val="0"/>
          <c:showPercent val="0"/>
          <c:showBubbleSize val="0"/>
        </c:dLbls>
        <c:marker val="1"/>
        <c:smooth val="0"/>
        <c:axId val="-617820416"/>
        <c:axId val="-617828576"/>
      </c:lineChart>
      <c:catAx>
        <c:axId val="-617830208"/>
        <c:scaling>
          <c:orientation val="minMax"/>
        </c:scaling>
        <c:delete val="0"/>
        <c:axPos val="b"/>
        <c:title>
          <c:tx>
            <c:rich>
              <a:bodyPr rot="0" spcFirstLastPara="1" vertOverflow="ellipsis" vert="horz" wrap="square" anchor="ctr" anchorCtr="1"/>
              <a:lstStyle/>
              <a:p>
                <a:pPr>
                  <a:defRPr sz="900" b="1" i="0" u="none" strike="noStrike" kern="1200" baseline="0">
                    <a:solidFill>
                      <a:schemeClr val="tx2"/>
                    </a:solidFill>
                    <a:latin typeface="+mn-lt"/>
                    <a:ea typeface="+mn-ea"/>
                    <a:cs typeface="+mn-cs"/>
                  </a:defRPr>
                </a:pPr>
                <a:r>
                  <a:rPr lang="en-US"/>
                  <a:t>Teaching experience</a:t>
                </a:r>
              </a:p>
            </c:rich>
          </c:tx>
          <c:overlay val="0"/>
          <c:spPr>
            <a:noFill/>
            <a:ln>
              <a:noFill/>
            </a:ln>
            <a:effectLst/>
          </c:spPr>
          <c:txPr>
            <a:bodyPr rot="0" spcFirstLastPara="1" vertOverflow="ellipsis" vert="horz" wrap="square" anchor="ctr" anchorCtr="1"/>
            <a:lstStyle/>
            <a:p>
              <a:pPr>
                <a:defRPr sz="900" b="1" i="0" u="none" strike="noStrike" kern="1200" baseline="0">
                  <a:solidFill>
                    <a:schemeClr val="tx2"/>
                  </a:solidFill>
                  <a:latin typeface="+mn-lt"/>
                  <a:ea typeface="+mn-ea"/>
                  <a:cs typeface="+mn-cs"/>
                </a:defRPr>
              </a:pPr>
              <a:endParaRPr lang="fr-FR"/>
            </a:p>
          </c:txPr>
        </c:title>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fr-FR"/>
          </a:p>
        </c:txPr>
        <c:crossAx val="-617829120"/>
        <c:crosses val="autoZero"/>
        <c:auto val="1"/>
        <c:lblAlgn val="ctr"/>
        <c:lblOffset val="100"/>
        <c:noMultiLvlLbl val="0"/>
      </c:catAx>
      <c:valAx>
        <c:axId val="-617829120"/>
        <c:scaling>
          <c:orientation val="minMax"/>
        </c:scaling>
        <c:delete val="0"/>
        <c:axPos val="l"/>
        <c:majorGridlines>
          <c:spPr>
            <a:ln w="9525" cap="flat" cmpd="sng" algn="ctr">
              <a:solidFill>
                <a:schemeClr val="tx2">
                  <a:lumMod val="15000"/>
                  <a:lumOff val="85000"/>
                </a:schemeClr>
              </a:solidFill>
              <a:round/>
            </a:ln>
            <a:effectLst/>
          </c:spPr>
        </c:majorGridlines>
        <c:title>
          <c:tx>
            <c:rich>
              <a:bodyPr rot="-5400000" spcFirstLastPara="1" vertOverflow="ellipsis" vert="horz" wrap="square" anchor="ctr" anchorCtr="1"/>
              <a:lstStyle/>
              <a:p>
                <a:pPr>
                  <a:defRPr sz="900" b="1" i="0" u="none" strike="noStrike" kern="1200" baseline="0">
                    <a:solidFill>
                      <a:schemeClr val="tx2"/>
                    </a:solidFill>
                    <a:latin typeface="+mn-lt"/>
                    <a:ea typeface="+mn-ea"/>
                    <a:cs typeface="+mn-cs"/>
                  </a:defRPr>
                </a:pPr>
                <a:r>
                  <a:rPr lang="en-US"/>
                  <a:t>Engagement in Online Communities</a:t>
                </a:r>
              </a:p>
            </c:rich>
          </c:tx>
          <c:overlay val="0"/>
          <c:spPr>
            <a:noFill/>
            <a:ln>
              <a:noFill/>
            </a:ln>
            <a:effectLst/>
          </c:spPr>
          <c:txPr>
            <a:bodyPr rot="-5400000" spcFirstLastPara="1" vertOverflow="ellipsis" vert="horz" wrap="square" anchor="ctr" anchorCtr="1"/>
            <a:lstStyle/>
            <a:p>
              <a:pPr>
                <a:defRPr sz="900" b="1" i="0" u="none" strike="noStrike" kern="1200" baseline="0">
                  <a:solidFill>
                    <a:schemeClr val="tx2"/>
                  </a:solidFill>
                  <a:latin typeface="+mn-lt"/>
                  <a:ea typeface="+mn-ea"/>
                  <a:cs typeface="+mn-cs"/>
                </a:defRPr>
              </a:pPr>
              <a:endParaRPr lang="fr-FR"/>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fr-FR"/>
          </a:p>
        </c:txPr>
        <c:crossAx val="-617830208"/>
        <c:crosses val="autoZero"/>
        <c:crossBetween val="between"/>
      </c:valAx>
      <c:valAx>
        <c:axId val="-617828576"/>
        <c:scaling>
          <c:orientation val="minMax"/>
        </c:scaling>
        <c:delete val="0"/>
        <c:axPos val="r"/>
        <c:title>
          <c:tx>
            <c:rich>
              <a:bodyPr rot="-5400000" spcFirstLastPara="1" vertOverflow="ellipsis" vert="horz" wrap="square" anchor="ctr" anchorCtr="1"/>
              <a:lstStyle/>
              <a:p>
                <a:pPr>
                  <a:defRPr sz="900" b="1" i="0" u="none" strike="noStrike" kern="1200" baseline="0">
                    <a:solidFill>
                      <a:schemeClr val="tx2"/>
                    </a:solidFill>
                    <a:latin typeface="+mn-lt"/>
                    <a:ea typeface="+mn-ea"/>
                    <a:cs typeface="+mn-cs"/>
                  </a:defRPr>
                </a:pPr>
                <a:r>
                  <a:rPr lang="en-US"/>
                  <a:t>Percentage </a:t>
                </a:r>
              </a:p>
            </c:rich>
          </c:tx>
          <c:overlay val="0"/>
          <c:spPr>
            <a:noFill/>
            <a:ln>
              <a:noFill/>
            </a:ln>
            <a:effectLst/>
          </c:spPr>
          <c:txPr>
            <a:bodyPr rot="-5400000" spcFirstLastPara="1" vertOverflow="ellipsis" vert="horz" wrap="square" anchor="ctr" anchorCtr="1"/>
            <a:lstStyle/>
            <a:p>
              <a:pPr>
                <a:defRPr sz="900" b="1" i="0" u="none" strike="noStrike" kern="1200" baseline="0">
                  <a:solidFill>
                    <a:schemeClr val="tx2"/>
                  </a:solidFill>
                  <a:latin typeface="+mn-lt"/>
                  <a:ea typeface="+mn-ea"/>
                  <a:cs typeface="+mn-cs"/>
                </a:defRPr>
              </a:pPr>
              <a:endParaRPr lang="fr-FR"/>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fr-FR"/>
          </a:p>
        </c:txPr>
        <c:crossAx val="-617820416"/>
        <c:crosses val="max"/>
        <c:crossBetween val="between"/>
      </c:valAx>
      <c:catAx>
        <c:axId val="-617820416"/>
        <c:scaling>
          <c:orientation val="minMax"/>
        </c:scaling>
        <c:delete val="1"/>
        <c:axPos val="b"/>
        <c:numFmt formatCode="General" sourceLinked="1"/>
        <c:majorTickMark val="none"/>
        <c:minorTickMark val="none"/>
        <c:tickLblPos val="nextTo"/>
        <c:crossAx val="-617828576"/>
        <c:crosses val="autoZero"/>
        <c:auto val="1"/>
        <c:lblAlgn val="ctr"/>
        <c:lblOffset val="100"/>
        <c:noMultiLvlLbl val="0"/>
      </c:catAx>
      <c:spPr>
        <a:noFill/>
        <a:ln>
          <a:noFill/>
        </a:ln>
        <a:effectLst/>
      </c:spPr>
    </c:plotArea>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fr-FR"/>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pivotSource>
    <c:name>[Copie de Questionnaire vierge WORK.xlsx]PivotChartTable3</c:name>
    <c:fmtId val="-1"/>
  </c:pivotSource>
  <c:chart>
    <c:autoTitleDeleted val="1"/>
    <c:pivotFmts>
      <c:pivotFmt>
        <c:idx val="0"/>
        <c:dLbl>
          <c:idx val="0"/>
          <c:showLegendKey val="0"/>
          <c:showVal val="0"/>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
        <c:dLbl>
          <c:idx val="0"/>
          <c:showLegendKey val="0"/>
          <c:showVal val="0"/>
          <c:showCatName val="0"/>
          <c:showSerName val="0"/>
          <c:showPercent val="0"/>
          <c:showBubbleSize val="0"/>
          <c:extLst xmlns:c16r2="http://schemas.microsoft.com/office/drawing/2015/06/chart">
            <c:ext xmlns:c15="http://schemas.microsoft.com/office/drawing/2012/chart" uri="{CE6537A1-D6FC-4f65-9D91-7224C49458BB}"/>
          </c:extLst>
        </c:dLbl>
      </c:pivotFmt>
      <c:pivotFmt>
        <c:idx val="2"/>
        <c:dLbl>
          <c:idx val="0"/>
          <c:showLegendKey val="0"/>
          <c:showVal val="0"/>
          <c:showCatName val="0"/>
          <c:showSerName val="0"/>
          <c:showPercent val="0"/>
          <c:showBubbleSize val="0"/>
          <c:extLst xmlns:c16r2="http://schemas.microsoft.com/office/drawing/2015/06/chart">
            <c:ext xmlns:c15="http://schemas.microsoft.com/office/drawing/2012/chart" uri="{CE6537A1-D6FC-4f65-9D91-7224C49458BB}"/>
          </c:extLst>
        </c:dLbl>
      </c:pivotFmt>
      <c:pivotFmt>
        <c:idx val="3"/>
        <c:dLbl>
          <c:idx val="0"/>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4"/>
        <c:dLbl>
          <c:idx val="0"/>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5"/>
        <c:spPr>
          <a:solidFill>
            <a:schemeClr val="accent1"/>
          </a:solidFill>
          <a:ln>
            <a:noFill/>
          </a:ln>
          <a:effectLst/>
        </c:spPr>
        <c:marker>
          <c:symbol val="circle"/>
          <c:size val="5"/>
          <c:spPr>
            <a:solidFill>
              <a:schemeClr val="accent1"/>
            </a:solidFill>
            <a:ln w="9525">
              <a:solidFill>
                <a:schemeClr val="accent1"/>
              </a:solidFill>
            </a:ln>
            <a:effectLst/>
          </c:spPr>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fr-FR"/>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6"/>
        <c:dLbl>
          <c:idx val="0"/>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7"/>
        <c:dLbl>
          <c:idx val="0"/>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8"/>
        <c:dLbl>
          <c:idx val="0"/>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9"/>
        <c:dLbl>
          <c:idx val="0"/>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0"/>
        <c:spPr>
          <a:solidFill>
            <a:schemeClr val="accent1"/>
          </a:solidFill>
          <a:ln>
            <a:noFill/>
          </a:ln>
          <a:effectLst/>
        </c:spPr>
        <c:marker>
          <c:symbol val="circle"/>
          <c:size val="5"/>
          <c:spPr>
            <a:solidFill>
              <a:schemeClr val="accent1"/>
            </a:solidFill>
            <a:ln w="9525">
              <a:solidFill>
                <a:schemeClr val="accent1"/>
              </a:solidFill>
            </a:ln>
            <a:effectLst/>
          </c:spPr>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fr-FR"/>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1"/>
        <c:spPr>
          <a:solidFill>
            <a:schemeClr val="accent1"/>
          </a:solidFill>
          <a:ln>
            <a:noFill/>
          </a:ln>
          <a:effectLst/>
        </c:spPr>
        <c:marker>
          <c:symbol val="circle"/>
          <c:size val="5"/>
          <c:spPr>
            <a:solidFill>
              <a:schemeClr val="accent1"/>
            </a:solidFill>
            <a:ln w="9525">
              <a:solidFill>
                <a:schemeClr val="accent1"/>
              </a:solidFill>
            </a:ln>
            <a:effectLst/>
          </c:spPr>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fr-FR"/>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2"/>
        <c:dLbl>
          <c:idx val="0"/>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3"/>
        <c:dLbl>
          <c:idx val="0"/>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4"/>
        <c:dLbl>
          <c:idx val="0"/>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5"/>
        <c:dLbl>
          <c:idx val="0"/>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6"/>
        <c:dLbl>
          <c:idx val="0"/>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7"/>
        <c:dLbl>
          <c:idx val="0"/>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8"/>
        <c:dLbl>
          <c:idx val="0"/>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9"/>
        <c:spPr>
          <a:solidFill>
            <a:schemeClr val="accent1"/>
          </a:solidFill>
          <a:ln>
            <a:noFill/>
          </a:ln>
          <a:effectLst/>
        </c:spPr>
        <c:marker>
          <c:symbol val="circle"/>
          <c:size val="5"/>
          <c:spPr>
            <a:solidFill>
              <a:schemeClr val="accent1"/>
            </a:solidFill>
            <a:ln w="9525">
              <a:solidFill>
                <a:schemeClr val="accent1"/>
              </a:solidFill>
            </a:ln>
            <a:effectLst/>
          </c:spPr>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fr-FR"/>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20"/>
        <c:spPr>
          <a:solidFill>
            <a:schemeClr val="accent1"/>
          </a:solidFill>
          <a:ln>
            <a:noFill/>
          </a:ln>
          <a:effectLst/>
        </c:spPr>
        <c:dLbl>
          <c:idx val="0"/>
          <c:tx>
            <c:rich>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r>
                  <a:rPr lang="en-US"/>
                  <a:t>37 %</a:t>
                </a:r>
              </a:p>
            </c:rich>
          </c:tx>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fr-FR"/>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21"/>
        <c:spPr>
          <a:solidFill>
            <a:schemeClr val="accent1"/>
          </a:solidFill>
          <a:ln>
            <a:noFill/>
          </a:ln>
          <a:effectLst/>
        </c:spPr>
        <c:dLbl>
          <c:idx val="0"/>
          <c:tx>
            <c:rich>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r>
                  <a:rPr lang="en-US"/>
                  <a:t>21 %</a:t>
                </a:r>
              </a:p>
            </c:rich>
          </c:tx>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fr-FR"/>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22"/>
        <c:spPr>
          <a:solidFill>
            <a:schemeClr val="accent1"/>
          </a:solidFill>
          <a:ln>
            <a:noFill/>
          </a:ln>
          <a:effectLst/>
        </c:spPr>
        <c:dLbl>
          <c:idx val="0"/>
          <c:tx>
            <c:rich>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r>
                  <a:rPr lang="en-US"/>
                  <a:t>10 %</a:t>
                </a:r>
              </a:p>
            </c:rich>
          </c:tx>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fr-FR"/>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23"/>
        <c:spPr>
          <a:solidFill>
            <a:schemeClr val="accent1"/>
          </a:solidFill>
          <a:ln>
            <a:noFill/>
          </a:ln>
          <a:effectLst/>
        </c:spPr>
        <c:dLbl>
          <c:idx val="0"/>
          <c:tx>
            <c:rich>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r>
                  <a:rPr lang="en-US"/>
                  <a:t>32  %</a:t>
                </a:r>
              </a:p>
            </c:rich>
          </c:tx>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fr-FR"/>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24"/>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fr-FR"/>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25"/>
        <c:spPr>
          <a:solidFill>
            <a:schemeClr val="accent1"/>
          </a:solidFill>
          <a:ln>
            <a:noFill/>
          </a:ln>
          <a:effectLst/>
        </c:spPr>
        <c:dLbl>
          <c:idx val="0"/>
          <c:tx>
            <c:rich>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r>
                  <a:rPr lang="en-US"/>
                  <a:t>32  %</a:t>
                </a:r>
              </a:p>
            </c:rich>
          </c:tx>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fr-FR"/>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26"/>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fr-FR"/>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27"/>
        <c:spPr>
          <a:solidFill>
            <a:schemeClr val="accent1"/>
          </a:solidFill>
          <a:ln>
            <a:noFill/>
          </a:ln>
          <a:effectLst/>
        </c:spPr>
        <c:dLbl>
          <c:idx val="0"/>
          <c:tx>
            <c:rich>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r>
                  <a:rPr lang="en-US"/>
                  <a:t>10 %</a:t>
                </a:r>
              </a:p>
            </c:rich>
          </c:tx>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fr-FR"/>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28"/>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fr-FR"/>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29"/>
        <c:spPr>
          <a:solidFill>
            <a:schemeClr val="accent1"/>
          </a:solidFill>
          <a:ln>
            <a:noFill/>
          </a:ln>
          <a:effectLst/>
        </c:spPr>
        <c:dLbl>
          <c:idx val="0"/>
          <c:tx>
            <c:rich>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r>
                  <a:rPr lang="en-US"/>
                  <a:t>37 %</a:t>
                </a:r>
              </a:p>
            </c:rich>
          </c:tx>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fr-FR"/>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3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fr-FR"/>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31"/>
        <c:spPr>
          <a:solidFill>
            <a:schemeClr val="accent1"/>
          </a:solidFill>
          <a:ln>
            <a:noFill/>
          </a:ln>
          <a:effectLst/>
        </c:spPr>
        <c:dLbl>
          <c:idx val="0"/>
          <c:tx>
            <c:rich>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r>
                  <a:rPr lang="en-US"/>
                  <a:t>21 %</a:t>
                </a:r>
              </a:p>
            </c:rich>
          </c:tx>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fr-FR"/>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3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fr-FR"/>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33"/>
        <c:spPr>
          <a:solidFill>
            <a:schemeClr val="accent1"/>
          </a:solidFill>
          <a:ln>
            <a:noFill/>
          </a:ln>
          <a:effectLst/>
        </c:spPr>
        <c:dLbl>
          <c:idx val="0"/>
          <c:tx>
            <c:rich>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r>
                  <a:rPr lang="en-US"/>
                  <a:t>32  %</a:t>
                </a:r>
              </a:p>
            </c:rich>
          </c:tx>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fr-FR"/>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34"/>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fr-FR"/>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35"/>
        <c:spPr>
          <a:solidFill>
            <a:schemeClr val="accent1"/>
          </a:solidFill>
          <a:ln>
            <a:noFill/>
          </a:ln>
          <a:effectLst/>
        </c:spPr>
        <c:dLbl>
          <c:idx val="0"/>
          <c:tx>
            <c:rich>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r>
                  <a:rPr lang="en-US"/>
                  <a:t>10 %</a:t>
                </a:r>
              </a:p>
            </c:rich>
          </c:tx>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fr-FR"/>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36"/>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fr-FR"/>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37"/>
        <c:spPr>
          <a:solidFill>
            <a:schemeClr val="accent1"/>
          </a:solidFill>
          <a:ln>
            <a:noFill/>
          </a:ln>
          <a:effectLst/>
        </c:spPr>
        <c:dLbl>
          <c:idx val="0"/>
          <c:tx>
            <c:rich>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r>
                  <a:rPr lang="en-US"/>
                  <a:t>37 %</a:t>
                </a:r>
              </a:p>
            </c:rich>
          </c:tx>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fr-FR"/>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38"/>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fr-FR"/>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39"/>
        <c:spPr>
          <a:solidFill>
            <a:schemeClr val="accent1"/>
          </a:solidFill>
          <a:ln>
            <a:noFill/>
          </a:ln>
          <a:effectLst/>
        </c:spPr>
        <c:dLbl>
          <c:idx val="0"/>
          <c:tx>
            <c:rich>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r>
                  <a:rPr lang="en-US"/>
                  <a:t>21 %</a:t>
                </a:r>
              </a:p>
            </c:rich>
          </c:tx>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fr-FR"/>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s>
    <c:plotArea>
      <c:layout/>
      <c:barChart>
        <c:barDir val="col"/>
        <c:grouping val="clustered"/>
        <c:varyColors val="0"/>
        <c:ser>
          <c:idx val="0"/>
          <c:order val="0"/>
          <c:tx>
            <c:v>Adapt others’ ideas</c:v>
          </c:tx>
          <c:spPr>
            <a:solidFill>
              <a:schemeClr val="accent1"/>
            </a:solidFill>
            <a:ln>
              <a:noFill/>
            </a:ln>
            <a:effectLst/>
          </c:spPr>
          <c:invertIfNegative val="0"/>
          <c:dLbls>
            <c:dLbl>
              <c:idx val="0"/>
              <c:tx>
                <c:rich>
                  <a:bodyPr/>
                  <a:lstStyle/>
                  <a:p>
                    <a:r>
                      <a:rPr lang="en-US"/>
                      <a:t>32  %</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5D74-4218-A122-9F0CDDA71399}"/>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fr-F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1"/>
              <c:pt idx="0">
                <c:v>Total</c:v>
              </c:pt>
            </c:strLit>
          </c:cat>
          <c:val>
            <c:numLit>
              <c:formatCode>0.00%</c:formatCode>
              <c:ptCount val="1"/>
              <c:pt idx="0">
                <c:v>0.31578947368421051</c:v>
              </c:pt>
            </c:numLit>
          </c:val>
          <c:extLst xmlns:c16r2="http://schemas.microsoft.com/office/drawing/2015/06/chart">
            <c:ext xmlns:c16="http://schemas.microsoft.com/office/drawing/2014/chart" uri="{C3380CC4-5D6E-409C-BE32-E72D297353CC}">
              <c16:uniqueId val="{00000001-5D74-4218-A122-9F0CDDA71399}"/>
            </c:ext>
          </c:extLst>
        </c:ser>
        <c:ser>
          <c:idx val="1"/>
          <c:order val="1"/>
          <c:tx>
            <c:v>Ask for feedback</c:v>
          </c:tx>
          <c:spPr>
            <a:solidFill>
              <a:schemeClr val="accent3"/>
            </a:solidFill>
            <a:ln>
              <a:noFill/>
            </a:ln>
            <a:effectLst/>
          </c:spPr>
          <c:invertIfNegative val="0"/>
          <c:dLbls>
            <c:dLbl>
              <c:idx val="0"/>
              <c:tx>
                <c:rich>
                  <a:bodyPr/>
                  <a:lstStyle/>
                  <a:p>
                    <a:r>
                      <a:rPr lang="en-US"/>
                      <a:t>10 %</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5D74-4218-A122-9F0CDDA71399}"/>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fr-F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1"/>
              <c:pt idx="0">
                <c:v>Total</c:v>
              </c:pt>
            </c:strLit>
          </c:cat>
          <c:val>
            <c:numLit>
              <c:formatCode>0.00%</c:formatCode>
              <c:ptCount val="1"/>
              <c:pt idx="0">
                <c:v>0.10526315789473684</c:v>
              </c:pt>
            </c:numLit>
          </c:val>
          <c:extLst xmlns:c16r2="http://schemas.microsoft.com/office/drawing/2015/06/chart">
            <c:ext xmlns:c16="http://schemas.microsoft.com/office/drawing/2014/chart" uri="{C3380CC4-5D6E-409C-BE32-E72D297353CC}">
              <c16:uniqueId val="{00000003-5D74-4218-A122-9F0CDDA71399}"/>
            </c:ext>
          </c:extLst>
        </c:ser>
        <c:ser>
          <c:idx val="2"/>
          <c:order val="2"/>
          <c:tx>
            <c:v>Participate in discussions</c:v>
          </c:tx>
          <c:spPr>
            <a:solidFill>
              <a:schemeClr val="accent5"/>
            </a:solidFill>
            <a:ln>
              <a:noFill/>
            </a:ln>
            <a:effectLst/>
          </c:spPr>
          <c:invertIfNegative val="0"/>
          <c:dLbls>
            <c:dLbl>
              <c:idx val="0"/>
              <c:tx>
                <c:rich>
                  <a:bodyPr/>
                  <a:lstStyle/>
                  <a:p>
                    <a:r>
                      <a:rPr lang="en-US"/>
                      <a:t>37 %</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5D74-4218-A122-9F0CDDA71399}"/>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fr-F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1"/>
              <c:pt idx="0">
                <c:v>Total</c:v>
              </c:pt>
            </c:strLit>
          </c:cat>
          <c:val>
            <c:numLit>
              <c:formatCode>0.00%</c:formatCode>
              <c:ptCount val="1"/>
              <c:pt idx="0">
                <c:v>0.36842105263157893</c:v>
              </c:pt>
            </c:numLit>
          </c:val>
          <c:extLst xmlns:c16r2="http://schemas.microsoft.com/office/drawing/2015/06/chart">
            <c:ext xmlns:c16="http://schemas.microsoft.com/office/drawing/2014/chart" uri="{C3380CC4-5D6E-409C-BE32-E72D297353CC}">
              <c16:uniqueId val="{00000005-5D74-4218-A122-9F0CDDA71399}"/>
            </c:ext>
          </c:extLst>
        </c:ser>
        <c:ser>
          <c:idx val="3"/>
          <c:order val="3"/>
          <c:tx>
            <c:v>Share resources</c:v>
          </c:tx>
          <c:spPr>
            <a:solidFill>
              <a:schemeClr val="accent1">
                <a:lumMod val="60000"/>
              </a:schemeClr>
            </a:solidFill>
            <a:ln>
              <a:noFill/>
            </a:ln>
            <a:effectLst/>
          </c:spPr>
          <c:invertIfNegative val="0"/>
          <c:dLbls>
            <c:dLbl>
              <c:idx val="0"/>
              <c:tx>
                <c:rich>
                  <a:bodyPr/>
                  <a:lstStyle/>
                  <a:p>
                    <a:r>
                      <a:rPr lang="en-US"/>
                      <a:t>21 %</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6-5D74-4218-A122-9F0CDDA71399}"/>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fr-F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1"/>
              <c:pt idx="0">
                <c:v>Total</c:v>
              </c:pt>
            </c:strLit>
          </c:cat>
          <c:val>
            <c:numLit>
              <c:formatCode>0.00%</c:formatCode>
              <c:ptCount val="1"/>
              <c:pt idx="0">
                <c:v>0.21052631578947367</c:v>
              </c:pt>
            </c:numLit>
          </c:val>
          <c:extLst xmlns:c16r2="http://schemas.microsoft.com/office/drawing/2015/06/chart">
            <c:ext xmlns:c16="http://schemas.microsoft.com/office/drawing/2014/chart" uri="{C3380CC4-5D6E-409C-BE32-E72D297353CC}">
              <c16:uniqueId val="{00000007-5D74-4218-A122-9F0CDDA71399}"/>
            </c:ext>
          </c:extLst>
        </c:ser>
        <c:dLbls>
          <c:dLblPos val="outEnd"/>
          <c:showLegendKey val="0"/>
          <c:showVal val="1"/>
          <c:showCatName val="0"/>
          <c:showSerName val="0"/>
          <c:showPercent val="0"/>
          <c:showBubbleSize val="0"/>
        </c:dLbls>
        <c:gapWidth val="219"/>
        <c:overlap val="-27"/>
        <c:axId val="-617834016"/>
        <c:axId val="-617829664"/>
      </c:barChart>
      <c:catAx>
        <c:axId val="-617834016"/>
        <c:scaling>
          <c:orientation val="minMax"/>
        </c:scaling>
        <c:delete val="1"/>
        <c:axPos val="b"/>
        <c:numFmt formatCode="General" sourceLinked="1"/>
        <c:majorTickMark val="none"/>
        <c:minorTickMark val="none"/>
        <c:tickLblPos val="nextTo"/>
        <c:crossAx val="-617829664"/>
        <c:crosses val="autoZero"/>
        <c:auto val="1"/>
        <c:lblAlgn val="ctr"/>
        <c:lblOffset val="100"/>
        <c:noMultiLvlLbl val="0"/>
        <c:extLst xmlns:c16r2="http://schemas.microsoft.com/office/drawing/2015/06/chart"/>
      </c:catAx>
      <c:valAx>
        <c:axId val="-617829664"/>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617834016"/>
        <c:crosses val="autoZero"/>
        <c:crossBetween val="between"/>
        <c:extLst xmlns:c16r2="http://schemas.microsoft.com/office/drawing/2015/06/chart"/>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4">
    <c:autoUpdate val="0"/>
  </c:externalData>
  <c:extLst xmlns:c16r2="http://schemas.microsoft.com/office/drawing/2015/06/chart">
    <c:ext xmlns:c16="http://schemas.microsoft.com/office/drawing/2014/chart" uri="{E28EC0CA-F0BB-4C9C-879D-F8772B89E7AC}">
      <c16:pivotOptions16>
        <c16:showExpandCollapseFieldButtons val="1"/>
      </c16:pivotOptions16>
    </c:ext>
    <c:ext xmlns:c14="http://schemas.microsoft.com/office/drawing/2007/8/2/chart" uri="{781A3756-C4B2-4CAC-9D66-4F8BD8637D16}">
      <c14:pivotOptions>
        <c14:dropZoneFilter val="1"/>
        <c14:dropZoneCategories val="1"/>
        <c14:dropZoneSeries val="1"/>
        <c14:dropZonesVisible val="1"/>
      </c14:pivotOptions>
    </c:ext>
  </c:extLst>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1. Knowledge</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fr-FR"/>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7.4641190684497788E-2"/>
          <c:y val="3.2870370370370383E-2"/>
          <c:w val="0.75657469899595886"/>
          <c:h val="0.74190138583274701"/>
        </c:manualLayout>
      </c:layout>
      <c:bar3DChart>
        <c:barDir val="col"/>
        <c:grouping val="standard"/>
        <c:varyColors val="0"/>
        <c:ser>
          <c:idx val="0"/>
          <c:order val="0"/>
          <c:tx>
            <c:strRef>
              <c:f>'Réponses au formulaire 1'!$G$64</c:f>
              <c:strCache>
                <c:ptCount val="1"/>
                <c:pt idx="0">
                  <c:v>Strongly agree</c:v>
                </c:pt>
              </c:strCache>
            </c:strRef>
          </c:tx>
          <c:spPr>
            <a:solidFill>
              <a:schemeClr val="accent6"/>
            </a:solidFill>
            <a:ln>
              <a:noFill/>
            </a:ln>
            <a:effectLst/>
            <a:sp3d/>
          </c:spPr>
          <c:invertIfNegative val="0"/>
          <c:val>
            <c:numRef>
              <c:f>('Réponses au formulaire 1'!$H$64:$K$64,'Réponses au formulaire 1'!$N$64:$P$64)</c:f>
              <c:numCache>
                <c:formatCode>0%</c:formatCode>
                <c:ptCount val="7"/>
                <c:pt idx="0">
                  <c:v>0.10869565217391304</c:v>
                </c:pt>
                <c:pt idx="1">
                  <c:v>2.1276595744680851E-2</c:v>
                </c:pt>
                <c:pt idx="2">
                  <c:v>8.5106382978723402E-2</c:v>
                </c:pt>
                <c:pt idx="3">
                  <c:v>2.1739130434782608E-2</c:v>
                </c:pt>
                <c:pt idx="4">
                  <c:v>0.10638297872340426</c:v>
                </c:pt>
                <c:pt idx="5">
                  <c:v>6.3829787234042548E-2</c:v>
                </c:pt>
                <c:pt idx="6">
                  <c:v>0</c:v>
                </c:pt>
              </c:numCache>
            </c:numRef>
          </c:val>
          <c:extLst xmlns:c16r2="http://schemas.microsoft.com/office/drawing/2015/06/chart">
            <c:ext xmlns:c16="http://schemas.microsoft.com/office/drawing/2014/chart" uri="{C3380CC4-5D6E-409C-BE32-E72D297353CC}">
              <c16:uniqueId val="{00000000-CC4B-421E-AEB3-C62BF1F19828}"/>
            </c:ext>
          </c:extLst>
        </c:ser>
        <c:ser>
          <c:idx val="1"/>
          <c:order val="1"/>
          <c:tx>
            <c:strRef>
              <c:f>'Réponses au formulaire 1'!$G$65</c:f>
              <c:strCache>
                <c:ptCount val="1"/>
                <c:pt idx="0">
                  <c:v>Agree</c:v>
                </c:pt>
              </c:strCache>
            </c:strRef>
          </c:tx>
          <c:spPr>
            <a:solidFill>
              <a:schemeClr val="accent5"/>
            </a:solidFill>
            <a:ln>
              <a:noFill/>
            </a:ln>
            <a:effectLst/>
            <a:sp3d/>
          </c:spPr>
          <c:invertIfNegative val="0"/>
          <c:val>
            <c:numRef>
              <c:f>('Réponses au formulaire 1'!$H$65:$K$65,'Réponses au formulaire 1'!$N$65:$P$65)</c:f>
              <c:numCache>
                <c:formatCode>0%</c:formatCode>
                <c:ptCount val="7"/>
                <c:pt idx="0">
                  <c:v>0.69565217391304346</c:v>
                </c:pt>
                <c:pt idx="1">
                  <c:v>0.87234042553191493</c:v>
                </c:pt>
                <c:pt idx="2">
                  <c:v>0.72340425531914898</c:v>
                </c:pt>
                <c:pt idx="3">
                  <c:v>0.67391304347826086</c:v>
                </c:pt>
                <c:pt idx="4">
                  <c:v>0.78723404255319152</c:v>
                </c:pt>
                <c:pt idx="5">
                  <c:v>0.72340425531914898</c:v>
                </c:pt>
                <c:pt idx="6">
                  <c:v>0.69565217391304346</c:v>
                </c:pt>
              </c:numCache>
            </c:numRef>
          </c:val>
          <c:extLst xmlns:c16r2="http://schemas.microsoft.com/office/drawing/2015/06/chart">
            <c:ext xmlns:c16="http://schemas.microsoft.com/office/drawing/2014/chart" uri="{C3380CC4-5D6E-409C-BE32-E72D297353CC}">
              <c16:uniqueId val="{00000001-CC4B-421E-AEB3-C62BF1F19828}"/>
            </c:ext>
          </c:extLst>
        </c:ser>
        <c:ser>
          <c:idx val="2"/>
          <c:order val="2"/>
          <c:tx>
            <c:strRef>
              <c:f>'Réponses au formulaire 1'!$G$66</c:f>
              <c:strCache>
                <c:ptCount val="1"/>
                <c:pt idx="0">
                  <c:v>Neutral</c:v>
                </c:pt>
              </c:strCache>
            </c:strRef>
          </c:tx>
          <c:spPr>
            <a:solidFill>
              <a:schemeClr val="accent4"/>
            </a:solidFill>
            <a:ln>
              <a:noFill/>
            </a:ln>
            <a:effectLst/>
            <a:sp3d/>
          </c:spPr>
          <c:invertIfNegative val="0"/>
          <c:val>
            <c:numRef>
              <c:f>('Réponses au formulaire 1'!$H$66:$K$66,'Réponses au formulaire 1'!$N$66:$P$66)</c:f>
              <c:numCache>
                <c:formatCode>0%</c:formatCode>
                <c:ptCount val="7"/>
                <c:pt idx="0">
                  <c:v>0.19565217391304349</c:v>
                </c:pt>
                <c:pt idx="1">
                  <c:v>8.5106382978723402E-2</c:v>
                </c:pt>
                <c:pt idx="2">
                  <c:v>0.1276595744680851</c:v>
                </c:pt>
                <c:pt idx="3">
                  <c:v>0.19565217391304349</c:v>
                </c:pt>
                <c:pt idx="4">
                  <c:v>8.5106382978723402E-2</c:v>
                </c:pt>
                <c:pt idx="5">
                  <c:v>0.1702127659574468</c:v>
                </c:pt>
                <c:pt idx="6">
                  <c:v>0.2391304347826087</c:v>
                </c:pt>
              </c:numCache>
            </c:numRef>
          </c:val>
          <c:extLst xmlns:c16r2="http://schemas.microsoft.com/office/drawing/2015/06/chart">
            <c:ext xmlns:c16="http://schemas.microsoft.com/office/drawing/2014/chart" uri="{C3380CC4-5D6E-409C-BE32-E72D297353CC}">
              <c16:uniqueId val="{00000002-CC4B-421E-AEB3-C62BF1F19828}"/>
            </c:ext>
          </c:extLst>
        </c:ser>
        <c:ser>
          <c:idx val="3"/>
          <c:order val="3"/>
          <c:tx>
            <c:strRef>
              <c:f>'Réponses au formulaire 1'!$G$67</c:f>
              <c:strCache>
                <c:ptCount val="1"/>
                <c:pt idx="0">
                  <c:v>Disagree</c:v>
                </c:pt>
              </c:strCache>
            </c:strRef>
          </c:tx>
          <c:spPr>
            <a:solidFill>
              <a:schemeClr val="accent6">
                <a:lumMod val="60000"/>
              </a:schemeClr>
            </a:solidFill>
            <a:ln>
              <a:noFill/>
            </a:ln>
            <a:effectLst/>
            <a:sp3d/>
          </c:spPr>
          <c:invertIfNegative val="0"/>
          <c:val>
            <c:numRef>
              <c:f>('Réponses au formulaire 1'!$H$67:$K$67,'Réponses au formulaire 1'!$N$67:$P$67)</c:f>
              <c:numCache>
                <c:formatCode>0%</c:formatCode>
                <c:ptCount val="7"/>
                <c:pt idx="0">
                  <c:v>0</c:v>
                </c:pt>
                <c:pt idx="1">
                  <c:v>2.1276595744680851E-2</c:v>
                </c:pt>
                <c:pt idx="2">
                  <c:v>4.2553191489361701E-2</c:v>
                </c:pt>
                <c:pt idx="3">
                  <c:v>0.10869565217391304</c:v>
                </c:pt>
                <c:pt idx="4">
                  <c:v>2.1276595744680851E-2</c:v>
                </c:pt>
                <c:pt idx="5">
                  <c:v>4.2553191489361701E-2</c:v>
                </c:pt>
                <c:pt idx="6">
                  <c:v>6.5217391304347824E-2</c:v>
                </c:pt>
              </c:numCache>
            </c:numRef>
          </c:val>
          <c:extLst xmlns:c16r2="http://schemas.microsoft.com/office/drawing/2015/06/chart">
            <c:ext xmlns:c16="http://schemas.microsoft.com/office/drawing/2014/chart" uri="{C3380CC4-5D6E-409C-BE32-E72D297353CC}">
              <c16:uniqueId val="{00000003-CC4B-421E-AEB3-C62BF1F19828}"/>
            </c:ext>
          </c:extLst>
        </c:ser>
        <c:ser>
          <c:idx val="4"/>
          <c:order val="4"/>
          <c:tx>
            <c:strRef>
              <c:f>'Réponses au formulaire 1'!$G$68</c:f>
              <c:strCache>
                <c:ptCount val="1"/>
                <c:pt idx="0">
                  <c:v>Strongly disagree</c:v>
                </c:pt>
              </c:strCache>
            </c:strRef>
          </c:tx>
          <c:spPr>
            <a:solidFill>
              <a:schemeClr val="accent5">
                <a:lumMod val="60000"/>
              </a:schemeClr>
            </a:solidFill>
            <a:ln>
              <a:noFill/>
            </a:ln>
            <a:effectLst/>
            <a:sp3d/>
          </c:spPr>
          <c:invertIfNegative val="0"/>
          <c:val>
            <c:numRef>
              <c:f>('Réponses au formulaire 1'!$H$68:$K$68,'Réponses au formulaire 1'!$N$68:$P$68)</c:f>
              <c:numCache>
                <c:formatCode>0%</c:formatCode>
                <c:ptCount val="7"/>
                <c:pt idx="0">
                  <c:v>0</c:v>
                </c:pt>
                <c:pt idx="1">
                  <c:v>0</c:v>
                </c:pt>
                <c:pt idx="2">
                  <c:v>2.1276595744680851E-2</c:v>
                </c:pt>
                <c:pt idx="3" formatCode="0">
                  <c:v>0</c:v>
                </c:pt>
                <c:pt idx="4">
                  <c:v>0</c:v>
                </c:pt>
                <c:pt idx="5">
                  <c:v>0</c:v>
                </c:pt>
                <c:pt idx="6">
                  <c:v>0</c:v>
                </c:pt>
              </c:numCache>
            </c:numRef>
          </c:val>
          <c:extLst xmlns:c16r2="http://schemas.microsoft.com/office/drawing/2015/06/chart">
            <c:ext xmlns:c16="http://schemas.microsoft.com/office/drawing/2014/chart" uri="{C3380CC4-5D6E-409C-BE32-E72D297353CC}">
              <c16:uniqueId val="{00000004-CC4B-421E-AEB3-C62BF1F19828}"/>
            </c:ext>
          </c:extLst>
        </c:ser>
        <c:dLbls>
          <c:showLegendKey val="0"/>
          <c:showVal val="0"/>
          <c:showCatName val="0"/>
          <c:showSerName val="0"/>
          <c:showPercent val="0"/>
          <c:showBubbleSize val="0"/>
        </c:dLbls>
        <c:gapWidth val="150"/>
        <c:shape val="box"/>
        <c:axId val="-617825312"/>
        <c:axId val="-617833472"/>
        <c:axId val="-276135456"/>
      </c:bar3DChart>
      <c:catAx>
        <c:axId val="-617825312"/>
        <c:scaling>
          <c:orientation val="minMax"/>
        </c:scaling>
        <c:delete val="0"/>
        <c:axPos val="b"/>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617833472"/>
        <c:crosses val="autoZero"/>
        <c:auto val="1"/>
        <c:lblAlgn val="ctr"/>
        <c:lblOffset val="100"/>
        <c:noMultiLvlLbl val="0"/>
      </c:catAx>
      <c:valAx>
        <c:axId val="-61783347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617825312"/>
        <c:crosses val="autoZero"/>
        <c:crossBetween val="between"/>
      </c:valAx>
      <c:serAx>
        <c:axId val="-276135456"/>
        <c:scaling>
          <c:orientation val="minMax"/>
        </c:scaling>
        <c:delete val="0"/>
        <c:axPos val="b"/>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617833472"/>
        <c:crosses val="autoZero"/>
      </c:ser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fr-FR"/>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4">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3"/>
    </mc:Choice>
    <mc:Fallback>
      <c:style val="3"/>
    </mc:Fallback>
  </mc:AlternateContent>
  <c:chart>
    <c:autoTitleDeleted val="1"/>
    <c:plotArea>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fr-FR"/>
              </a:p>
            </c:txPr>
            <c:dLblPos val="inBase"/>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errBars>
            <c:errBarType val="plus"/>
            <c:errValType val="cust"/>
            <c:noEndCap val="0"/>
            <c:plus>
              <c:numRef>
                <c:f>Sheet1!$C$10:$I$10</c:f>
                <c:numCache>
                  <c:formatCode>General</c:formatCode>
                  <c:ptCount val="7"/>
                  <c:pt idx="0">
                    <c:v>0.8</c:v>
                  </c:pt>
                  <c:pt idx="1">
                    <c:v>0.7</c:v>
                  </c:pt>
                  <c:pt idx="2">
                    <c:v>1.01</c:v>
                  </c:pt>
                  <c:pt idx="3">
                    <c:v>1.1200000000000001</c:v>
                  </c:pt>
                  <c:pt idx="4">
                    <c:v>0.73059200000000002</c:v>
                  </c:pt>
                  <c:pt idx="5">
                    <c:v>0.92</c:v>
                  </c:pt>
                  <c:pt idx="6">
                    <c:v>1.05</c:v>
                  </c:pt>
                </c:numCache>
              </c:numRef>
            </c:plus>
            <c:minus>
              <c:numLit>
                <c:formatCode>General</c:formatCode>
                <c:ptCount val="1"/>
                <c:pt idx="0">
                  <c:v>1</c:v>
                </c:pt>
              </c:numLit>
            </c:minus>
            <c:spPr>
              <a:noFill/>
              <a:ln w="9525" cap="flat" cmpd="sng" algn="ctr">
                <a:solidFill>
                  <a:schemeClr val="tx1">
                    <a:lumMod val="65000"/>
                    <a:lumOff val="35000"/>
                  </a:schemeClr>
                </a:solidFill>
                <a:round/>
              </a:ln>
              <a:effectLst/>
            </c:spPr>
          </c:errBars>
          <c:cat>
            <c:strRef>
              <c:f>Sheet1!$C$4:$I$4</c:f>
              <c:strCache>
                <c:ptCount val="7"/>
                <c:pt idx="0">
                  <c:v>Question 1</c:v>
                </c:pt>
                <c:pt idx="1">
                  <c:v>Question 2</c:v>
                </c:pt>
                <c:pt idx="2">
                  <c:v>Question 3</c:v>
                </c:pt>
                <c:pt idx="3">
                  <c:v>Question 4</c:v>
                </c:pt>
                <c:pt idx="4">
                  <c:v>Question 5</c:v>
                </c:pt>
                <c:pt idx="5">
                  <c:v>Question 6</c:v>
                </c:pt>
                <c:pt idx="6">
                  <c:v>Question 7</c:v>
                </c:pt>
              </c:strCache>
            </c:strRef>
          </c:cat>
          <c:val>
            <c:numRef>
              <c:f>Sheet1!$C$6:$I$6</c:f>
              <c:numCache>
                <c:formatCode>General</c:formatCode>
                <c:ptCount val="7"/>
                <c:pt idx="0">
                  <c:v>4.5</c:v>
                </c:pt>
                <c:pt idx="1">
                  <c:v>4.74</c:v>
                </c:pt>
                <c:pt idx="2">
                  <c:v>4.4400000000000004</c:v>
                </c:pt>
                <c:pt idx="3">
                  <c:v>4.26</c:v>
                </c:pt>
                <c:pt idx="4">
                  <c:v>4.6500000000000004</c:v>
                </c:pt>
                <c:pt idx="5">
                  <c:v>4.46</c:v>
                </c:pt>
                <c:pt idx="6">
                  <c:v>4.32</c:v>
                </c:pt>
              </c:numCache>
            </c:numRef>
          </c:val>
          <c:extLst xmlns:c16r2="http://schemas.microsoft.com/office/drawing/2015/06/chart">
            <c:ext xmlns:c16="http://schemas.microsoft.com/office/drawing/2014/chart" uri="{C3380CC4-5D6E-409C-BE32-E72D297353CC}">
              <c16:uniqueId val="{00000000-513A-44B1-8051-5EB81DD062E1}"/>
            </c:ext>
          </c:extLst>
        </c:ser>
        <c:dLbls>
          <c:dLblPos val="inBase"/>
          <c:showLegendKey val="0"/>
          <c:showVal val="1"/>
          <c:showCatName val="0"/>
          <c:showSerName val="0"/>
          <c:showPercent val="0"/>
          <c:showBubbleSize val="0"/>
        </c:dLbls>
        <c:gapWidth val="150"/>
        <c:axId val="-617824768"/>
        <c:axId val="-617821504"/>
      </c:barChart>
      <c:catAx>
        <c:axId val="-61782476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Summative</a:t>
                </a:r>
                <a:r>
                  <a:rPr lang="en-US" baseline="0"/>
                  <a:t> Assessment </a:t>
                </a:r>
                <a:r>
                  <a:rPr lang="en-US"/>
                  <a:t>Kowledge</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fr-FR"/>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617821504"/>
        <c:crosses val="autoZero"/>
        <c:auto val="1"/>
        <c:lblAlgn val="ctr"/>
        <c:lblOffset val="100"/>
        <c:noMultiLvlLbl val="0"/>
      </c:catAx>
      <c:valAx>
        <c:axId val="-61782150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Participants</a:t>
                </a:r>
                <a:r>
                  <a:rPr lang="en-US" baseline="0"/>
                  <a:t>' Level of Agreement</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fr-FR"/>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617824768"/>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3"/>
    </mc:Choice>
    <mc:Fallback>
      <c:style val="3"/>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ndard"/>
        <c:varyColors val="0"/>
        <c:ser>
          <c:idx val="0"/>
          <c:order val="0"/>
          <c:tx>
            <c:strRef>
              <c:f>'Réponses au formulaire 1'!$K$61</c:f>
              <c:strCache>
                <c:ptCount val="1"/>
                <c:pt idx="0">
                  <c:v>Not useful at all</c:v>
                </c:pt>
              </c:strCache>
            </c:strRef>
          </c:tx>
          <c:spPr>
            <a:solidFill>
              <a:schemeClr val="accent1">
                <a:shade val="53000"/>
              </a:schemeClr>
            </a:solidFill>
            <a:ln>
              <a:noFill/>
            </a:ln>
            <a:effectLst/>
            <a:sp3d/>
          </c:spPr>
          <c:invertIfNegative val="0"/>
          <c:dLbls>
            <c:spPr>
              <a:solidFill>
                <a:srgbClr val="000000">
                  <a:lumMod val="15000"/>
                  <a:lumOff val="85000"/>
                </a:srgbClr>
              </a:solidFill>
              <a:ln>
                <a:noFill/>
              </a:ln>
              <a:effectLst/>
            </c:spPr>
            <c:txPr>
              <a:bodyPr rot="-5400000" spcFirstLastPara="1" vertOverflow="clip" horzOverflow="clip"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fr-F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pPr xmlns:c15="http://schemas.microsoft.com/office/drawing/2012/chart">
                  <a:prstGeom prst="wedgeRectCallout">
                    <a:avLst/>
                  </a:prstGeom>
                  <a:noFill/>
                  <a:ln>
                    <a:noFill/>
                  </a:ln>
                </c15:spPr>
                <c15:showLeaderLines val="0"/>
              </c:ext>
            </c:extLst>
          </c:dLbls>
          <c:val>
            <c:numRef>
              <c:f>'Réponses au formulaire 1'!$L$61</c:f>
              <c:numCache>
                <c:formatCode>0%</c:formatCode>
                <c:ptCount val="1"/>
                <c:pt idx="0">
                  <c:v>0</c:v>
                </c:pt>
              </c:numCache>
            </c:numRef>
          </c:val>
          <c:extLst xmlns:c16r2="http://schemas.microsoft.com/office/drawing/2015/06/chart">
            <c:ext xmlns:c16="http://schemas.microsoft.com/office/drawing/2014/chart" uri="{C3380CC4-5D6E-409C-BE32-E72D297353CC}">
              <c16:uniqueId val="{00000000-61B5-4EAB-B8F2-423617001E49}"/>
            </c:ext>
          </c:extLst>
        </c:ser>
        <c:ser>
          <c:idx val="1"/>
          <c:order val="1"/>
          <c:tx>
            <c:strRef>
              <c:f>'Réponses au formulaire 1'!$K$62</c:f>
              <c:strCache>
                <c:ptCount val="1"/>
                <c:pt idx="0">
                  <c:v>Slightly useful</c:v>
                </c:pt>
              </c:strCache>
            </c:strRef>
          </c:tx>
          <c:spPr>
            <a:solidFill>
              <a:schemeClr val="accent1">
                <a:shade val="76000"/>
              </a:schemeClr>
            </a:solidFill>
            <a:ln>
              <a:noFill/>
            </a:ln>
            <a:effectLst/>
            <a:sp3d/>
          </c:spPr>
          <c:invertIfNegative val="0"/>
          <c:dLbls>
            <c:spPr>
              <a:solidFill>
                <a:srgbClr val="000000">
                  <a:lumMod val="15000"/>
                  <a:lumOff val="85000"/>
                </a:srgbClr>
              </a:solidFill>
              <a:ln>
                <a:noFill/>
              </a:ln>
              <a:effectLst/>
            </c:spPr>
            <c:txPr>
              <a:bodyPr rot="-5400000" spcFirstLastPara="1" vertOverflow="clip" horzOverflow="clip"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fr-F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pPr xmlns:c15="http://schemas.microsoft.com/office/drawing/2012/chart">
                  <a:prstGeom prst="wedgeRectCallout">
                    <a:avLst/>
                  </a:prstGeom>
                  <a:noFill/>
                  <a:ln>
                    <a:noFill/>
                  </a:ln>
                </c15:spPr>
                <c15:showLeaderLines val="0"/>
              </c:ext>
            </c:extLst>
          </c:dLbls>
          <c:val>
            <c:numRef>
              <c:f>'Réponses au formulaire 1'!$L$62</c:f>
              <c:numCache>
                <c:formatCode>0%</c:formatCode>
                <c:ptCount val="1"/>
                <c:pt idx="0">
                  <c:v>4.2553191489361701E-2</c:v>
                </c:pt>
              </c:numCache>
            </c:numRef>
          </c:val>
          <c:extLst xmlns:c16r2="http://schemas.microsoft.com/office/drawing/2015/06/chart">
            <c:ext xmlns:c16="http://schemas.microsoft.com/office/drawing/2014/chart" uri="{C3380CC4-5D6E-409C-BE32-E72D297353CC}">
              <c16:uniqueId val="{00000001-61B5-4EAB-B8F2-423617001E49}"/>
            </c:ext>
          </c:extLst>
        </c:ser>
        <c:ser>
          <c:idx val="2"/>
          <c:order val="2"/>
          <c:tx>
            <c:strRef>
              <c:f>'Réponses au formulaire 1'!$K$63</c:f>
              <c:strCache>
                <c:ptCount val="1"/>
                <c:pt idx="0">
                  <c:v>Moderately useful</c:v>
                </c:pt>
              </c:strCache>
            </c:strRef>
          </c:tx>
          <c:spPr>
            <a:solidFill>
              <a:schemeClr val="accent1"/>
            </a:solidFill>
            <a:ln>
              <a:noFill/>
            </a:ln>
            <a:effectLst/>
            <a:sp3d/>
          </c:spPr>
          <c:invertIfNegative val="0"/>
          <c:dLbls>
            <c:spPr>
              <a:solidFill>
                <a:srgbClr val="000000">
                  <a:lumMod val="15000"/>
                  <a:lumOff val="85000"/>
                </a:srgbClr>
              </a:solidFill>
              <a:ln>
                <a:noFill/>
              </a:ln>
              <a:effectLst/>
            </c:spPr>
            <c:txPr>
              <a:bodyPr rot="-5400000" spcFirstLastPara="1" vertOverflow="clip" horzOverflow="clip"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fr-F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pPr xmlns:c15="http://schemas.microsoft.com/office/drawing/2012/chart">
                  <a:prstGeom prst="wedgeRectCallout">
                    <a:avLst/>
                  </a:prstGeom>
                  <a:noFill/>
                  <a:ln>
                    <a:noFill/>
                  </a:ln>
                </c15:spPr>
                <c15:showLeaderLines val="0"/>
              </c:ext>
            </c:extLst>
          </c:dLbls>
          <c:val>
            <c:numRef>
              <c:f>'Réponses au formulaire 1'!$L$63</c:f>
              <c:numCache>
                <c:formatCode>0%</c:formatCode>
                <c:ptCount val="1"/>
                <c:pt idx="0">
                  <c:v>0.36170212765957449</c:v>
                </c:pt>
              </c:numCache>
            </c:numRef>
          </c:val>
          <c:extLst xmlns:c16r2="http://schemas.microsoft.com/office/drawing/2015/06/chart">
            <c:ext xmlns:c16="http://schemas.microsoft.com/office/drawing/2014/chart" uri="{C3380CC4-5D6E-409C-BE32-E72D297353CC}">
              <c16:uniqueId val="{00000002-61B5-4EAB-B8F2-423617001E49}"/>
            </c:ext>
          </c:extLst>
        </c:ser>
        <c:ser>
          <c:idx val="3"/>
          <c:order val="3"/>
          <c:tx>
            <c:strRef>
              <c:f>'Réponses au formulaire 1'!$K$64</c:f>
              <c:strCache>
                <c:ptCount val="1"/>
                <c:pt idx="0">
                  <c:v>Very useful</c:v>
                </c:pt>
              </c:strCache>
            </c:strRef>
          </c:tx>
          <c:spPr>
            <a:solidFill>
              <a:schemeClr val="accent1">
                <a:tint val="77000"/>
              </a:schemeClr>
            </a:solidFill>
            <a:ln>
              <a:noFill/>
            </a:ln>
            <a:effectLst/>
            <a:sp3d/>
          </c:spPr>
          <c:invertIfNegative val="0"/>
          <c:dLbls>
            <c:spPr>
              <a:solidFill>
                <a:srgbClr val="000000">
                  <a:lumMod val="15000"/>
                  <a:lumOff val="85000"/>
                </a:srgbClr>
              </a:solidFill>
              <a:ln>
                <a:noFill/>
              </a:ln>
              <a:effectLst/>
            </c:spPr>
            <c:txPr>
              <a:bodyPr rot="-5400000" spcFirstLastPara="1" vertOverflow="clip" horzOverflow="clip"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fr-F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pPr xmlns:c15="http://schemas.microsoft.com/office/drawing/2012/chart">
                  <a:prstGeom prst="wedgeRectCallout">
                    <a:avLst/>
                  </a:prstGeom>
                  <a:noFill/>
                  <a:ln>
                    <a:noFill/>
                  </a:ln>
                </c15:spPr>
                <c15:showLeaderLines val="0"/>
              </c:ext>
            </c:extLst>
          </c:dLbls>
          <c:val>
            <c:numRef>
              <c:f>'Réponses au formulaire 1'!$L$64</c:f>
              <c:numCache>
                <c:formatCode>0%</c:formatCode>
                <c:ptCount val="1"/>
                <c:pt idx="0">
                  <c:v>0.5957446808510638</c:v>
                </c:pt>
              </c:numCache>
            </c:numRef>
          </c:val>
          <c:extLst xmlns:c16r2="http://schemas.microsoft.com/office/drawing/2015/06/chart">
            <c:ext xmlns:c16="http://schemas.microsoft.com/office/drawing/2014/chart" uri="{C3380CC4-5D6E-409C-BE32-E72D297353CC}">
              <c16:uniqueId val="{00000003-61B5-4EAB-B8F2-423617001E49}"/>
            </c:ext>
          </c:extLst>
        </c:ser>
        <c:ser>
          <c:idx val="4"/>
          <c:order val="4"/>
          <c:tx>
            <c:strRef>
              <c:f>'Réponses au formulaire 1'!$K$65</c:f>
              <c:strCache>
                <c:ptCount val="1"/>
                <c:pt idx="0">
                  <c:v>Extremely useful</c:v>
                </c:pt>
              </c:strCache>
            </c:strRef>
          </c:tx>
          <c:spPr>
            <a:solidFill>
              <a:schemeClr val="accent1">
                <a:tint val="54000"/>
              </a:schemeClr>
            </a:solidFill>
            <a:ln>
              <a:noFill/>
            </a:ln>
            <a:effectLst/>
            <a:sp3d/>
          </c:spPr>
          <c:invertIfNegative val="0"/>
          <c:dLbls>
            <c:spPr>
              <a:solidFill>
                <a:srgbClr val="000000">
                  <a:lumMod val="15000"/>
                  <a:lumOff val="85000"/>
                </a:srgbClr>
              </a:solidFill>
              <a:ln>
                <a:noFill/>
              </a:ln>
              <a:effectLst/>
            </c:spPr>
            <c:txPr>
              <a:bodyPr rot="-5400000" spcFirstLastPara="1" vertOverflow="clip" horzOverflow="clip"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fr-F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pPr xmlns:c15="http://schemas.microsoft.com/office/drawing/2012/chart">
                  <a:prstGeom prst="wedgeRectCallout">
                    <a:avLst/>
                  </a:prstGeom>
                  <a:noFill/>
                  <a:ln>
                    <a:noFill/>
                  </a:ln>
                </c15:spPr>
                <c15:showLeaderLines val="0"/>
              </c:ext>
            </c:extLst>
          </c:dLbls>
          <c:val>
            <c:numRef>
              <c:f>'Réponses au formulaire 1'!$L$65</c:f>
              <c:numCache>
                <c:formatCode>0%</c:formatCode>
                <c:ptCount val="1"/>
                <c:pt idx="0">
                  <c:v>0</c:v>
                </c:pt>
              </c:numCache>
            </c:numRef>
          </c:val>
          <c:extLst xmlns:c16r2="http://schemas.microsoft.com/office/drawing/2015/06/chart">
            <c:ext xmlns:c16="http://schemas.microsoft.com/office/drawing/2014/chart" uri="{C3380CC4-5D6E-409C-BE32-E72D297353CC}">
              <c16:uniqueId val="{00000004-61B5-4EAB-B8F2-423617001E49}"/>
            </c:ext>
          </c:extLst>
        </c:ser>
        <c:dLbls>
          <c:showLegendKey val="0"/>
          <c:showVal val="1"/>
          <c:showCatName val="0"/>
          <c:showSerName val="0"/>
          <c:showPercent val="0"/>
          <c:showBubbleSize val="0"/>
        </c:dLbls>
        <c:gapWidth val="150"/>
        <c:shape val="box"/>
        <c:axId val="-617824224"/>
        <c:axId val="-617822592"/>
        <c:axId val="-276156672"/>
      </c:bar3DChart>
      <c:catAx>
        <c:axId val="-61782422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cap="none" spc="0" normalizeH="0" baseline="0">
                <a:solidFill>
                  <a:schemeClr val="tx1">
                    <a:lumMod val="65000"/>
                    <a:lumOff val="35000"/>
                  </a:schemeClr>
                </a:solidFill>
                <a:latin typeface="+mn-lt"/>
                <a:ea typeface="+mn-ea"/>
                <a:cs typeface="+mn-cs"/>
              </a:defRPr>
            </a:pPr>
            <a:endParaRPr lang="fr-FR"/>
          </a:p>
        </c:txPr>
        <c:crossAx val="-617822592"/>
        <c:crosses val="autoZero"/>
        <c:auto val="1"/>
        <c:lblAlgn val="ctr"/>
        <c:lblOffset val="100"/>
        <c:noMultiLvlLbl val="0"/>
      </c:catAx>
      <c:valAx>
        <c:axId val="-617822592"/>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617824224"/>
        <c:crosses val="autoZero"/>
        <c:crossBetween val="between"/>
      </c:valAx>
      <c:serAx>
        <c:axId val="-276156672"/>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617822592"/>
        <c:crosses val="autoZero"/>
      </c:ser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3">
    <c:autoUpdate val="0"/>
  </c:externalData>
</c:chartSpace>
</file>

<file path=word/charts/colors1.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withinLinear" id="14">
  <a:schemeClr val="accent1"/>
</cs:colorStyle>
</file>

<file path=word/charts/colors11.xml><?xml version="1.0" encoding="utf-8"?>
<cs:colorStyle xmlns:cs="http://schemas.microsoft.com/office/drawing/2012/chartStyle" xmlns:a="http://schemas.openxmlformats.org/drawingml/2006/main" meth="withinLinear" id="18">
  <a:schemeClr val="accent5"/>
</cs:colorStyle>
</file>

<file path=word/charts/colors12.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8.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withinLinear" id="14">
  <a:schemeClr val="accent1"/>
</cs:colorStyle>
</file>

<file path=word/charts/colors20.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withinLinear" id="14">
  <a:schemeClr val="accent1"/>
</cs:colorStyle>
</file>

<file path=word/charts/colors4.xml><?xml version="1.0" encoding="utf-8"?>
<cs:colorStyle xmlns:cs="http://schemas.microsoft.com/office/drawing/2012/chartStyle" xmlns:a="http://schemas.openxmlformats.org/drawingml/2006/main" meth="withinLinear" id="18">
  <a:schemeClr val="accent5"/>
</cs:colorStyle>
</file>

<file path=word/charts/colors5.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withinLinear" id="14">
  <a:schemeClr val="accent1"/>
</cs:colorStyle>
</file>

<file path=word/charts/colors9.xml><?xml version="1.0" encoding="utf-8"?>
<cs:colorStyle xmlns:cs="http://schemas.microsoft.com/office/drawing/2012/chartStyle" xmlns:a="http://schemas.openxmlformats.org/drawingml/2006/main" meth="withinLinear" id="14">
  <a:schemeClr val="accent1"/>
</cs:colorStyle>
</file>

<file path=word/charts/style1.xml><?xml version="1.0" encoding="utf-8"?>
<cs:chartStyle xmlns:cs="http://schemas.microsoft.com/office/drawing/2012/chartStyle" xmlns:a="http://schemas.openxmlformats.org/drawingml/2006/main" id="347">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10.xml><?xml version="1.0" encoding="utf-8"?>
<cs:chartStyle xmlns:cs="http://schemas.microsoft.com/office/drawing/2012/chartStyle" xmlns:a="http://schemas.openxmlformats.org/drawingml/2006/main" id="28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dk1"/>
    </cs:fontRef>
    <cs:spPr>
      <a:solidFill>
        <a:schemeClr val="phClr">
          <a:alpha val="85000"/>
        </a:schemeClr>
      </a:solidFill>
      <a:ln w="9525" cap="flat" cmpd="sng" algn="ctr">
        <a:solidFill>
          <a:schemeClr val="phClr">
            <a:lumMod val="75000"/>
          </a:schemeClr>
        </a:solidFill>
        <a:round/>
      </a:ln>
    </cs:spPr>
  </cs:dataPoint>
  <cs:dataPoint3D>
    <cs:lnRef idx="0">
      <cs:styleClr val="auto"/>
    </cs:lnRef>
    <cs:fillRef idx="0">
      <cs:styleClr val="auto"/>
    </cs:fillRef>
    <cs:effectRef idx="0">
      <cs:styleClr val="auto"/>
    </cs:effectRef>
    <cs:fontRef idx="minor">
      <a:schemeClr val="dk1"/>
    </cs:fontRef>
    <cs:spPr>
      <a:solidFill>
        <a:schemeClr val="phClr">
          <a:alpha val="85000"/>
        </a:schemeClr>
      </a:solidFill>
      <a:ln w="9525" cap="flat" cmpd="sng" algn="ctr">
        <a:solidFill>
          <a:schemeClr val="phClr">
            <a:lumMod val="75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spPr>
      <a:solidFill>
        <a:schemeClr val="lt1">
          <a:lumMod val="95000"/>
        </a:schemeClr>
      </a:solidFill>
      <a:sp3d/>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11.xml><?xml version="1.0" encoding="utf-8"?>
<cs:chartStyle xmlns:cs="http://schemas.microsoft.com/office/drawing/2012/chartStyle" xmlns:a="http://schemas.openxmlformats.org/drawingml/2006/main" id="290">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12.xml><?xml version="1.0" encoding="utf-8"?>
<cs:chartStyle xmlns:cs="http://schemas.microsoft.com/office/drawing/2012/chartStyle" xmlns:a="http://schemas.openxmlformats.org/drawingml/2006/main" id="28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dk1"/>
    </cs:fontRef>
    <cs:spPr>
      <a:solidFill>
        <a:schemeClr val="phClr">
          <a:alpha val="85000"/>
        </a:schemeClr>
      </a:solidFill>
      <a:ln w="9525" cap="flat" cmpd="sng" algn="ctr">
        <a:solidFill>
          <a:schemeClr val="phClr">
            <a:lumMod val="75000"/>
          </a:schemeClr>
        </a:solidFill>
        <a:round/>
      </a:ln>
    </cs:spPr>
  </cs:dataPoint>
  <cs:dataPoint3D>
    <cs:lnRef idx="0">
      <cs:styleClr val="auto"/>
    </cs:lnRef>
    <cs:fillRef idx="0">
      <cs:styleClr val="auto"/>
    </cs:fillRef>
    <cs:effectRef idx="0">
      <cs:styleClr val="auto"/>
    </cs:effectRef>
    <cs:fontRef idx="minor">
      <a:schemeClr val="dk1"/>
    </cs:fontRef>
    <cs:spPr>
      <a:solidFill>
        <a:schemeClr val="phClr">
          <a:alpha val="85000"/>
        </a:schemeClr>
      </a:solidFill>
      <a:ln w="9525" cap="flat" cmpd="sng" algn="ctr">
        <a:solidFill>
          <a:schemeClr val="phClr">
            <a:lumMod val="75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spPr>
      <a:solidFill>
        <a:schemeClr val="lt1">
          <a:lumMod val="95000"/>
        </a:schemeClr>
      </a:solidFill>
      <a:sp3d/>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13.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14.xml><?xml version="1.0" encoding="utf-8"?>
<cs:chartStyle xmlns:cs="http://schemas.microsoft.com/office/drawing/2012/chartStyle" xmlns:a="http://schemas.openxmlformats.org/drawingml/2006/main" id="347">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1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345">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17.xml><?xml version="1.0" encoding="utf-8"?>
<cs:chartStyle xmlns:cs="http://schemas.microsoft.com/office/drawing/2012/chartStyle" xmlns:a="http://schemas.openxmlformats.org/drawingml/2006/main" id="296">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b="0" kern="1200" cap="none" spc="0" normalizeH="0" baseline="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75000"/>
        <a:lumOff val="25000"/>
      </a:schemeClr>
    </cs:fontRef>
    <cs:spPr>
      <a:solidFill>
        <a:schemeClr val="dk1">
          <a:lumMod val="15000"/>
          <a:lumOff val="85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38100"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8"/>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50000"/>
            <a:lumOff val="50000"/>
          </a:schemeClr>
        </a:solidFill>
        <a:prstDash val="dash"/>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w="9525" cap="flat" cmpd="sng" algn="ctr">
        <a:solidFill>
          <a:schemeClr val="tx1">
            <a:lumMod val="5000"/>
            <a:lumOff val="95000"/>
          </a:schemeClr>
        </a:solidFill>
        <a:round/>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ajor">
      <a:schemeClr val="tx1">
        <a:lumMod val="65000"/>
        <a:lumOff val="35000"/>
      </a:schemeClr>
    </cs:fontRef>
    <cs:defRPr sz="2000" b="0" kern="1200" cap="none" spc="0" normalizeH="0" baseline="0"/>
  </cs:title>
  <cs:trendline>
    <cs:lnRef idx="0">
      <cs:styleClr val="auto"/>
    </cs:lnRef>
    <cs:fillRef idx="0"/>
    <cs:effectRef idx="0"/>
    <cs:fontRef idx="minor">
      <a:schemeClr val="dk1"/>
    </cs:fontRef>
    <cs:spPr>
      <a:ln w="19050" cap="rnd">
        <a:solidFill>
          <a:schemeClr val="phClr"/>
        </a:solidFill>
        <a:round/>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18.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9.xml><?xml version="1.0" encoding="utf-8"?>
<cs:chartStyle xmlns:cs="http://schemas.microsoft.com/office/drawing/2012/chartStyle" xmlns:a="http://schemas.openxmlformats.org/drawingml/2006/main" id="208">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ap="none" spc="0" normalizeH="0" baseline="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spPr>
      <a:pattFill prst="ltDnDiag">
        <a:fgClr>
          <a:schemeClr val="dk1">
            <a:lumMod val="15000"/>
            <a:lumOff val="85000"/>
          </a:schemeClr>
        </a:fgClr>
        <a:bgClr>
          <a:schemeClr val="lt1"/>
        </a:bgClr>
      </a:pattFill>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pattFill prst="ltDnDiag">
        <a:fgClr>
          <a:schemeClr val="dk1">
            <a:lumMod val="15000"/>
            <a:lumOff val="85000"/>
          </a:schemeClr>
        </a:fgClr>
        <a:bgClr>
          <a:schemeClr val="lt1"/>
        </a:bgClr>
      </a:pattFill>
    </cs:spPr>
  </cs:plotArea>
  <cs:plotArea3D>
    <cs:lnRef idx="0"/>
    <cs:fillRef idx="0"/>
    <cs:effectRef idx="0"/>
    <cs:fontRef idx="minor">
      <a:schemeClr val="dk1"/>
    </cs:fontRef>
    <cs:spPr>
      <a:solidFill>
        <a:schemeClr val="lt1"/>
      </a:solidFill>
    </cs:spPr>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cap="none"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spPr>
      <a:pattFill prst="ltDnDiag">
        <a:fgClr>
          <a:schemeClr val="dk1">
            <a:lumMod val="15000"/>
            <a:lumOff val="85000"/>
          </a:schemeClr>
        </a:fgClr>
        <a:bgClr>
          <a:schemeClr val="lt1"/>
        </a:bgClr>
      </a:pattFill>
    </cs:spPr>
  </cs:wall>
</cs:chartStyle>
</file>

<file path=word/charts/style2.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0.xml><?xml version="1.0" encoding="utf-8"?>
<cs:chartStyle xmlns:cs="http://schemas.microsoft.com/office/drawing/2012/chartStyle" xmlns:a="http://schemas.openxmlformats.org/drawingml/2006/main" id="290">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3.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347">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5.xml><?xml version="1.0" encoding="utf-8"?>
<cs:chartStyle xmlns:cs="http://schemas.microsoft.com/office/drawing/2012/chartStyle" xmlns:a="http://schemas.openxmlformats.org/drawingml/2006/main" id="326">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dk1">
            <a:lumMod val="75000"/>
            <a:lumOff val="25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dk1">
            <a:lumMod val="75000"/>
            <a:lumOff val="25000"/>
          </a:schemeClr>
        </a:solidFill>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96">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b="0" kern="1200" cap="none" spc="0" normalizeH="0" baseline="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75000"/>
        <a:lumOff val="25000"/>
      </a:schemeClr>
    </cs:fontRef>
    <cs:spPr>
      <a:solidFill>
        <a:schemeClr val="dk1">
          <a:lumMod val="15000"/>
          <a:lumOff val="85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38100"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8"/>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50000"/>
            <a:lumOff val="50000"/>
          </a:schemeClr>
        </a:solidFill>
        <a:prstDash val="dash"/>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w="9525" cap="flat" cmpd="sng" algn="ctr">
        <a:solidFill>
          <a:schemeClr val="tx1">
            <a:lumMod val="5000"/>
            <a:lumOff val="95000"/>
          </a:schemeClr>
        </a:solidFill>
        <a:round/>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ajor">
      <a:schemeClr val="tx1">
        <a:lumMod val="65000"/>
        <a:lumOff val="35000"/>
      </a:schemeClr>
    </cs:fontRef>
    <cs:defRPr sz="2000" b="0" kern="1200" cap="none" spc="0" normalizeH="0" baseline="0"/>
  </cs:title>
  <cs:trendline>
    <cs:lnRef idx="0">
      <cs:styleClr val="auto"/>
    </cs:lnRef>
    <cs:fillRef idx="0"/>
    <cs:effectRef idx="0"/>
    <cs:fontRef idx="minor">
      <a:schemeClr val="dk1"/>
    </cs:fontRef>
    <cs:spPr>
      <a:ln w="19050" cap="rnd">
        <a:solidFill>
          <a:schemeClr val="phClr"/>
        </a:solidFill>
        <a:round/>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0_2">
  <dgm:title val=""/>
  <dgm:desc val=""/>
  <dgm:catLst>
    <dgm:cat type="mainScheme" pri="10200"/>
  </dgm:catLst>
  <dgm:styleLbl name="node0">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lig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l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vennNode1">
    <dgm:fillClrLst meth="repeat">
      <a:schemeClr val="lt1">
        <a:alpha val="50000"/>
      </a:schemeClr>
    </dgm:fillClrLst>
    <dgm:linClrLst meth="repeat">
      <a:schemeClr val="dk2">
        <a:shade val="80000"/>
      </a:schemeClr>
    </dgm:linClrLst>
    <dgm:effectClrLst/>
    <dgm:txLinClrLst/>
    <dgm:txFillClrLst/>
    <dgm:txEffectClrLst/>
  </dgm:styleLbl>
  <dgm:styleLbl name="node2">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3">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4">
    <dgm:fillClrLst meth="repeat">
      <a:schemeClr val="lt1"/>
    </dgm:fillClrLst>
    <dgm:linClrLst meth="repeat">
      <a:schemeClr val="dk2">
        <a:shade val="80000"/>
      </a:schemeClr>
    </dgm:linClrLst>
    <dgm:effectClrLst/>
    <dgm:txLinClrLst/>
    <dgm:txFillClrLst meth="repeat">
      <a:schemeClr val="dk2"/>
    </dgm:txFillClrLst>
    <dgm:txEffectClrLst/>
  </dgm:styleLbl>
  <dgm:styleLbl name="f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align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b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sibTrans1D1">
    <dgm:fillClrLst meth="repeat">
      <a:schemeClr val="dk2"/>
    </dgm:fillClrLst>
    <dgm:linClrLst meth="repeat">
      <a:schemeClr val="dk2"/>
    </dgm:linClrLst>
    <dgm:effectClrLst/>
    <dgm:txLinClrLst/>
    <dgm:txFillClrLst meth="repeat">
      <a:schemeClr val="tx1"/>
    </dgm:txFillClrLst>
    <dgm:txEffectClrLst/>
  </dgm:styleLbl>
  <dgm:styleLbl name="callout">
    <dgm:fillClrLst meth="repeat">
      <a:schemeClr val="dk2"/>
    </dgm:fillClrLst>
    <dgm:linClrLst meth="repeat">
      <a:schemeClr val="dk2"/>
    </dgm:linClrLst>
    <dgm:effectClrLst/>
    <dgm:txLinClrLst/>
    <dgm:txFillClrLst meth="repeat">
      <a:schemeClr val="tx1"/>
    </dgm:txFillClrLst>
    <dgm:txEffectClrLst/>
  </dgm:styleLbl>
  <dgm:styleLbl name="asst0">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2">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3">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4">
    <dgm:fillClrLst meth="repeat">
      <a:schemeClr val="lt1"/>
    </dgm:fillClrLst>
    <dgm:linClrLst meth="repeat">
      <a:schemeClr val="dk2">
        <a:shade val="80000"/>
      </a:schemeClr>
    </dgm:linClrLst>
    <dgm:effectClrLst/>
    <dgm:txLinClrLst/>
    <dgm:txFillClrLst meth="repeat">
      <a:schemeClr val="dk2"/>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dgm:txEffectClrLst/>
  </dgm:styleLbl>
  <dgm:styleLbl name="parChTrans2D2">
    <dgm:fillClrLst meth="repeat">
      <a:schemeClr val="dk2"/>
    </dgm:fillClrLst>
    <dgm:linClrLst meth="repeat">
      <a:schemeClr val="dk2"/>
    </dgm:linClrLst>
    <dgm:effectClrLst/>
    <dgm:txLinClrLst/>
    <dgm:txFillClrLst/>
    <dgm:txEffectClrLst/>
  </dgm:styleLbl>
  <dgm:styleLbl name="parChTrans2D3">
    <dgm:fillClrLst meth="repeat">
      <a:schemeClr val="dk2"/>
    </dgm:fillClrLst>
    <dgm:linClrLst meth="repeat">
      <a:schemeClr val="dk2"/>
    </dgm:linClrLst>
    <dgm:effectClrLst/>
    <dgm:txLinClrLst/>
    <dgm:txFillClrLst/>
    <dgm:txEffectClrLst/>
  </dgm:styleLbl>
  <dgm:styleLbl name="parChTrans2D4">
    <dgm:fillClrLst meth="repeat">
      <a:schemeClr val="dk2"/>
    </dgm:fillClrLst>
    <dgm:linClrLst meth="repeat">
      <a:schemeClr val="dk2"/>
    </dgm:linClrLst>
    <dgm:effectClrLst/>
    <dgm:txLinClrLst/>
    <dgm:txFillClrLst meth="repeat">
      <a:schemeClr val="lt1"/>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con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align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trAlignAcc1">
    <dgm:fillClrLst meth="repeat">
      <a:schemeClr val="dk2">
        <a:alpha val="40000"/>
        <a:tint val="40000"/>
      </a:schemeClr>
    </dgm:fillClrLst>
    <dgm:linClrLst meth="repeat">
      <a:schemeClr val="dk2"/>
    </dgm:linClrLst>
    <dgm:effectClrLst/>
    <dgm:txLinClrLst/>
    <dgm:txFillClrLst meth="repeat">
      <a:schemeClr val="dk2"/>
    </dgm:txFillClrLst>
    <dgm:txEffectClrLst/>
  </dgm:styleLbl>
  <dgm:styleLbl name="b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solidFgAcc1">
    <dgm:fillClrLst meth="repeat">
      <a:schemeClr val="lt1"/>
    </dgm:fillClrLst>
    <dgm:linClrLst meth="repeat">
      <a:schemeClr val="dk2"/>
    </dgm:linClrLst>
    <dgm:effectClrLst/>
    <dgm:txLinClrLst/>
    <dgm:txFillClrLst meth="repeat">
      <a:schemeClr val="dk2"/>
    </dgm:txFillClrLst>
    <dgm:txEffectClrLst/>
  </dgm:styleLbl>
  <dgm:styleLbl name="solidAlignAcc1">
    <dgm:fillClrLst meth="repeat">
      <a:schemeClr val="lt1"/>
    </dgm:fillClrLst>
    <dgm:linClrLst meth="repeat">
      <a:schemeClr val="dk2"/>
    </dgm:linClrLst>
    <dgm:effectClrLst/>
    <dgm:txLinClrLst/>
    <dgm:txFillClrLst meth="repeat">
      <a:schemeClr val="dk2"/>
    </dgm:txFillClrLst>
    <dgm:txEffectClrLst/>
  </dgm:styleLbl>
  <dgm:styleLbl name="solidBgAcc1">
    <dgm:fillClrLst meth="repeat">
      <a:schemeClr val="lt1"/>
    </dgm:fillClrLst>
    <dgm:linClrLst meth="repeat">
      <a:schemeClr val="dk2"/>
    </dgm:linClrLst>
    <dgm:effectClrLst/>
    <dgm:txLinClrLst/>
    <dgm:txFillClrLst meth="repeat">
      <a:schemeClr val="dk2"/>
    </dgm:txFillClrLst>
    <dgm:txEffectClrLst/>
  </dgm:styleLbl>
  <dgm:styleLbl name="f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align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b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fgAcc0">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2">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3">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4">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2"/>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2"/>
    </dgm:txFillClrLst>
    <dgm:txEffectClrLst/>
  </dgm:styleLbl>
  <dgm:styleLbl name="fgShp">
    <dgm:fillClrLst meth="repeat">
      <a:schemeClr val="dk2">
        <a:tint val="60000"/>
      </a:schemeClr>
    </dgm:fillClrLst>
    <dgm:linClrLst meth="repeat">
      <a:schemeClr val="lt1"/>
    </dgm:linClrLst>
    <dgm:effectClrLst/>
    <dgm:txLinClrLst/>
    <dgm:txFillClrLst meth="repeat">
      <a:schemeClr val="dk2"/>
    </dgm:txFillClrLst>
    <dgm:txEffectClrLst/>
  </dgm:styleLbl>
  <dgm:styleLbl name="revTx">
    <dgm:fillClrLst meth="repeat">
      <a:schemeClr val="lt1">
        <a:alpha val="0"/>
      </a:schemeClr>
    </dgm:fillClrLst>
    <dgm:linClrLst meth="repeat">
      <a:schemeClr val="dk2">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8.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D4426682-D64A-4F39-8926-C45C45DECFBC}" type="doc">
      <dgm:prSet loTypeId="urn:microsoft.com/office/officeart/2008/layout/LinedList" loCatId="list" qsTypeId="urn:microsoft.com/office/officeart/2005/8/quickstyle/simple2" qsCatId="simple" csTypeId="urn:microsoft.com/office/officeart/2005/8/colors/accent1_2" csCatId="accent1" phldr="1"/>
      <dgm:spPr/>
      <dgm:t>
        <a:bodyPr/>
        <a:lstStyle/>
        <a:p>
          <a:endParaRPr lang="en-US"/>
        </a:p>
      </dgm:t>
    </dgm:pt>
    <dgm:pt modelId="{07C8E92B-E527-421A-A396-974102485138}">
      <dgm:prSet phldrT="[Text]" custT="1"/>
      <dgm:spPr>
        <a:xfrm>
          <a:off x="0" y="0"/>
          <a:ext cx="5486400" cy="2057400"/>
        </a:xfrm>
        <a:noFill/>
        <a:ln>
          <a:noFill/>
        </a:ln>
        <a:effectLst/>
      </dgm:spPr>
      <dgm:t>
        <a:bodyPr/>
        <a:lstStyle/>
        <a:p>
          <a:pPr algn="ctr">
            <a:buNone/>
          </a:pPr>
          <a:r>
            <a:rPr lang="en-US" sz="2800" b="1">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General Introduction</a:t>
          </a:r>
        </a:p>
      </dgm:t>
    </dgm:pt>
    <dgm:pt modelId="{8BC4BBC4-8060-486C-A405-4BC23DEF97F1}" type="parTrans" cxnId="{A7E8DD43-0416-4C4A-A5A7-403CA09B5CA4}">
      <dgm:prSet/>
      <dgm:spPr/>
      <dgm:t>
        <a:bodyPr/>
        <a:lstStyle/>
        <a:p>
          <a:endParaRPr lang="en-US" sz="1050" b="1"/>
        </a:p>
      </dgm:t>
    </dgm:pt>
    <dgm:pt modelId="{0A330CB6-9410-466E-8C7A-121CB89549C6}" type="sibTrans" cxnId="{A7E8DD43-0416-4C4A-A5A7-403CA09B5CA4}">
      <dgm:prSet/>
      <dgm:spPr/>
      <dgm:t>
        <a:bodyPr/>
        <a:lstStyle/>
        <a:p>
          <a:endParaRPr lang="en-US" sz="1050" b="1"/>
        </a:p>
      </dgm:t>
    </dgm:pt>
    <dgm:pt modelId="{03C71918-B8C2-4D43-A232-3789216E675F}" type="pres">
      <dgm:prSet presAssocID="{D4426682-D64A-4F39-8926-C45C45DECFBC}" presName="vert0" presStyleCnt="0">
        <dgm:presLayoutVars>
          <dgm:dir/>
          <dgm:animOne val="branch"/>
          <dgm:animLvl val="lvl"/>
        </dgm:presLayoutVars>
      </dgm:prSet>
      <dgm:spPr/>
      <dgm:t>
        <a:bodyPr/>
        <a:lstStyle/>
        <a:p>
          <a:endParaRPr lang="fr-FR"/>
        </a:p>
      </dgm:t>
    </dgm:pt>
    <dgm:pt modelId="{0EE22896-CB9B-404C-A522-8D52FD2AE3C2}" type="pres">
      <dgm:prSet presAssocID="{07C8E92B-E527-421A-A396-974102485138}" presName="thickLine" presStyleLbl="alignNode1" presStyleIdx="0" presStyleCnt="1"/>
      <dgm:spPr>
        <a:xfrm>
          <a:off x="0" y="0"/>
          <a:ext cx="5486400" cy="0"/>
        </a:xfrm>
        <a:prstGeom prst="line">
          <a:avLst/>
        </a:prstGeom>
        <a:solidFill>
          <a:srgbClr val="4472C4">
            <a:hueOff val="0"/>
            <a:satOff val="0"/>
            <a:lumOff val="0"/>
            <a:alphaOff val="0"/>
          </a:srgbClr>
        </a:solidFill>
        <a:ln w="12700" cap="flat" cmpd="sng" algn="ctr">
          <a:solidFill>
            <a:srgbClr val="4472C4">
              <a:hueOff val="0"/>
              <a:satOff val="0"/>
              <a:lumOff val="0"/>
              <a:alphaOff val="0"/>
            </a:srgbClr>
          </a:solidFill>
          <a:prstDash val="solid"/>
          <a:miter lim="800000"/>
        </a:ln>
        <a:effectLst/>
      </dgm:spPr>
    </dgm:pt>
    <dgm:pt modelId="{1B640F76-EC27-461E-8F54-CB8FC40B2E4C}" type="pres">
      <dgm:prSet presAssocID="{07C8E92B-E527-421A-A396-974102485138}" presName="horz1" presStyleCnt="0"/>
      <dgm:spPr/>
    </dgm:pt>
    <dgm:pt modelId="{EFBC8139-D11C-48CE-A887-4236B1D868BC}" type="pres">
      <dgm:prSet presAssocID="{07C8E92B-E527-421A-A396-974102485138}" presName="tx1" presStyleLbl="revTx" presStyleIdx="0" presStyleCnt="1" custLinFactNeighborX="1042" custLinFactNeighborY="52683"/>
      <dgm:spPr>
        <a:prstGeom prst="rect">
          <a:avLst/>
        </a:prstGeom>
      </dgm:spPr>
      <dgm:t>
        <a:bodyPr/>
        <a:lstStyle/>
        <a:p>
          <a:endParaRPr lang="fr-FR"/>
        </a:p>
      </dgm:t>
    </dgm:pt>
    <dgm:pt modelId="{D8C01708-0D5F-46F1-927B-46E22C3F3407}" type="pres">
      <dgm:prSet presAssocID="{07C8E92B-E527-421A-A396-974102485138}" presName="vert1" presStyleCnt="0"/>
      <dgm:spPr/>
    </dgm:pt>
  </dgm:ptLst>
  <dgm:cxnLst>
    <dgm:cxn modelId="{A7E8DD43-0416-4C4A-A5A7-403CA09B5CA4}" srcId="{D4426682-D64A-4F39-8926-C45C45DECFBC}" destId="{07C8E92B-E527-421A-A396-974102485138}" srcOrd="0" destOrd="0" parTransId="{8BC4BBC4-8060-486C-A405-4BC23DEF97F1}" sibTransId="{0A330CB6-9410-466E-8C7A-121CB89549C6}"/>
    <dgm:cxn modelId="{E799DEE0-42F8-494C-83DF-AA65B2166CE1}" type="presOf" srcId="{07C8E92B-E527-421A-A396-974102485138}" destId="{EFBC8139-D11C-48CE-A887-4236B1D868BC}" srcOrd="0" destOrd="0" presId="urn:microsoft.com/office/officeart/2008/layout/LinedList"/>
    <dgm:cxn modelId="{9494A101-A286-40F0-A966-6D2388894409}" type="presOf" srcId="{D4426682-D64A-4F39-8926-C45C45DECFBC}" destId="{03C71918-B8C2-4D43-A232-3789216E675F}" srcOrd="0" destOrd="0" presId="urn:microsoft.com/office/officeart/2008/layout/LinedList"/>
    <dgm:cxn modelId="{A59DB731-D19A-47C9-AFA3-07B7A011F933}" type="presParOf" srcId="{03C71918-B8C2-4D43-A232-3789216E675F}" destId="{0EE22896-CB9B-404C-A522-8D52FD2AE3C2}" srcOrd="0" destOrd="0" presId="urn:microsoft.com/office/officeart/2008/layout/LinedList"/>
    <dgm:cxn modelId="{D91CA3B3-D4EF-4D4D-AA4D-780205BB817D}" type="presParOf" srcId="{03C71918-B8C2-4D43-A232-3789216E675F}" destId="{1B640F76-EC27-461E-8F54-CB8FC40B2E4C}" srcOrd="1" destOrd="0" presId="urn:microsoft.com/office/officeart/2008/layout/LinedList"/>
    <dgm:cxn modelId="{2FF10F5A-4C00-46F2-8F3A-3151D9C7E9CD}" type="presParOf" srcId="{1B640F76-EC27-461E-8F54-CB8FC40B2E4C}" destId="{EFBC8139-D11C-48CE-A887-4236B1D868BC}" srcOrd="0" destOrd="0" presId="urn:microsoft.com/office/officeart/2008/layout/LinedList"/>
    <dgm:cxn modelId="{EE6D76A8-28BF-4E33-B679-EC9EF1286816}" type="presParOf" srcId="{1B640F76-EC27-461E-8F54-CB8FC40B2E4C}" destId="{D8C01708-0D5F-46F1-927B-46E22C3F3407}" srcOrd="1" destOrd="0" presId="urn:microsoft.com/office/officeart/2008/layout/LinedList"/>
  </dgm:cxnLst>
  <dgm:bg/>
  <dgm:whole/>
  <dgm:extLst>
    <a:ext uri="http://schemas.microsoft.com/office/drawing/2008/diagram">
      <dsp:dataModelExt xmlns:dsp="http://schemas.microsoft.com/office/drawing/2008/diagram" relId="rId21"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D4426682-D64A-4F39-8926-C45C45DECFBC}" type="doc">
      <dgm:prSet loTypeId="urn:microsoft.com/office/officeart/2008/layout/LinedList" loCatId="list" qsTypeId="urn:microsoft.com/office/officeart/2005/8/quickstyle/simple2" qsCatId="simple" csTypeId="urn:microsoft.com/office/officeart/2005/8/colors/accent1_2" csCatId="accent1" phldr="1"/>
      <dgm:spPr/>
      <dgm:t>
        <a:bodyPr/>
        <a:lstStyle/>
        <a:p>
          <a:endParaRPr lang="en-US"/>
        </a:p>
      </dgm:t>
    </dgm:pt>
    <dgm:pt modelId="{07C8E92B-E527-421A-A396-974102485138}">
      <dgm:prSet phldrT="[Text]" custT="1"/>
      <dgm:spPr>
        <a:xfrm>
          <a:off x="0" y="0"/>
          <a:ext cx="5486400" cy="1301750"/>
        </a:xfrm>
        <a:noFill/>
        <a:ln>
          <a:noFill/>
        </a:ln>
        <a:effectLst/>
      </dgm:spPr>
      <dgm:t>
        <a:bodyPr/>
        <a:lstStyle/>
        <a:p>
          <a:pPr algn="ctr">
            <a:buNone/>
          </a:pPr>
          <a:r>
            <a:rPr lang="en-US" sz="2800" b="1">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Chapter One</a:t>
          </a:r>
        </a:p>
        <a:p>
          <a:pPr algn="ctr">
            <a:buNone/>
          </a:pPr>
          <a:r>
            <a:rPr lang="en-US" sz="2800" b="1">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Summative Assessment Literacy and Online Teacher Communities</a:t>
          </a:r>
        </a:p>
      </dgm:t>
    </dgm:pt>
    <dgm:pt modelId="{8BC4BBC4-8060-486C-A405-4BC23DEF97F1}" type="parTrans" cxnId="{A7E8DD43-0416-4C4A-A5A7-403CA09B5CA4}">
      <dgm:prSet/>
      <dgm:spPr/>
      <dgm:t>
        <a:bodyPr/>
        <a:lstStyle/>
        <a:p>
          <a:endParaRPr lang="en-US" sz="1050" b="1"/>
        </a:p>
      </dgm:t>
    </dgm:pt>
    <dgm:pt modelId="{0A330CB6-9410-466E-8C7A-121CB89549C6}" type="sibTrans" cxnId="{A7E8DD43-0416-4C4A-A5A7-403CA09B5CA4}">
      <dgm:prSet/>
      <dgm:spPr/>
      <dgm:t>
        <a:bodyPr/>
        <a:lstStyle/>
        <a:p>
          <a:endParaRPr lang="en-US" sz="1050" b="1"/>
        </a:p>
      </dgm:t>
    </dgm:pt>
    <dgm:pt modelId="{03C71918-B8C2-4D43-A232-3789216E675F}" type="pres">
      <dgm:prSet presAssocID="{D4426682-D64A-4F39-8926-C45C45DECFBC}" presName="vert0" presStyleCnt="0">
        <dgm:presLayoutVars>
          <dgm:dir/>
          <dgm:animOne val="branch"/>
          <dgm:animLvl val="lvl"/>
        </dgm:presLayoutVars>
      </dgm:prSet>
      <dgm:spPr/>
      <dgm:t>
        <a:bodyPr/>
        <a:lstStyle/>
        <a:p>
          <a:endParaRPr lang="fr-FR"/>
        </a:p>
      </dgm:t>
    </dgm:pt>
    <dgm:pt modelId="{0EE22896-CB9B-404C-A522-8D52FD2AE3C2}" type="pres">
      <dgm:prSet presAssocID="{07C8E92B-E527-421A-A396-974102485138}" presName="thickLine" presStyleLbl="alignNode1" presStyleIdx="0" presStyleCnt="1"/>
      <dgm:spPr>
        <a:xfrm>
          <a:off x="0" y="0"/>
          <a:ext cx="5486400" cy="0"/>
        </a:xfrm>
        <a:prstGeom prst="line">
          <a:avLst/>
        </a:prstGeom>
        <a:solidFill>
          <a:srgbClr val="4472C4">
            <a:hueOff val="0"/>
            <a:satOff val="0"/>
            <a:lumOff val="0"/>
            <a:alphaOff val="0"/>
          </a:srgbClr>
        </a:solidFill>
        <a:ln w="12700" cap="flat" cmpd="sng" algn="ctr">
          <a:solidFill>
            <a:srgbClr val="4472C4">
              <a:hueOff val="0"/>
              <a:satOff val="0"/>
              <a:lumOff val="0"/>
              <a:alphaOff val="0"/>
            </a:srgbClr>
          </a:solidFill>
          <a:prstDash val="solid"/>
          <a:miter lim="800000"/>
        </a:ln>
        <a:effectLst/>
      </dgm:spPr>
    </dgm:pt>
    <dgm:pt modelId="{1B640F76-EC27-461E-8F54-CB8FC40B2E4C}" type="pres">
      <dgm:prSet presAssocID="{07C8E92B-E527-421A-A396-974102485138}" presName="horz1" presStyleCnt="0"/>
      <dgm:spPr/>
    </dgm:pt>
    <dgm:pt modelId="{EFBC8139-D11C-48CE-A887-4236B1D868BC}" type="pres">
      <dgm:prSet presAssocID="{07C8E92B-E527-421A-A396-974102485138}" presName="tx1" presStyleLbl="revTx" presStyleIdx="0" presStyleCnt="1" custLinFactNeighborX="1042" custLinFactNeighborY="52683"/>
      <dgm:spPr>
        <a:prstGeom prst="rect">
          <a:avLst/>
        </a:prstGeom>
      </dgm:spPr>
      <dgm:t>
        <a:bodyPr/>
        <a:lstStyle/>
        <a:p>
          <a:endParaRPr lang="fr-FR"/>
        </a:p>
      </dgm:t>
    </dgm:pt>
    <dgm:pt modelId="{D8C01708-0D5F-46F1-927B-46E22C3F3407}" type="pres">
      <dgm:prSet presAssocID="{07C8E92B-E527-421A-A396-974102485138}" presName="vert1" presStyleCnt="0"/>
      <dgm:spPr/>
    </dgm:pt>
  </dgm:ptLst>
  <dgm:cxnLst>
    <dgm:cxn modelId="{A7E8DD43-0416-4C4A-A5A7-403CA09B5CA4}" srcId="{D4426682-D64A-4F39-8926-C45C45DECFBC}" destId="{07C8E92B-E527-421A-A396-974102485138}" srcOrd="0" destOrd="0" parTransId="{8BC4BBC4-8060-486C-A405-4BC23DEF97F1}" sibTransId="{0A330CB6-9410-466E-8C7A-121CB89549C6}"/>
    <dgm:cxn modelId="{1FCB9623-BCBF-44AF-9AB6-F87F625A12AF}" type="presOf" srcId="{07C8E92B-E527-421A-A396-974102485138}" destId="{EFBC8139-D11C-48CE-A887-4236B1D868BC}" srcOrd="0" destOrd="0" presId="urn:microsoft.com/office/officeart/2008/layout/LinedList"/>
    <dgm:cxn modelId="{582B2DC2-776A-493C-977D-150CE7F0838D}" type="presOf" srcId="{D4426682-D64A-4F39-8926-C45C45DECFBC}" destId="{03C71918-B8C2-4D43-A232-3789216E675F}" srcOrd="0" destOrd="0" presId="urn:microsoft.com/office/officeart/2008/layout/LinedList"/>
    <dgm:cxn modelId="{780D2963-79A6-4A9F-B616-F5DBF9AD6B92}" type="presParOf" srcId="{03C71918-B8C2-4D43-A232-3789216E675F}" destId="{0EE22896-CB9B-404C-A522-8D52FD2AE3C2}" srcOrd="0" destOrd="0" presId="urn:microsoft.com/office/officeart/2008/layout/LinedList"/>
    <dgm:cxn modelId="{2997C20E-CA36-4EFD-ABC9-440DF96D49D8}" type="presParOf" srcId="{03C71918-B8C2-4D43-A232-3789216E675F}" destId="{1B640F76-EC27-461E-8F54-CB8FC40B2E4C}" srcOrd="1" destOrd="0" presId="urn:microsoft.com/office/officeart/2008/layout/LinedList"/>
    <dgm:cxn modelId="{B0D69976-C428-46CF-9211-19E83961BF76}" type="presParOf" srcId="{1B640F76-EC27-461E-8F54-CB8FC40B2E4C}" destId="{EFBC8139-D11C-48CE-A887-4236B1D868BC}" srcOrd="0" destOrd="0" presId="urn:microsoft.com/office/officeart/2008/layout/LinedList"/>
    <dgm:cxn modelId="{A18C68B4-4814-404C-A394-BE5E7DE16778}" type="presParOf" srcId="{1B640F76-EC27-461E-8F54-CB8FC40B2E4C}" destId="{D8C01708-0D5F-46F1-927B-46E22C3F3407}" srcOrd="1" destOrd="0" presId="urn:microsoft.com/office/officeart/2008/layout/LinedList"/>
  </dgm:cxnLst>
  <dgm:bg/>
  <dgm:whole/>
  <dgm:extLst>
    <a:ext uri="http://schemas.microsoft.com/office/drawing/2008/diagram">
      <dsp:dataModelExt xmlns:dsp="http://schemas.microsoft.com/office/drawing/2008/diagram" relId="rId26"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080BFAE6-23C4-4715-B12C-96B393736DFF}" type="doc">
      <dgm:prSet loTypeId="urn:microsoft.com/office/officeart/2005/8/layout/cycle2" loCatId="cycle" qsTypeId="urn:microsoft.com/office/officeart/2005/8/quickstyle/simple1" qsCatId="simple" csTypeId="urn:microsoft.com/office/officeart/2005/8/colors/accent0_2" csCatId="mainScheme" phldr="1"/>
      <dgm:spPr/>
      <dgm:t>
        <a:bodyPr/>
        <a:lstStyle/>
        <a:p>
          <a:endParaRPr lang="en-US"/>
        </a:p>
      </dgm:t>
    </dgm:pt>
    <dgm:pt modelId="{257B3EF6-4369-42B3-BD74-F4AFCCEAE362}">
      <dgm:prSet phldrT="[Text]" custT="1"/>
      <dgm:spPr>
        <a:xfrm>
          <a:off x="2147576" y="547"/>
          <a:ext cx="854936" cy="741894"/>
        </a:xfrm>
        <a:solidFill>
          <a:sysClr val="window" lastClr="FFFFFF">
            <a:hueOff val="0"/>
            <a:satOff val="0"/>
            <a:lumOff val="0"/>
            <a:alphaOff val="0"/>
          </a:sysClr>
        </a:solidFill>
        <a:ln w="12700" cap="flat" cmpd="sng" algn="ctr">
          <a:solidFill>
            <a:srgbClr val="44546A">
              <a:shade val="80000"/>
              <a:hueOff val="0"/>
              <a:satOff val="0"/>
              <a:lumOff val="0"/>
              <a:alphaOff val="0"/>
            </a:srgbClr>
          </a:solidFill>
          <a:prstDash val="solid"/>
          <a:miter lim="800000"/>
        </a:ln>
        <a:effectLst/>
      </dgm:spPr>
      <dgm:t>
        <a:bodyPr/>
        <a:lstStyle/>
        <a:p>
          <a:pPr>
            <a:buNone/>
          </a:pPr>
          <a:r>
            <a:rPr lang="en-US" sz="900" b="1">
              <a:solidFill>
                <a:sysClr val="windowText" lastClr="000000"/>
              </a:solidFill>
              <a:latin typeface="Times New Roman" panose="02020603050405020304" pitchFamily="18" charset="0"/>
              <a:ea typeface="+mn-ea"/>
              <a:cs typeface="Times New Roman" panose="02020603050405020304" pitchFamily="18" charset="0"/>
            </a:rPr>
            <a:t>2/ Feeling</a:t>
          </a:r>
        </a:p>
        <a:p>
          <a:pPr>
            <a:buNone/>
          </a:pPr>
          <a:r>
            <a:rPr lang="en-US" sz="900">
              <a:solidFill>
                <a:sysClr val="windowText" lastClr="000000"/>
              </a:solidFill>
              <a:latin typeface="Times New Roman" panose="02020603050405020304" pitchFamily="18" charset="0"/>
              <a:ea typeface="+mn-ea"/>
              <a:cs typeface="Times New Roman" panose="02020603050405020304" pitchFamily="18" charset="0"/>
            </a:rPr>
            <a:t>What were you thinking and feeling?</a:t>
          </a:r>
        </a:p>
      </dgm:t>
    </dgm:pt>
    <dgm:pt modelId="{1735F1F7-A546-4865-9D27-EADA6EF193C1}" type="parTrans" cxnId="{C16773CB-7036-4406-9A13-95E507624FCE}">
      <dgm:prSet/>
      <dgm:spPr/>
      <dgm:t>
        <a:bodyPr/>
        <a:lstStyle/>
        <a:p>
          <a:endParaRPr lang="en-US" sz="1200">
            <a:solidFill>
              <a:schemeClr val="tx1"/>
            </a:solidFill>
            <a:latin typeface="Times New Roman" panose="02020603050405020304" pitchFamily="18" charset="0"/>
            <a:cs typeface="Times New Roman" panose="02020603050405020304" pitchFamily="18" charset="0"/>
          </a:endParaRPr>
        </a:p>
      </dgm:t>
    </dgm:pt>
    <dgm:pt modelId="{EC4F070B-F761-4D57-B11D-023B58AB7870}" type="sibTrans" cxnId="{C16773CB-7036-4406-9A13-95E507624FCE}">
      <dgm:prSet custT="1"/>
      <dgm:spPr>
        <a:xfrm rot="1534550">
          <a:off x="3002508" y="489967"/>
          <a:ext cx="163323" cy="250389"/>
        </a:xfrm>
        <a:solidFill>
          <a:srgbClr val="44546A">
            <a:tint val="60000"/>
            <a:hueOff val="0"/>
            <a:satOff val="0"/>
            <a:lumOff val="0"/>
            <a:alphaOff val="0"/>
          </a:srgbClr>
        </a:solidFill>
        <a:ln>
          <a:noFill/>
        </a:ln>
        <a:effectLst/>
      </dgm:spPr>
      <dgm:t>
        <a:bodyPr/>
        <a:lstStyle/>
        <a:p>
          <a:pPr>
            <a:buNone/>
          </a:pPr>
          <a:endParaRPr lang="en-US" sz="1200">
            <a:solidFill>
              <a:sysClr val="windowText" lastClr="000000"/>
            </a:solidFill>
            <a:latin typeface="Times New Roman" panose="02020603050405020304" pitchFamily="18" charset="0"/>
            <a:ea typeface="+mn-ea"/>
            <a:cs typeface="Times New Roman" panose="02020603050405020304" pitchFamily="18" charset="0"/>
          </a:endParaRPr>
        </a:p>
      </dgm:t>
    </dgm:pt>
    <dgm:pt modelId="{5104FF0E-F348-4E68-91FF-1D7F4F766174}">
      <dgm:prSet phldrT="[Text]" custT="1"/>
      <dgm:spPr>
        <a:xfrm>
          <a:off x="3146140" y="486785"/>
          <a:ext cx="1080123" cy="833021"/>
        </a:xfrm>
        <a:solidFill>
          <a:sysClr val="window" lastClr="FFFFFF">
            <a:hueOff val="0"/>
            <a:satOff val="0"/>
            <a:lumOff val="0"/>
            <a:alphaOff val="0"/>
          </a:sysClr>
        </a:solidFill>
        <a:ln w="12700" cap="flat" cmpd="sng" algn="ctr">
          <a:solidFill>
            <a:srgbClr val="44546A">
              <a:shade val="80000"/>
              <a:hueOff val="0"/>
              <a:satOff val="0"/>
              <a:lumOff val="0"/>
              <a:alphaOff val="0"/>
            </a:srgbClr>
          </a:solidFill>
          <a:prstDash val="solid"/>
          <a:miter lim="800000"/>
        </a:ln>
        <a:effectLst/>
      </dgm:spPr>
      <dgm:t>
        <a:bodyPr/>
        <a:lstStyle/>
        <a:p>
          <a:pPr>
            <a:buNone/>
          </a:pPr>
          <a:r>
            <a:rPr lang="en-US" sz="900" b="1">
              <a:solidFill>
                <a:sysClr val="windowText" lastClr="000000"/>
              </a:solidFill>
              <a:latin typeface="Times New Roman" panose="02020603050405020304" pitchFamily="18" charset="0"/>
              <a:ea typeface="+mn-ea"/>
              <a:cs typeface="Times New Roman" panose="02020603050405020304" pitchFamily="18" charset="0"/>
            </a:rPr>
            <a:t>3/ Evaluation</a:t>
          </a:r>
        </a:p>
        <a:p>
          <a:pPr>
            <a:buNone/>
          </a:pPr>
          <a:r>
            <a:rPr lang="en-US" sz="900">
              <a:solidFill>
                <a:sysClr val="windowText" lastClr="000000"/>
              </a:solidFill>
              <a:latin typeface="Times New Roman" panose="02020603050405020304" pitchFamily="18" charset="0"/>
              <a:ea typeface="+mn-ea"/>
              <a:cs typeface="Times New Roman" panose="02020603050405020304" pitchFamily="18" charset="0"/>
            </a:rPr>
            <a:t>What was good and bad about the experience?</a:t>
          </a:r>
        </a:p>
      </dgm:t>
    </dgm:pt>
    <dgm:pt modelId="{722FA147-A82F-4097-B915-2005B0F92100}" type="parTrans" cxnId="{EC616923-0BDF-4590-8163-BEC2B3813231}">
      <dgm:prSet/>
      <dgm:spPr/>
      <dgm:t>
        <a:bodyPr/>
        <a:lstStyle/>
        <a:p>
          <a:endParaRPr lang="en-US" sz="1200">
            <a:solidFill>
              <a:schemeClr val="tx1"/>
            </a:solidFill>
            <a:latin typeface="Times New Roman" panose="02020603050405020304" pitchFamily="18" charset="0"/>
            <a:cs typeface="Times New Roman" panose="02020603050405020304" pitchFamily="18" charset="0"/>
          </a:endParaRPr>
        </a:p>
      </dgm:t>
    </dgm:pt>
    <dgm:pt modelId="{C8CE3758-E7ED-41E0-B71A-E621439E1A28}" type="sibTrans" cxnId="{EC616923-0BDF-4590-8163-BEC2B3813231}">
      <dgm:prSet custT="1"/>
      <dgm:spPr>
        <a:xfrm rot="5319844">
          <a:off x="3619364" y="1340850"/>
          <a:ext cx="159924" cy="250389"/>
        </a:xfrm>
        <a:solidFill>
          <a:srgbClr val="44546A">
            <a:tint val="60000"/>
            <a:hueOff val="0"/>
            <a:satOff val="0"/>
            <a:lumOff val="0"/>
            <a:alphaOff val="0"/>
          </a:srgbClr>
        </a:solidFill>
        <a:ln>
          <a:noFill/>
        </a:ln>
        <a:effectLst/>
      </dgm:spPr>
      <dgm:t>
        <a:bodyPr/>
        <a:lstStyle/>
        <a:p>
          <a:pPr>
            <a:buNone/>
          </a:pPr>
          <a:endParaRPr lang="en-US" sz="1200">
            <a:solidFill>
              <a:sysClr val="windowText" lastClr="000000"/>
            </a:solidFill>
            <a:latin typeface="Times New Roman" panose="02020603050405020304" pitchFamily="18" charset="0"/>
            <a:ea typeface="+mn-ea"/>
            <a:cs typeface="Times New Roman" panose="02020603050405020304" pitchFamily="18" charset="0"/>
          </a:endParaRPr>
        </a:p>
      </dgm:t>
    </dgm:pt>
    <dgm:pt modelId="{4218E989-D7B7-4A8A-BC7B-618E05672EF8}">
      <dgm:prSet phldrT="[Text]" custT="1"/>
      <dgm:spPr>
        <a:xfrm>
          <a:off x="3145025" y="1621357"/>
          <a:ext cx="1133147" cy="741894"/>
        </a:xfrm>
        <a:solidFill>
          <a:sysClr val="window" lastClr="FFFFFF">
            <a:hueOff val="0"/>
            <a:satOff val="0"/>
            <a:lumOff val="0"/>
            <a:alphaOff val="0"/>
          </a:sysClr>
        </a:solidFill>
        <a:ln w="12700" cap="flat" cmpd="sng" algn="ctr">
          <a:solidFill>
            <a:srgbClr val="44546A">
              <a:shade val="80000"/>
              <a:hueOff val="0"/>
              <a:satOff val="0"/>
              <a:lumOff val="0"/>
              <a:alphaOff val="0"/>
            </a:srgbClr>
          </a:solidFill>
          <a:prstDash val="solid"/>
          <a:miter lim="800000"/>
        </a:ln>
        <a:effectLst/>
      </dgm:spPr>
      <dgm:t>
        <a:bodyPr/>
        <a:lstStyle/>
        <a:p>
          <a:pPr>
            <a:buNone/>
          </a:pPr>
          <a:r>
            <a:rPr lang="en-US" sz="900" b="1">
              <a:solidFill>
                <a:sysClr val="windowText" lastClr="000000"/>
              </a:solidFill>
              <a:latin typeface="Times New Roman" panose="02020603050405020304" pitchFamily="18" charset="0"/>
              <a:ea typeface="+mn-ea"/>
              <a:cs typeface="Times New Roman" panose="02020603050405020304" pitchFamily="18" charset="0"/>
            </a:rPr>
            <a:t>4/ Analysis</a:t>
          </a:r>
        </a:p>
        <a:p>
          <a:pPr>
            <a:buNone/>
          </a:pPr>
          <a:r>
            <a:rPr lang="en-US" sz="900">
              <a:solidFill>
                <a:sysClr val="windowText" lastClr="000000"/>
              </a:solidFill>
              <a:latin typeface="Times New Roman" panose="02020603050405020304" pitchFamily="18" charset="0"/>
              <a:ea typeface="+mn-ea"/>
              <a:cs typeface="Times New Roman" panose="02020603050405020304" pitchFamily="18" charset="0"/>
            </a:rPr>
            <a:t>What sense can you make of the situation?</a:t>
          </a:r>
        </a:p>
      </dgm:t>
    </dgm:pt>
    <dgm:pt modelId="{AB603403-9E65-4454-A05A-A6205471C72E}" type="parTrans" cxnId="{93078BEB-32A5-49D4-91E5-5665297C57C5}">
      <dgm:prSet/>
      <dgm:spPr/>
      <dgm:t>
        <a:bodyPr/>
        <a:lstStyle/>
        <a:p>
          <a:endParaRPr lang="en-US" sz="1200">
            <a:solidFill>
              <a:schemeClr val="tx1"/>
            </a:solidFill>
            <a:latin typeface="Times New Roman" panose="02020603050405020304" pitchFamily="18" charset="0"/>
            <a:cs typeface="Times New Roman" panose="02020603050405020304" pitchFamily="18" charset="0"/>
          </a:endParaRPr>
        </a:p>
      </dgm:t>
    </dgm:pt>
    <dgm:pt modelId="{0EA944DB-E737-450D-91E0-E7175A5E7032}" type="sibTrans" cxnId="{93078BEB-32A5-49D4-91E5-5665297C57C5}">
      <dgm:prSet custT="1"/>
      <dgm:spPr>
        <a:xfrm rot="9111323">
          <a:off x="3044759" y="2177153"/>
          <a:ext cx="174533" cy="250389"/>
        </a:xfrm>
        <a:solidFill>
          <a:srgbClr val="44546A">
            <a:tint val="60000"/>
            <a:hueOff val="0"/>
            <a:satOff val="0"/>
            <a:lumOff val="0"/>
            <a:alphaOff val="0"/>
          </a:srgbClr>
        </a:solidFill>
        <a:ln>
          <a:noFill/>
        </a:ln>
        <a:effectLst/>
      </dgm:spPr>
      <dgm:t>
        <a:bodyPr/>
        <a:lstStyle/>
        <a:p>
          <a:pPr>
            <a:buNone/>
          </a:pPr>
          <a:endParaRPr lang="en-US" sz="1200">
            <a:solidFill>
              <a:sysClr val="windowText" lastClr="000000"/>
            </a:solidFill>
            <a:latin typeface="Times New Roman" panose="02020603050405020304" pitchFamily="18" charset="0"/>
            <a:ea typeface="+mn-ea"/>
            <a:cs typeface="Times New Roman" panose="02020603050405020304" pitchFamily="18" charset="0"/>
          </a:endParaRPr>
        </a:p>
      </dgm:t>
    </dgm:pt>
    <dgm:pt modelId="{748AB550-1F36-4904-97CF-E2A8D8205D36}">
      <dgm:prSet phldrT="[Text]" custT="1"/>
      <dgm:spPr>
        <a:xfrm>
          <a:off x="2071513" y="2229358"/>
          <a:ext cx="1007062" cy="741894"/>
        </a:xfrm>
        <a:solidFill>
          <a:sysClr val="window" lastClr="FFFFFF">
            <a:hueOff val="0"/>
            <a:satOff val="0"/>
            <a:lumOff val="0"/>
            <a:alphaOff val="0"/>
          </a:sysClr>
        </a:solidFill>
        <a:ln w="12700" cap="flat" cmpd="sng" algn="ctr">
          <a:solidFill>
            <a:srgbClr val="44546A">
              <a:shade val="80000"/>
              <a:hueOff val="0"/>
              <a:satOff val="0"/>
              <a:lumOff val="0"/>
              <a:alphaOff val="0"/>
            </a:srgbClr>
          </a:solidFill>
          <a:prstDash val="solid"/>
          <a:miter lim="800000"/>
        </a:ln>
        <a:effectLst/>
      </dgm:spPr>
      <dgm:t>
        <a:bodyPr/>
        <a:lstStyle/>
        <a:p>
          <a:pPr>
            <a:buNone/>
          </a:pPr>
          <a:r>
            <a:rPr lang="en-US" sz="900" b="1">
              <a:solidFill>
                <a:sysClr val="windowText" lastClr="000000"/>
              </a:solidFill>
              <a:latin typeface="Times New Roman" panose="02020603050405020304" pitchFamily="18" charset="0"/>
              <a:ea typeface="+mn-ea"/>
              <a:cs typeface="Times New Roman" panose="02020603050405020304" pitchFamily="18" charset="0"/>
            </a:rPr>
            <a:t>5/ Conclusion </a:t>
          </a:r>
        </a:p>
        <a:p>
          <a:pPr>
            <a:buNone/>
          </a:pPr>
          <a:r>
            <a:rPr lang="en-US" sz="900">
              <a:solidFill>
                <a:sysClr val="windowText" lastClr="000000"/>
              </a:solidFill>
              <a:latin typeface="Times New Roman" panose="02020603050405020304" pitchFamily="18" charset="0"/>
              <a:ea typeface="+mn-ea"/>
              <a:cs typeface="Times New Roman" panose="02020603050405020304" pitchFamily="18" charset="0"/>
            </a:rPr>
            <a:t>What else could you have done</a:t>
          </a:r>
        </a:p>
      </dgm:t>
    </dgm:pt>
    <dgm:pt modelId="{68222F93-CCEC-4A36-A2C5-56A4DA8920D7}" type="parTrans" cxnId="{9619C0CB-EAD4-4695-9638-2D5A507099CE}">
      <dgm:prSet/>
      <dgm:spPr/>
      <dgm:t>
        <a:bodyPr/>
        <a:lstStyle/>
        <a:p>
          <a:endParaRPr lang="en-US" sz="1200">
            <a:solidFill>
              <a:schemeClr val="tx1"/>
            </a:solidFill>
            <a:latin typeface="Times New Roman" panose="02020603050405020304" pitchFamily="18" charset="0"/>
            <a:cs typeface="Times New Roman" panose="02020603050405020304" pitchFamily="18" charset="0"/>
          </a:endParaRPr>
        </a:p>
      </dgm:t>
    </dgm:pt>
    <dgm:pt modelId="{07763313-08A6-4ECE-8D37-6CC18EB1E49D}" type="sibTrans" cxnId="{9619C0CB-EAD4-4695-9638-2D5A507099CE}">
      <dgm:prSet custT="1"/>
      <dgm:spPr>
        <a:xfrm rot="12314627">
          <a:off x="1953109" y="2216996"/>
          <a:ext cx="149001" cy="250389"/>
        </a:xfrm>
        <a:solidFill>
          <a:srgbClr val="44546A">
            <a:tint val="60000"/>
            <a:hueOff val="0"/>
            <a:satOff val="0"/>
            <a:lumOff val="0"/>
            <a:alphaOff val="0"/>
          </a:srgbClr>
        </a:solidFill>
        <a:ln>
          <a:noFill/>
        </a:ln>
        <a:effectLst/>
      </dgm:spPr>
      <dgm:t>
        <a:bodyPr/>
        <a:lstStyle/>
        <a:p>
          <a:pPr>
            <a:buNone/>
          </a:pPr>
          <a:endParaRPr lang="en-US" sz="1200">
            <a:solidFill>
              <a:sysClr val="windowText" lastClr="000000"/>
            </a:solidFill>
            <a:latin typeface="Times New Roman" panose="02020603050405020304" pitchFamily="18" charset="0"/>
            <a:ea typeface="+mn-ea"/>
            <a:cs typeface="Times New Roman" panose="02020603050405020304" pitchFamily="18" charset="0"/>
          </a:endParaRPr>
        </a:p>
      </dgm:t>
    </dgm:pt>
    <dgm:pt modelId="{F3EB2231-7446-468B-97BB-2A45E6ADA3DC}">
      <dgm:prSet phldrT="[Text]" custT="1"/>
      <dgm:spPr>
        <a:xfrm>
          <a:off x="868782" y="468845"/>
          <a:ext cx="1075924" cy="741894"/>
        </a:xfrm>
        <a:solidFill>
          <a:sysClr val="window" lastClr="FFFFFF">
            <a:hueOff val="0"/>
            <a:satOff val="0"/>
            <a:lumOff val="0"/>
            <a:alphaOff val="0"/>
          </a:sysClr>
        </a:solidFill>
        <a:ln w="12700" cap="flat" cmpd="sng" algn="ctr">
          <a:solidFill>
            <a:srgbClr val="44546A">
              <a:shade val="80000"/>
              <a:hueOff val="0"/>
              <a:satOff val="0"/>
              <a:lumOff val="0"/>
              <a:alphaOff val="0"/>
            </a:srgbClr>
          </a:solidFill>
          <a:prstDash val="solid"/>
          <a:miter lim="800000"/>
        </a:ln>
        <a:effectLst/>
      </dgm:spPr>
      <dgm:t>
        <a:bodyPr/>
        <a:lstStyle/>
        <a:p>
          <a:pPr>
            <a:buNone/>
          </a:pPr>
          <a:r>
            <a:rPr lang="en-US" sz="1000" b="1">
              <a:solidFill>
                <a:sysClr val="windowText" lastClr="000000"/>
              </a:solidFill>
              <a:latin typeface="Times New Roman" panose="02020603050405020304" pitchFamily="18" charset="0"/>
              <a:ea typeface="+mn-ea"/>
              <a:cs typeface="Times New Roman" panose="02020603050405020304" pitchFamily="18" charset="0"/>
            </a:rPr>
            <a:t>1/Description</a:t>
          </a:r>
        </a:p>
        <a:p>
          <a:pPr>
            <a:buNone/>
          </a:pPr>
          <a:r>
            <a:rPr lang="en-US" sz="1000">
              <a:solidFill>
                <a:sysClr val="windowText" lastClr="000000"/>
              </a:solidFill>
              <a:latin typeface="Times New Roman" panose="02020603050405020304" pitchFamily="18" charset="0"/>
              <a:ea typeface="+mn-ea"/>
              <a:cs typeface="Times New Roman" panose="02020603050405020304" pitchFamily="18" charset="0"/>
            </a:rPr>
            <a:t>What happened?</a:t>
          </a:r>
        </a:p>
      </dgm:t>
    </dgm:pt>
    <dgm:pt modelId="{B013D7EE-7421-4D8A-AE2B-C5C2CC536B06}" type="parTrans" cxnId="{25F52906-2415-43D5-B19F-F6CCD4374476}">
      <dgm:prSet/>
      <dgm:spPr/>
      <dgm:t>
        <a:bodyPr/>
        <a:lstStyle/>
        <a:p>
          <a:endParaRPr lang="en-US" sz="1200">
            <a:solidFill>
              <a:schemeClr val="tx1"/>
            </a:solidFill>
            <a:latin typeface="Times New Roman" panose="02020603050405020304" pitchFamily="18" charset="0"/>
            <a:cs typeface="Times New Roman" panose="02020603050405020304" pitchFamily="18" charset="0"/>
          </a:endParaRPr>
        </a:p>
      </dgm:t>
    </dgm:pt>
    <dgm:pt modelId="{B23BB0D6-1B54-46CA-81FE-56BFE9097D57}" type="sibTrans" cxnId="{25F52906-2415-43D5-B19F-F6CCD4374476}">
      <dgm:prSet custT="1"/>
      <dgm:spPr>
        <a:xfrm rot="20289435">
          <a:off x="1934706" y="466907"/>
          <a:ext cx="179943" cy="250389"/>
        </a:xfrm>
        <a:solidFill>
          <a:srgbClr val="44546A">
            <a:tint val="60000"/>
            <a:hueOff val="0"/>
            <a:satOff val="0"/>
            <a:lumOff val="0"/>
            <a:alphaOff val="0"/>
          </a:srgbClr>
        </a:solidFill>
        <a:ln>
          <a:noFill/>
        </a:ln>
        <a:effectLst/>
      </dgm:spPr>
      <dgm:t>
        <a:bodyPr/>
        <a:lstStyle/>
        <a:p>
          <a:pPr>
            <a:buNone/>
          </a:pPr>
          <a:endParaRPr lang="en-US" sz="1200">
            <a:solidFill>
              <a:sysClr val="windowText" lastClr="000000"/>
            </a:solidFill>
            <a:latin typeface="Times New Roman" panose="02020603050405020304" pitchFamily="18" charset="0"/>
            <a:ea typeface="+mn-ea"/>
            <a:cs typeface="Times New Roman" panose="02020603050405020304" pitchFamily="18" charset="0"/>
          </a:endParaRPr>
        </a:p>
      </dgm:t>
    </dgm:pt>
    <dgm:pt modelId="{E25467EB-73CC-4033-94A4-9B94771D552F}">
      <dgm:prSet custT="1"/>
      <dgm:spPr>
        <a:xfrm>
          <a:off x="814525" y="1638301"/>
          <a:ext cx="1184426" cy="822300"/>
        </a:xfrm>
        <a:solidFill>
          <a:sysClr val="window" lastClr="FFFFFF">
            <a:hueOff val="0"/>
            <a:satOff val="0"/>
            <a:lumOff val="0"/>
            <a:alphaOff val="0"/>
          </a:sysClr>
        </a:solidFill>
        <a:ln w="12700" cap="flat" cmpd="sng" algn="ctr">
          <a:solidFill>
            <a:srgbClr val="44546A">
              <a:shade val="80000"/>
              <a:hueOff val="0"/>
              <a:satOff val="0"/>
              <a:lumOff val="0"/>
              <a:alphaOff val="0"/>
            </a:srgbClr>
          </a:solidFill>
          <a:prstDash val="solid"/>
          <a:miter lim="800000"/>
        </a:ln>
        <a:effectLst/>
      </dgm:spPr>
      <dgm:t>
        <a:bodyPr/>
        <a:lstStyle/>
        <a:p>
          <a:pPr>
            <a:buNone/>
          </a:pPr>
          <a:r>
            <a:rPr lang="en-US" sz="1000" b="1">
              <a:solidFill>
                <a:sysClr val="windowText" lastClr="000000"/>
              </a:solidFill>
              <a:latin typeface="Times New Roman" panose="02020603050405020304" pitchFamily="18" charset="0"/>
              <a:ea typeface="+mn-ea"/>
              <a:cs typeface="Times New Roman" panose="02020603050405020304" pitchFamily="18" charset="0"/>
            </a:rPr>
            <a:t>6/Action plan</a:t>
          </a:r>
        </a:p>
        <a:p>
          <a:pPr>
            <a:buNone/>
          </a:pPr>
          <a:r>
            <a:rPr lang="en-US" sz="1000">
              <a:solidFill>
                <a:sysClr val="windowText" lastClr="000000"/>
              </a:solidFill>
              <a:latin typeface="Times New Roman" panose="02020603050405020304" pitchFamily="18" charset="0"/>
              <a:ea typeface="+mn-ea"/>
              <a:cs typeface="Times New Roman" panose="02020603050405020304" pitchFamily="18" charset="0"/>
            </a:rPr>
            <a:t>If it arose again, what would you do? </a:t>
          </a:r>
        </a:p>
        <a:p>
          <a:pPr>
            <a:buNone/>
          </a:pPr>
          <a:endParaRPr lang="en-US" sz="1000">
            <a:solidFill>
              <a:sysClr val="windowText" lastClr="000000"/>
            </a:solidFill>
            <a:latin typeface="Times New Roman" panose="02020603050405020304" pitchFamily="18" charset="0"/>
            <a:ea typeface="+mn-ea"/>
            <a:cs typeface="Times New Roman" panose="02020603050405020304" pitchFamily="18" charset="0"/>
          </a:endParaRPr>
        </a:p>
      </dgm:t>
    </dgm:pt>
    <dgm:pt modelId="{5013CECB-2FF7-4227-930D-ACE0A906CCA4}" type="parTrans" cxnId="{D5696FA5-43A2-4412-BFFE-B5461D361DC1}">
      <dgm:prSet/>
      <dgm:spPr/>
      <dgm:t>
        <a:bodyPr/>
        <a:lstStyle/>
        <a:p>
          <a:endParaRPr lang="en-US" sz="1100">
            <a:solidFill>
              <a:schemeClr val="tx1"/>
            </a:solidFill>
            <a:latin typeface="Times New Roman" panose="02020603050405020304" pitchFamily="18" charset="0"/>
            <a:cs typeface="Times New Roman" panose="02020603050405020304" pitchFamily="18" charset="0"/>
          </a:endParaRPr>
        </a:p>
      </dgm:t>
    </dgm:pt>
    <dgm:pt modelId="{94A96EF6-51E1-4AE5-8BBC-71D5B86AC92C}" type="sibTrans" cxnId="{D5696FA5-43A2-4412-BFFE-B5461D361DC1}">
      <dgm:prSet custT="1"/>
      <dgm:spPr>
        <a:xfrm rot="16200017">
          <a:off x="1293438" y="1305739"/>
          <a:ext cx="226607" cy="250389"/>
        </a:xfrm>
        <a:solidFill>
          <a:srgbClr val="44546A">
            <a:tint val="60000"/>
            <a:hueOff val="0"/>
            <a:satOff val="0"/>
            <a:lumOff val="0"/>
            <a:alphaOff val="0"/>
          </a:srgbClr>
        </a:solidFill>
        <a:ln>
          <a:noFill/>
        </a:ln>
        <a:effectLst/>
      </dgm:spPr>
      <dgm:t>
        <a:bodyPr/>
        <a:lstStyle/>
        <a:p>
          <a:pPr>
            <a:buNone/>
          </a:pPr>
          <a:endParaRPr lang="en-US" sz="800">
            <a:solidFill>
              <a:sysClr val="windowText" lastClr="000000"/>
            </a:solidFill>
            <a:latin typeface="Times New Roman" panose="02020603050405020304" pitchFamily="18" charset="0"/>
            <a:ea typeface="+mn-ea"/>
            <a:cs typeface="Times New Roman" panose="02020603050405020304" pitchFamily="18" charset="0"/>
          </a:endParaRPr>
        </a:p>
      </dgm:t>
    </dgm:pt>
    <dgm:pt modelId="{AC280AE3-6F17-4F15-B1F1-E30654533F08}" type="pres">
      <dgm:prSet presAssocID="{080BFAE6-23C4-4715-B12C-96B393736DFF}" presName="cycle" presStyleCnt="0">
        <dgm:presLayoutVars>
          <dgm:dir/>
          <dgm:resizeHandles val="exact"/>
        </dgm:presLayoutVars>
      </dgm:prSet>
      <dgm:spPr/>
      <dgm:t>
        <a:bodyPr/>
        <a:lstStyle/>
        <a:p>
          <a:endParaRPr lang="fr-FR"/>
        </a:p>
      </dgm:t>
    </dgm:pt>
    <dgm:pt modelId="{9F51482B-975C-412F-9E82-467AE836840F}" type="pres">
      <dgm:prSet presAssocID="{257B3EF6-4369-42B3-BD74-F4AFCCEAE362}" presName="node" presStyleLbl="node1" presStyleIdx="0" presStyleCnt="6" custScaleX="115237">
        <dgm:presLayoutVars>
          <dgm:bulletEnabled val="1"/>
        </dgm:presLayoutVars>
      </dgm:prSet>
      <dgm:spPr>
        <a:prstGeom prst="ellipse">
          <a:avLst/>
        </a:prstGeom>
      </dgm:spPr>
      <dgm:t>
        <a:bodyPr/>
        <a:lstStyle/>
        <a:p>
          <a:endParaRPr lang="fr-FR"/>
        </a:p>
      </dgm:t>
    </dgm:pt>
    <dgm:pt modelId="{C3D3922F-19AC-447E-ACDD-424A8423B10E}" type="pres">
      <dgm:prSet presAssocID="{EC4F070B-F761-4D57-B11D-023B58AB7870}" presName="sibTrans" presStyleLbl="sibTrans2D1" presStyleIdx="0" presStyleCnt="6"/>
      <dgm:spPr>
        <a:prstGeom prst="rightArrow">
          <a:avLst>
            <a:gd name="adj1" fmla="val 60000"/>
            <a:gd name="adj2" fmla="val 50000"/>
          </a:avLst>
        </a:prstGeom>
      </dgm:spPr>
      <dgm:t>
        <a:bodyPr/>
        <a:lstStyle/>
        <a:p>
          <a:endParaRPr lang="fr-FR"/>
        </a:p>
      </dgm:t>
    </dgm:pt>
    <dgm:pt modelId="{BDBC2A9B-995B-4839-9949-5C23EAAA5AB4}" type="pres">
      <dgm:prSet presAssocID="{EC4F070B-F761-4D57-B11D-023B58AB7870}" presName="connectorText" presStyleLbl="sibTrans2D1" presStyleIdx="0" presStyleCnt="6"/>
      <dgm:spPr/>
      <dgm:t>
        <a:bodyPr/>
        <a:lstStyle/>
        <a:p>
          <a:endParaRPr lang="fr-FR"/>
        </a:p>
      </dgm:t>
    </dgm:pt>
    <dgm:pt modelId="{EAD03A47-BD76-435A-AE0B-69AE4EB4091D}" type="pres">
      <dgm:prSet presAssocID="{5104FF0E-F348-4E68-91FF-1D7F4F766174}" presName="node" presStyleLbl="node1" presStyleIdx="1" presStyleCnt="6" custScaleX="145590" custScaleY="112283" custRadScaleRad="112583" custRadScaleInc="7770">
        <dgm:presLayoutVars>
          <dgm:bulletEnabled val="1"/>
        </dgm:presLayoutVars>
      </dgm:prSet>
      <dgm:spPr>
        <a:prstGeom prst="ellipse">
          <a:avLst/>
        </a:prstGeom>
      </dgm:spPr>
      <dgm:t>
        <a:bodyPr/>
        <a:lstStyle/>
        <a:p>
          <a:endParaRPr lang="fr-FR"/>
        </a:p>
      </dgm:t>
    </dgm:pt>
    <dgm:pt modelId="{AC9A328E-5324-449D-B573-8DC6A6D2A4CB}" type="pres">
      <dgm:prSet presAssocID="{C8CE3758-E7ED-41E0-B71A-E621439E1A28}" presName="sibTrans" presStyleLbl="sibTrans2D1" presStyleIdx="1" presStyleCnt="6"/>
      <dgm:spPr>
        <a:prstGeom prst="rightArrow">
          <a:avLst>
            <a:gd name="adj1" fmla="val 60000"/>
            <a:gd name="adj2" fmla="val 50000"/>
          </a:avLst>
        </a:prstGeom>
      </dgm:spPr>
      <dgm:t>
        <a:bodyPr/>
        <a:lstStyle/>
        <a:p>
          <a:endParaRPr lang="fr-FR"/>
        </a:p>
      </dgm:t>
    </dgm:pt>
    <dgm:pt modelId="{7964199B-F221-482A-BC3B-654B7C4CDBC6}" type="pres">
      <dgm:prSet presAssocID="{C8CE3758-E7ED-41E0-B71A-E621439E1A28}" presName="connectorText" presStyleLbl="sibTrans2D1" presStyleIdx="1" presStyleCnt="6"/>
      <dgm:spPr/>
      <dgm:t>
        <a:bodyPr/>
        <a:lstStyle/>
        <a:p>
          <a:endParaRPr lang="fr-FR"/>
        </a:p>
      </dgm:t>
    </dgm:pt>
    <dgm:pt modelId="{69A64B82-D885-4183-89D1-4D1556C3AE11}" type="pres">
      <dgm:prSet presAssocID="{4218E989-D7B7-4A8A-BC7B-618E05672EF8}" presName="node" presStyleLbl="node1" presStyleIdx="2" presStyleCnt="6" custScaleX="152737" custRadScaleRad="111653" custRadScaleInc="-19947">
        <dgm:presLayoutVars>
          <dgm:bulletEnabled val="1"/>
        </dgm:presLayoutVars>
      </dgm:prSet>
      <dgm:spPr>
        <a:prstGeom prst="ellipse">
          <a:avLst/>
        </a:prstGeom>
      </dgm:spPr>
      <dgm:t>
        <a:bodyPr/>
        <a:lstStyle/>
        <a:p>
          <a:endParaRPr lang="fr-FR"/>
        </a:p>
      </dgm:t>
    </dgm:pt>
    <dgm:pt modelId="{AEC776B2-CBEB-48E8-BD65-7D5749DAB7C9}" type="pres">
      <dgm:prSet presAssocID="{0EA944DB-E737-450D-91E0-E7175A5E7032}" presName="sibTrans" presStyleLbl="sibTrans2D1" presStyleIdx="2" presStyleCnt="6"/>
      <dgm:spPr>
        <a:prstGeom prst="rightArrow">
          <a:avLst>
            <a:gd name="adj1" fmla="val 60000"/>
            <a:gd name="adj2" fmla="val 50000"/>
          </a:avLst>
        </a:prstGeom>
      </dgm:spPr>
      <dgm:t>
        <a:bodyPr/>
        <a:lstStyle/>
        <a:p>
          <a:endParaRPr lang="fr-FR"/>
        </a:p>
      </dgm:t>
    </dgm:pt>
    <dgm:pt modelId="{B19D368B-7F99-4381-9AFB-3FC1DDAA8801}" type="pres">
      <dgm:prSet presAssocID="{0EA944DB-E737-450D-91E0-E7175A5E7032}" presName="connectorText" presStyleLbl="sibTrans2D1" presStyleIdx="2" presStyleCnt="6"/>
      <dgm:spPr/>
      <dgm:t>
        <a:bodyPr/>
        <a:lstStyle/>
        <a:p>
          <a:endParaRPr lang="fr-FR"/>
        </a:p>
      </dgm:t>
    </dgm:pt>
    <dgm:pt modelId="{F534FAF6-26D7-4928-9178-AC3D7397EB83}" type="pres">
      <dgm:prSet presAssocID="{748AB550-1F36-4904-97CF-E2A8D8205D36}" presName="node" presStyleLbl="node1" presStyleIdx="3" presStyleCnt="6" custScaleX="135742">
        <dgm:presLayoutVars>
          <dgm:bulletEnabled val="1"/>
        </dgm:presLayoutVars>
      </dgm:prSet>
      <dgm:spPr>
        <a:prstGeom prst="ellipse">
          <a:avLst/>
        </a:prstGeom>
      </dgm:spPr>
      <dgm:t>
        <a:bodyPr/>
        <a:lstStyle/>
        <a:p>
          <a:endParaRPr lang="fr-FR"/>
        </a:p>
      </dgm:t>
    </dgm:pt>
    <dgm:pt modelId="{BD716309-8C44-4B97-BDA8-0DF642D59AC6}" type="pres">
      <dgm:prSet presAssocID="{07763313-08A6-4ECE-8D37-6CC18EB1E49D}" presName="sibTrans" presStyleLbl="sibTrans2D1" presStyleIdx="3" presStyleCnt="6"/>
      <dgm:spPr>
        <a:prstGeom prst="rightArrow">
          <a:avLst>
            <a:gd name="adj1" fmla="val 60000"/>
            <a:gd name="adj2" fmla="val 50000"/>
          </a:avLst>
        </a:prstGeom>
      </dgm:spPr>
      <dgm:t>
        <a:bodyPr/>
        <a:lstStyle/>
        <a:p>
          <a:endParaRPr lang="fr-FR"/>
        </a:p>
      </dgm:t>
    </dgm:pt>
    <dgm:pt modelId="{4D87583C-1F49-4F30-BAA3-795F78C5F436}" type="pres">
      <dgm:prSet presAssocID="{07763313-08A6-4ECE-8D37-6CC18EB1E49D}" presName="connectorText" presStyleLbl="sibTrans2D1" presStyleIdx="3" presStyleCnt="6"/>
      <dgm:spPr/>
      <dgm:t>
        <a:bodyPr/>
        <a:lstStyle/>
        <a:p>
          <a:endParaRPr lang="fr-FR"/>
        </a:p>
      </dgm:t>
    </dgm:pt>
    <dgm:pt modelId="{B64DC65E-AE26-4B4A-9EEE-A73E6F5EF67D}" type="pres">
      <dgm:prSet presAssocID="{E25467EB-73CC-4033-94A4-9B94771D552F}" presName="node" presStyleLbl="node1" presStyleIdx="4" presStyleCnt="6" custScaleX="159649" custScaleY="110838" custRadScaleRad="116396" custRadScaleInc="14163">
        <dgm:presLayoutVars>
          <dgm:bulletEnabled val="1"/>
        </dgm:presLayoutVars>
      </dgm:prSet>
      <dgm:spPr>
        <a:prstGeom prst="ellipse">
          <a:avLst/>
        </a:prstGeom>
      </dgm:spPr>
      <dgm:t>
        <a:bodyPr/>
        <a:lstStyle/>
        <a:p>
          <a:endParaRPr lang="fr-FR"/>
        </a:p>
      </dgm:t>
    </dgm:pt>
    <dgm:pt modelId="{A315825F-724B-4ECE-818D-9BD70B6993DE}" type="pres">
      <dgm:prSet presAssocID="{94A96EF6-51E1-4AE5-8BBC-71D5B86AC92C}" presName="sibTrans" presStyleLbl="sibTrans2D1" presStyleIdx="4" presStyleCnt="6"/>
      <dgm:spPr>
        <a:prstGeom prst="rightArrow">
          <a:avLst>
            <a:gd name="adj1" fmla="val 60000"/>
            <a:gd name="adj2" fmla="val 50000"/>
          </a:avLst>
        </a:prstGeom>
      </dgm:spPr>
      <dgm:t>
        <a:bodyPr/>
        <a:lstStyle/>
        <a:p>
          <a:endParaRPr lang="fr-FR"/>
        </a:p>
      </dgm:t>
    </dgm:pt>
    <dgm:pt modelId="{DA25F7F8-65A7-4537-9E82-804132A2B116}" type="pres">
      <dgm:prSet presAssocID="{94A96EF6-51E1-4AE5-8BBC-71D5B86AC92C}" presName="connectorText" presStyleLbl="sibTrans2D1" presStyleIdx="4" presStyleCnt="6"/>
      <dgm:spPr/>
      <dgm:t>
        <a:bodyPr/>
        <a:lstStyle/>
        <a:p>
          <a:endParaRPr lang="fr-FR"/>
        </a:p>
      </dgm:t>
    </dgm:pt>
    <dgm:pt modelId="{AD4248D7-B92F-4C39-AB76-6D0F89DBF816}" type="pres">
      <dgm:prSet presAssocID="{F3EB2231-7446-468B-97BB-2A45E6ADA3DC}" presName="node" presStyleLbl="node1" presStyleIdx="5" presStyleCnt="6" custScaleX="145024" custRadScaleRad="119800" custRadScaleInc="-3520">
        <dgm:presLayoutVars>
          <dgm:bulletEnabled val="1"/>
        </dgm:presLayoutVars>
      </dgm:prSet>
      <dgm:spPr>
        <a:prstGeom prst="ellipse">
          <a:avLst/>
        </a:prstGeom>
      </dgm:spPr>
      <dgm:t>
        <a:bodyPr/>
        <a:lstStyle/>
        <a:p>
          <a:endParaRPr lang="fr-FR"/>
        </a:p>
      </dgm:t>
    </dgm:pt>
    <dgm:pt modelId="{2D9F8836-EA22-4F94-8E08-783689B6730B}" type="pres">
      <dgm:prSet presAssocID="{B23BB0D6-1B54-46CA-81FE-56BFE9097D57}" presName="sibTrans" presStyleLbl="sibTrans2D1" presStyleIdx="5" presStyleCnt="6"/>
      <dgm:spPr>
        <a:prstGeom prst="rightArrow">
          <a:avLst>
            <a:gd name="adj1" fmla="val 60000"/>
            <a:gd name="adj2" fmla="val 50000"/>
          </a:avLst>
        </a:prstGeom>
      </dgm:spPr>
      <dgm:t>
        <a:bodyPr/>
        <a:lstStyle/>
        <a:p>
          <a:endParaRPr lang="fr-FR"/>
        </a:p>
      </dgm:t>
    </dgm:pt>
    <dgm:pt modelId="{AB54A808-72F4-42ED-8E9A-FD1A8597BB2E}" type="pres">
      <dgm:prSet presAssocID="{B23BB0D6-1B54-46CA-81FE-56BFE9097D57}" presName="connectorText" presStyleLbl="sibTrans2D1" presStyleIdx="5" presStyleCnt="6"/>
      <dgm:spPr/>
      <dgm:t>
        <a:bodyPr/>
        <a:lstStyle/>
        <a:p>
          <a:endParaRPr lang="fr-FR"/>
        </a:p>
      </dgm:t>
    </dgm:pt>
  </dgm:ptLst>
  <dgm:cxnLst>
    <dgm:cxn modelId="{0962FA99-8EB0-4D3F-94ED-43A99AF7463B}" type="presOf" srcId="{B23BB0D6-1B54-46CA-81FE-56BFE9097D57}" destId="{AB54A808-72F4-42ED-8E9A-FD1A8597BB2E}" srcOrd="1" destOrd="0" presId="urn:microsoft.com/office/officeart/2005/8/layout/cycle2"/>
    <dgm:cxn modelId="{FBB2AB06-C600-40B2-9C89-13E388E3D03B}" type="presOf" srcId="{4218E989-D7B7-4A8A-BC7B-618E05672EF8}" destId="{69A64B82-D885-4183-89D1-4D1556C3AE11}" srcOrd="0" destOrd="0" presId="urn:microsoft.com/office/officeart/2005/8/layout/cycle2"/>
    <dgm:cxn modelId="{04C95899-AD85-4E37-A0AF-C5F1D4DDA122}" type="presOf" srcId="{5104FF0E-F348-4E68-91FF-1D7F4F766174}" destId="{EAD03A47-BD76-435A-AE0B-69AE4EB4091D}" srcOrd="0" destOrd="0" presId="urn:microsoft.com/office/officeart/2005/8/layout/cycle2"/>
    <dgm:cxn modelId="{8E0E014C-06E4-4895-BC4B-E494FDF19264}" type="presOf" srcId="{F3EB2231-7446-468B-97BB-2A45E6ADA3DC}" destId="{AD4248D7-B92F-4C39-AB76-6D0F89DBF816}" srcOrd="0" destOrd="0" presId="urn:microsoft.com/office/officeart/2005/8/layout/cycle2"/>
    <dgm:cxn modelId="{7D42FC7C-FF82-4EBE-81F2-1204C23B0CC1}" type="presOf" srcId="{080BFAE6-23C4-4715-B12C-96B393736DFF}" destId="{AC280AE3-6F17-4F15-B1F1-E30654533F08}" srcOrd="0" destOrd="0" presId="urn:microsoft.com/office/officeart/2005/8/layout/cycle2"/>
    <dgm:cxn modelId="{8A489A5B-D5A4-4AFC-9918-A00F14219D0C}" type="presOf" srcId="{0EA944DB-E737-450D-91E0-E7175A5E7032}" destId="{B19D368B-7F99-4381-9AFB-3FC1DDAA8801}" srcOrd="1" destOrd="0" presId="urn:microsoft.com/office/officeart/2005/8/layout/cycle2"/>
    <dgm:cxn modelId="{A7BF55F0-7C74-4E91-A1AE-AD8830F15F93}" type="presOf" srcId="{07763313-08A6-4ECE-8D37-6CC18EB1E49D}" destId="{BD716309-8C44-4B97-BDA8-0DF642D59AC6}" srcOrd="0" destOrd="0" presId="urn:microsoft.com/office/officeart/2005/8/layout/cycle2"/>
    <dgm:cxn modelId="{556616A5-3D13-405E-92BB-B4371703EFE7}" type="presOf" srcId="{C8CE3758-E7ED-41E0-B71A-E621439E1A28}" destId="{AC9A328E-5324-449D-B573-8DC6A6D2A4CB}" srcOrd="0" destOrd="0" presId="urn:microsoft.com/office/officeart/2005/8/layout/cycle2"/>
    <dgm:cxn modelId="{ED8BC52D-515D-4448-A1A0-7FFEA3914A97}" type="presOf" srcId="{EC4F070B-F761-4D57-B11D-023B58AB7870}" destId="{BDBC2A9B-995B-4839-9949-5C23EAAA5AB4}" srcOrd="1" destOrd="0" presId="urn:microsoft.com/office/officeart/2005/8/layout/cycle2"/>
    <dgm:cxn modelId="{7B509AA4-CDA1-46A1-8ACB-C67F67EA8642}" type="presOf" srcId="{E25467EB-73CC-4033-94A4-9B94771D552F}" destId="{B64DC65E-AE26-4B4A-9EEE-A73E6F5EF67D}" srcOrd="0" destOrd="0" presId="urn:microsoft.com/office/officeart/2005/8/layout/cycle2"/>
    <dgm:cxn modelId="{397A5131-6A0F-4901-9922-A54835442F81}" type="presOf" srcId="{EC4F070B-F761-4D57-B11D-023B58AB7870}" destId="{C3D3922F-19AC-447E-ACDD-424A8423B10E}" srcOrd="0" destOrd="0" presId="urn:microsoft.com/office/officeart/2005/8/layout/cycle2"/>
    <dgm:cxn modelId="{25F52906-2415-43D5-B19F-F6CCD4374476}" srcId="{080BFAE6-23C4-4715-B12C-96B393736DFF}" destId="{F3EB2231-7446-468B-97BB-2A45E6ADA3DC}" srcOrd="5" destOrd="0" parTransId="{B013D7EE-7421-4D8A-AE2B-C5C2CC536B06}" sibTransId="{B23BB0D6-1B54-46CA-81FE-56BFE9097D57}"/>
    <dgm:cxn modelId="{C16773CB-7036-4406-9A13-95E507624FCE}" srcId="{080BFAE6-23C4-4715-B12C-96B393736DFF}" destId="{257B3EF6-4369-42B3-BD74-F4AFCCEAE362}" srcOrd="0" destOrd="0" parTransId="{1735F1F7-A546-4865-9D27-EADA6EF193C1}" sibTransId="{EC4F070B-F761-4D57-B11D-023B58AB7870}"/>
    <dgm:cxn modelId="{6080AC28-C6E0-45DB-994E-766C7EC233AE}" type="presOf" srcId="{B23BB0D6-1B54-46CA-81FE-56BFE9097D57}" destId="{2D9F8836-EA22-4F94-8E08-783689B6730B}" srcOrd="0" destOrd="0" presId="urn:microsoft.com/office/officeart/2005/8/layout/cycle2"/>
    <dgm:cxn modelId="{3B5C1580-1F4F-4F75-B221-A04E7E82A1AC}" type="presOf" srcId="{0EA944DB-E737-450D-91E0-E7175A5E7032}" destId="{AEC776B2-CBEB-48E8-BD65-7D5749DAB7C9}" srcOrd="0" destOrd="0" presId="urn:microsoft.com/office/officeart/2005/8/layout/cycle2"/>
    <dgm:cxn modelId="{E568B2EE-F6E1-4652-9841-B27EB23773BF}" type="presOf" srcId="{07763313-08A6-4ECE-8D37-6CC18EB1E49D}" destId="{4D87583C-1F49-4F30-BAA3-795F78C5F436}" srcOrd="1" destOrd="0" presId="urn:microsoft.com/office/officeart/2005/8/layout/cycle2"/>
    <dgm:cxn modelId="{2FAC8B7F-C081-4EED-8F86-027A0EE3C125}" type="presOf" srcId="{C8CE3758-E7ED-41E0-B71A-E621439E1A28}" destId="{7964199B-F221-482A-BC3B-654B7C4CDBC6}" srcOrd="1" destOrd="0" presId="urn:microsoft.com/office/officeart/2005/8/layout/cycle2"/>
    <dgm:cxn modelId="{95D26EAD-B783-4BC7-9E92-E0FBF2F0570C}" type="presOf" srcId="{94A96EF6-51E1-4AE5-8BBC-71D5B86AC92C}" destId="{A315825F-724B-4ECE-818D-9BD70B6993DE}" srcOrd="0" destOrd="0" presId="urn:microsoft.com/office/officeart/2005/8/layout/cycle2"/>
    <dgm:cxn modelId="{E2C467A9-AFCD-49A7-86CF-18424C1B2F50}" type="presOf" srcId="{94A96EF6-51E1-4AE5-8BBC-71D5B86AC92C}" destId="{DA25F7F8-65A7-4537-9E82-804132A2B116}" srcOrd="1" destOrd="0" presId="urn:microsoft.com/office/officeart/2005/8/layout/cycle2"/>
    <dgm:cxn modelId="{CC1AB86C-941C-4413-88D1-2486F20DA30A}" type="presOf" srcId="{257B3EF6-4369-42B3-BD74-F4AFCCEAE362}" destId="{9F51482B-975C-412F-9E82-467AE836840F}" srcOrd="0" destOrd="0" presId="urn:microsoft.com/office/officeart/2005/8/layout/cycle2"/>
    <dgm:cxn modelId="{6BDF147D-A9C4-488C-B716-E8793E682589}" type="presOf" srcId="{748AB550-1F36-4904-97CF-E2A8D8205D36}" destId="{F534FAF6-26D7-4928-9178-AC3D7397EB83}" srcOrd="0" destOrd="0" presId="urn:microsoft.com/office/officeart/2005/8/layout/cycle2"/>
    <dgm:cxn modelId="{9619C0CB-EAD4-4695-9638-2D5A507099CE}" srcId="{080BFAE6-23C4-4715-B12C-96B393736DFF}" destId="{748AB550-1F36-4904-97CF-E2A8D8205D36}" srcOrd="3" destOrd="0" parTransId="{68222F93-CCEC-4A36-A2C5-56A4DA8920D7}" sibTransId="{07763313-08A6-4ECE-8D37-6CC18EB1E49D}"/>
    <dgm:cxn modelId="{93078BEB-32A5-49D4-91E5-5665297C57C5}" srcId="{080BFAE6-23C4-4715-B12C-96B393736DFF}" destId="{4218E989-D7B7-4A8A-BC7B-618E05672EF8}" srcOrd="2" destOrd="0" parTransId="{AB603403-9E65-4454-A05A-A6205471C72E}" sibTransId="{0EA944DB-E737-450D-91E0-E7175A5E7032}"/>
    <dgm:cxn modelId="{EC616923-0BDF-4590-8163-BEC2B3813231}" srcId="{080BFAE6-23C4-4715-B12C-96B393736DFF}" destId="{5104FF0E-F348-4E68-91FF-1D7F4F766174}" srcOrd="1" destOrd="0" parTransId="{722FA147-A82F-4097-B915-2005B0F92100}" sibTransId="{C8CE3758-E7ED-41E0-B71A-E621439E1A28}"/>
    <dgm:cxn modelId="{D5696FA5-43A2-4412-BFFE-B5461D361DC1}" srcId="{080BFAE6-23C4-4715-B12C-96B393736DFF}" destId="{E25467EB-73CC-4033-94A4-9B94771D552F}" srcOrd="4" destOrd="0" parTransId="{5013CECB-2FF7-4227-930D-ACE0A906CCA4}" sibTransId="{94A96EF6-51E1-4AE5-8BBC-71D5B86AC92C}"/>
    <dgm:cxn modelId="{70F45023-646B-4000-8B07-6DD20613FA38}" type="presParOf" srcId="{AC280AE3-6F17-4F15-B1F1-E30654533F08}" destId="{9F51482B-975C-412F-9E82-467AE836840F}" srcOrd="0" destOrd="0" presId="urn:microsoft.com/office/officeart/2005/8/layout/cycle2"/>
    <dgm:cxn modelId="{365376A2-28CB-401C-9B35-1D29572EC2B5}" type="presParOf" srcId="{AC280AE3-6F17-4F15-B1F1-E30654533F08}" destId="{C3D3922F-19AC-447E-ACDD-424A8423B10E}" srcOrd="1" destOrd="0" presId="urn:microsoft.com/office/officeart/2005/8/layout/cycle2"/>
    <dgm:cxn modelId="{D408E388-A415-4B8C-97E6-7C1563E31DE6}" type="presParOf" srcId="{C3D3922F-19AC-447E-ACDD-424A8423B10E}" destId="{BDBC2A9B-995B-4839-9949-5C23EAAA5AB4}" srcOrd="0" destOrd="0" presId="urn:microsoft.com/office/officeart/2005/8/layout/cycle2"/>
    <dgm:cxn modelId="{F6CADDF4-650D-44F5-9321-89C64A89DEF9}" type="presParOf" srcId="{AC280AE3-6F17-4F15-B1F1-E30654533F08}" destId="{EAD03A47-BD76-435A-AE0B-69AE4EB4091D}" srcOrd="2" destOrd="0" presId="urn:microsoft.com/office/officeart/2005/8/layout/cycle2"/>
    <dgm:cxn modelId="{9FE4C176-28C8-4913-A7CC-A61D6C6C6BB9}" type="presParOf" srcId="{AC280AE3-6F17-4F15-B1F1-E30654533F08}" destId="{AC9A328E-5324-449D-B573-8DC6A6D2A4CB}" srcOrd="3" destOrd="0" presId="urn:microsoft.com/office/officeart/2005/8/layout/cycle2"/>
    <dgm:cxn modelId="{081CCBC5-24F0-4645-95CB-A2314E9ED819}" type="presParOf" srcId="{AC9A328E-5324-449D-B573-8DC6A6D2A4CB}" destId="{7964199B-F221-482A-BC3B-654B7C4CDBC6}" srcOrd="0" destOrd="0" presId="urn:microsoft.com/office/officeart/2005/8/layout/cycle2"/>
    <dgm:cxn modelId="{4AA22B71-710E-4085-80AA-FE4ADDB3716B}" type="presParOf" srcId="{AC280AE3-6F17-4F15-B1F1-E30654533F08}" destId="{69A64B82-D885-4183-89D1-4D1556C3AE11}" srcOrd="4" destOrd="0" presId="urn:microsoft.com/office/officeart/2005/8/layout/cycle2"/>
    <dgm:cxn modelId="{46015765-542F-489A-B535-6F61892C66E2}" type="presParOf" srcId="{AC280AE3-6F17-4F15-B1F1-E30654533F08}" destId="{AEC776B2-CBEB-48E8-BD65-7D5749DAB7C9}" srcOrd="5" destOrd="0" presId="urn:microsoft.com/office/officeart/2005/8/layout/cycle2"/>
    <dgm:cxn modelId="{4CF8E90E-082E-4973-B20B-E426F350930C}" type="presParOf" srcId="{AEC776B2-CBEB-48E8-BD65-7D5749DAB7C9}" destId="{B19D368B-7F99-4381-9AFB-3FC1DDAA8801}" srcOrd="0" destOrd="0" presId="urn:microsoft.com/office/officeart/2005/8/layout/cycle2"/>
    <dgm:cxn modelId="{B3A38D6E-5BE3-433C-B255-FE5C005C9DEE}" type="presParOf" srcId="{AC280AE3-6F17-4F15-B1F1-E30654533F08}" destId="{F534FAF6-26D7-4928-9178-AC3D7397EB83}" srcOrd="6" destOrd="0" presId="urn:microsoft.com/office/officeart/2005/8/layout/cycle2"/>
    <dgm:cxn modelId="{ECBFBAFF-EAB9-445A-9BD5-947159B4AB87}" type="presParOf" srcId="{AC280AE3-6F17-4F15-B1F1-E30654533F08}" destId="{BD716309-8C44-4B97-BDA8-0DF642D59AC6}" srcOrd="7" destOrd="0" presId="urn:microsoft.com/office/officeart/2005/8/layout/cycle2"/>
    <dgm:cxn modelId="{6BC2CAFC-6C4F-4EF3-B1FE-4F1FCC4C0D63}" type="presParOf" srcId="{BD716309-8C44-4B97-BDA8-0DF642D59AC6}" destId="{4D87583C-1F49-4F30-BAA3-795F78C5F436}" srcOrd="0" destOrd="0" presId="urn:microsoft.com/office/officeart/2005/8/layout/cycle2"/>
    <dgm:cxn modelId="{B96FA2D6-CE77-41A5-8B43-CC2668974C00}" type="presParOf" srcId="{AC280AE3-6F17-4F15-B1F1-E30654533F08}" destId="{B64DC65E-AE26-4B4A-9EEE-A73E6F5EF67D}" srcOrd="8" destOrd="0" presId="urn:microsoft.com/office/officeart/2005/8/layout/cycle2"/>
    <dgm:cxn modelId="{5A7A19EB-F196-418F-A0E8-2257FCCCF67A}" type="presParOf" srcId="{AC280AE3-6F17-4F15-B1F1-E30654533F08}" destId="{A315825F-724B-4ECE-818D-9BD70B6993DE}" srcOrd="9" destOrd="0" presId="urn:microsoft.com/office/officeart/2005/8/layout/cycle2"/>
    <dgm:cxn modelId="{D301E14E-B79A-4BD9-9E90-7245A4FFA526}" type="presParOf" srcId="{A315825F-724B-4ECE-818D-9BD70B6993DE}" destId="{DA25F7F8-65A7-4537-9E82-804132A2B116}" srcOrd="0" destOrd="0" presId="urn:microsoft.com/office/officeart/2005/8/layout/cycle2"/>
    <dgm:cxn modelId="{DB0488BC-8682-412F-A4A8-9E211BDA2AA2}" type="presParOf" srcId="{AC280AE3-6F17-4F15-B1F1-E30654533F08}" destId="{AD4248D7-B92F-4C39-AB76-6D0F89DBF816}" srcOrd="10" destOrd="0" presId="urn:microsoft.com/office/officeart/2005/8/layout/cycle2"/>
    <dgm:cxn modelId="{1CE9C242-77EA-4CF7-BDD9-1F90096840B3}" type="presParOf" srcId="{AC280AE3-6F17-4F15-B1F1-E30654533F08}" destId="{2D9F8836-EA22-4F94-8E08-783689B6730B}" srcOrd="11" destOrd="0" presId="urn:microsoft.com/office/officeart/2005/8/layout/cycle2"/>
    <dgm:cxn modelId="{E7FB030D-9EEA-43DC-BBD2-E35A6765F34B}" type="presParOf" srcId="{2D9F8836-EA22-4F94-8E08-783689B6730B}" destId="{AB54A808-72F4-42ED-8E9A-FD1A8597BB2E}" srcOrd="0" destOrd="0" presId="urn:microsoft.com/office/officeart/2005/8/layout/cycle2"/>
  </dgm:cxnLst>
  <dgm:bg/>
  <dgm:whole/>
  <dgm:extLst>
    <a:ext uri="http://schemas.microsoft.com/office/drawing/2008/diagram">
      <dsp:dataModelExt xmlns:dsp="http://schemas.microsoft.com/office/drawing/2008/diagram" relId="rId32"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0A6B91E0-9B31-4AA6-AFE6-03FAC4E31C19}" type="doc">
      <dgm:prSet loTypeId="urn:microsoft.com/office/officeart/2005/8/layout/cycle5" loCatId="cycle" qsTypeId="urn:microsoft.com/office/officeart/2005/8/quickstyle/simple1" qsCatId="simple" csTypeId="urn:microsoft.com/office/officeart/2005/8/colors/accent0_1" csCatId="mainScheme" phldr="1"/>
      <dgm:spPr/>
      <dgm:t>
        <a:bodyPr/>
        <a:lstStyle/>
        <a:p>
          <a:endParaRPr lang="en-US"/>
        </a:p>
      </dgm:t>
    </dgm:pt>
    <dgm:pt modelId="{AC077A8A-49A6-43C1-B959-E4E6929AEDBD}">
      <dgm:prSet phldrT="[Text]" custT="1"/>
      <dgm:spPr>
        <a:xfrm>
          <a:off x="2218134" y="1154"/>
          <a:ext cx="1050131" cy="682585"/>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lang="en-US" sz="1200" b="1">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Teacher's reaction</a:t>
          </a:r>
        </a:p>
      </dgm:t>
    </dgm:pt>
    <dgm:pt modelId="{6CA5BC92-C298-4BF4-ACB5-5B04A33FF778}" type="parTrans" cxnId="{05C9E0E8-1B03-4DDF-B86B-6CCE9618DA92}">
      <dgm:prSet/>
      <dgm:spPr/>
      <dgm:t>
        <a:bodyPr/>
        <a:lstStyle/>
        <a:p>
          <a:endParaRPr lang="en-US" sz="1200" b="1">
            <a:latin typeface="Times New Roman" panose="02020603050405020304" pitchFamily="18" charset="0"/>
            <a:cs typeface="Times New Roman" panose="02020603050405020304" pitchFamily="18" charset="0"/>
          </a:endParaRPr>
        </a:p>
      </dgm:t>
    </dgm:pt>
    <dgm:pt modelId="{473D1735-8662-4C3E-8D15-5AB43353C04E}" type="sibTrans" cxnId="{05C9E0E8-1B03-4DDF-B86B-6CCE9618DA92}">
      <dgm:prSet/>
      <dgm:spPr>
        <a:xfrm>
          <a:off x="1377808" y="342446"/>
          <a:ext cx="2730783" cy="2730783"/>
        </a:xfrm>
        <a:noFill/>
        <a:ln w="6350" cap="flat" cmpd="sng" algn="ctr">
          <a:solidFill>
            <a:sysClr val="windowText" lastClr="000000">
              <a:hueOff val="0"/>
              <a:satOff val="0"/>
              <a:lumOff val="0"/>
              <a:alphaOff val="0"/>
            </a:sysClr>
          </a:solidFill>
          <a:prstDash val="solid"/>
          <a:miter lim="800000"/>
          <a:tailEnd type="arrow"/>
        </a:ln>
        <a:effectLst/>
      </dgm:spPr>
      <dgm:t>
        <a:bodyPr/>
        <a:lstStyle/>
        <a:p>
          <a:endParaRPr lang="en-US" sz="1200" b="1">
            <a:latin typeface="Times New Roman" panose="02020603050405020304" pitchFamily="18" charset="0"/>
            <a:cs typeface="Times New Roman" panose="02020603050405020304" pitchFamily="18" charset="0"/>
          </a:endParaRPr>
        </a:p>
      </dgm:t>
    </dgm:pt>
    <dgm:pt modelId="{AE47BF60-4D2A-4157-A102-F0D2EC0177D0}">
      <dgm:prSet phldrT="[Text]" custT="1"/>
      <dgm:spPr>
        <a:xfrm>
          <a:off x="3516699" y="944616"/>
          <a:ext cx="1050131" cy="682585"/>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lang="en-US" sz="1200" b="1">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Teacher's knowledge</a:t>
          </a:r>
        </a:p>
      </dgm:t>
    </dgm:pt>
    <dgm:pt modelId="{24528C3A-53DA-421F-8265-2631698B424B}" type="parTrans" cxnId="{F26D8373-CD3B-402B-9F23-0C168685FC06}">
      <dgm:prSet/>
      <dgm:spPr/>
      <dgm:t>
        <a:bodyPr/>
        <a:lstStyle/>
        <a:p>
          <a:endParaRPr lang="en-US" sz="1200" b="1">
            <a:latin typeface="Times New Roman" panose="02020603050405020304" pitchFamily="18" charset="0"/>
            <a:cs typeface="Times New Roman" panose="02020603050405020304" pitchFamily="18" charset="0"/>
          </a:endParaRPr>
        </a:p>
      </dgm:t>
    </dgm:pt>
    <dgm:pt modelId="{0CBD903D-11CC-4224-9268-3B266AEFCE75}" type="sibTrans" cxnId="{F26D8373-CD3B-402B-9F23-0C168685FC06}">
      <dgm:prSet/>
      <dgm:spPr>
        <a:xfrm>
          <a:off x="1377808" y="342446"/>
          <a:ext cx="2730783" cy="2730783"/>
        </a:xfrm>
        <a:noFill/>
        <a:ln w="6350" cap="flat" cmpd="sng" algn="ctr">
          <a:solidFill>
            <a:sysClr val="windowText" lastClr="000000">
              <a:hueOff val="0"/>
              <a:satOff val="0"/>
              <a:lumOff val="0"/>
              <a:alphaOff val="0"/>
            </a:sysClr>
          </a:solidFill>
          <a:prstDash val="solid"/>
          <a:miter lim="800000"/>
          <a:tailEnd type="arrow"/>
        </a:ln>
        <a:effectLst/>
      </dgm:spPr>
      <dgm:t>
        <a:bodyPr/>
        <a:lstStyle/>
        <a:p>
          <a:endParaRPr lang="en-US" sz="1200" b="1">
            <a:latin typeface="Times New Roman" panose="02020603050405020304" pitchFamily="18" charset="0"/>
            <a:cs typeface="Times New Roman" panose="02020603050405020304" pitchFamily="18" charset="0"/>
          </a:endParaRPr>
        </a:p>
      </dgm:t>
    </dgm:pt>
    <dgm:pt modelId="{EFEC2D44-E105-449B-A5EE-AD4E3CF6E501}">
      <dgm:prSet phldrT="[Text]" custT="1"/>
      <dgm:spPr>
        <a:xfrm>
          <a:off x="3020691" y="2471170"/>
          <a:ext cx="1050131" cy="682585"/>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lang="en-US" sz="1200" b="1">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Use and classroom practice</a:t>
          </a:r>
        </a:p>
      </dgm:t>
    </dgm:pt>
    <dgm:pt modelId="{0473FF03-B82A-4B15-9489-96FC28C9EA99}" type="parTrans" cxnId="{A9116C94-2511-42EF-8189-9738152E56EA}">
      <dgm:prSet/>
      <dgm:spPr/>
      <dgm:t>
        <a:bodyPr/>
        <a:lstStyle/>
        <a:p>
          <a:endParaRPr lang="en-US" sz="1200" b="1">
            <a:latin typeface="Times New Roman" panose="02020603050405020304" pitchFamily="18" charset="0"/>
            <a:cs typeface="Times New Roman" panose="02020603050405020304" pitchFamily="18" charset="0"/>
          </a:endParaRPr>
        </a:p>
      </dgm:t>
    </dgm:pt>
    <dgm:pt modelId="{99B9E379-35B6-45BB-B3D6-855CCD5B11E9}" type="sibTrans" cxnId="{A9116C94-2511-42EF-8189-9738152E56EA}">
      <dgm:prSet/>
      <dgm:spPr>
        <a:xfrm>
          <a:off x="1377808" y="342446"/>
          <a:ext cx="2730783" cy="2730783"/>
        </a:xfrm>
        <a:noFill/>
        <a:ln w="6350" cap="flat" cmpd="sng" algn="ctr">
          <a:solidFill>
            <a:sysClr val="windowText" lastClr="000000">
              <a:hueOff val="0"/>
              <a:satOff val="0"/>
              <a:lumOff val="0"/>
              <a:alphaOff val="0"/>
            </a:sysClr>
          </a:solidFill>
          <a:prstDash val="solid"/>
          <a:miter lim="800000"/>
          <a:tailEnd type="arrow"/>
        </a:ln>
        <a:effectLst/>
      </dgm:spPr>
      <dgm:t>
        <a:bodyPr/>
        <a:lstStyle/>
        <a:p>
          <a:endParaRPr lang="en-US" sz="1200" b="1">
            <a:latin typeface="Times New Roman" panose="02020603050405020304" pitchFamily="18" charset="0"/>
            <a:cs typeface="Times New Roman" panose="02020603050405020304" pitchFamily="18" charset="0"/>
          </a:endParaRPr>
        </a:p>
      </dgm:t>
    </dgm:pt>
    <dgm:pt modelId="{CCFAB75D-5842-41EC-8066-20CECE591226}">
      <dgm:prSet phldrT="[Text]" custT="1"/>
      <dgm:spPr>
        <a:xfrm>
          <a:off x="1415577" y="2471170"/>
          <a:ext cx="1050131" cy="682585"/>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lang="en-US" sz="1200" b="1">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Institutional support</a:t>
          </a:r>
        </a:p>
      </dgm:t>
    </dgm:pt>
    <dgm:pt modelId="{6126E835-6866-4DDD-B84B-70DC3418E6C4}" type="parTrans" cxnId="{92B8F246-41A8-4D27-BC5E-31808CD99A3A}">
      <dgm:prSet/>
      <dgm:spPr/>
      <dgm:t>
        <a:bodyPr/>
        <a:lstStyle/>
        <a:p>
          <a:endParaRPr lang="en-US" sz="1200" b="1">
            <a:latin typeface="Times New Roman" panose="02020603050405020304" pitchFamily="18" charset="0"/>
            <a:cs typeface="Times New Roman" panose="02020603050405020304" pitchFamily="18" charset="0"/>
          </a:endParaRPr>
        </a:p>
      </dgm:t>
    </dgm:pt>
    <dgm:pt modelId="{45FDAF28-EC75-4B82-AAB4-CE64FDA38BE2}" type="sibTrans" cxnId="{92B8F246-41A8-4D27-BC5E-31808CD99A3A}">
      <dgm:prSet/>
      <dgm:spPr>
        <a:xfrm>
          <a:off x="1377808" y="342446"/>
          <a:ext cx="2730783" cy="2730783"/>
        </a:xfrm>
        <a:noFill/>
        <a:ln w="6350" cap="flat" cmpd="sng" algn="ctr">
          <a:solidFill>
            <a:sysClr val="windowText" lastClr="000000">
              <a:hueOff val="0"/>
              <a:satOff val="0"/>
              <a:lumOff val="0"/>
              <a:alphaOff val="0"/>
            </a:sysClr>
          </a:solidFill>
          <a:prstDash val="solid"/>
          <a:miter lim="800000"/>
          <a:tailEnd type="arrow"/>
        </a:ln>
        <a:effectLst/>
      </dgm:spPr>
      <dgm:t>
        <a:bodyPr/>
        <a:lstStyle/>
        <a:p>
          <a:endParaRPr lang="en-US" sz="1200" b="1">
            <a:latin typeface="Times New Roman" panose="02020603050405020304" pitchFamily="18" charset="0"/>
            <a:cs typeface="Times New Roman" panose="02020603050405020304" pitchFamily="18" charset="0"/>
          </a:endParaRPr>
        </a:p>
      </dgm:t>
    </dgm:pt>
    <dgm:pt modelId="{ECDC1B84-D6EB-4388-8C64-83B5EC602990}">
      <dgm:prSet phldrT="[Text]" custT="1"/>
      <dgm:spPr>
        <a:xfrm>
          <a:off x="919569" y="944616"/>
          <a:ext cx="1050131" cy="682585"/>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lang="en-US" sz="1200" b="1">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Learner Academic achievement</a:t>
          </a:r>
        </a:p>
      </dgm:t>
    </dgm:pt>
    <dgm:pt modelId="{2CD0698A-D8AB-4AB4-82DC-E7F5B9CE3A78}" type="parTrans" cxnId="{A46C7C0C-28A3-430C-A1A4-BB2637CD9409}">
      <dgm:prSet/>
      <dgm:spPr/>
      <dgm:t>
        <a:bodyPr/>
        <a:lstStyle/>
        <a:p>
          <a:endParaRPr lang="en-US" sz="1200" b="1">
            <a:latin typeface="Times New Roman" panose="02020603050405020304" pitchFamily="18" charset="0"/>
            <a:cs typeface="Times New Roman" panose="02020603050405020304" pitchFamily="18" charset="0"/>
          </a:endParaRPr>
        </a:p>
      </dgm:t>
    </dgm:pt>
    <dgm:pt modelId="{78E35291-B11A-4356-9F42-EE7BEDE1ECE2}" type="sibTrans" cxnId="{A46C7C0C-28A3-430C-A1A4-BB2637CD9409}">
      <dgm:prSet/>
      <dgm:spPr>
        <a:xfrm>
          <a:off x="1377808" y="342446"/>
          <a:ext cx="2730783" cy="2730783"/>
        </a:xfrm>
        <a:noFill/>
        <a:ln w="6350" cap="flat" cmpd="sng" algn="ctr">
          <a:solidFill>
            <a:sysClr val="windowText" lastClr="000000">
              <a:hueOff val="0"/>
              <a:satOff val="0"/>
              <a:lumOff val="0"/>
              <a:alphaOff val="0"/>
            </a:sysClr>
          </a:solidFill>
          <a:prstDash val="solid"/>
          <a:miter lim="800000"/>
          <a:tailEnd type="arrow"/>
        </a:ln>
        <a:effectLst/>
      </dgm:spPr>
      <dgm:t>
        <a:bodyPr/>
        <a:lstStyle/>
        <a:p>
          <a:endParaRPr lang="en-US" sz="1200" b="1">
            <a:latin typeface="Times New Roman" panose="02020603050405020304" pitchFamily="18" charset="0"/>
            <a:cs typeface="Times New Roman" panose="02020603050405020304" pitchFamily="18" charset="0"/>
          </a:endParaRPr>
        </a:p>
      </dgm:t>
    </dgm:pt>
    <dgm:pt modelId="{1EE474A8-647C-43CB-8BB1-83FD5E395BF7}" type="pres">
      <dgm:prSet presAssocID="{0A6B91E0-9B31-4AA6-AFE6-03FAC4E31C19}" presName="cycle" presStyleCnt="0">
        <dgm:presLayoutVars>
          <dgm:dir/>
          <dgm:resizeHandles val="exact"/>
        </dgm:presLayoutVars>
      </dgm:prSet>
      <dgm:spPr/>
      <dgm:t>
        <a:bodyPr/>
        <a:lstStyle/>
        <a:p>
          <a:endParaRPr lang="fr-FR"/>
        </a:p>
      </dgm:t>
    </dgm:pt>
    <dgm:pt modelId="{43C5B16A-A18F-4181-99CF-867A1A8E062A}" type="pres">
      <dgm:prSet presAssocID="{AC077A8A-49A6-43C1-B959-E4E6929AEDBD}" presName="node" presStyleLbl="node1" presStyleIdx="0" presStyleCnt="5">
        <dgm:presLayoutVars>
          <dgm:bulletEnabled val="1"/>
        </dgm:presLayoutVars>
      </dgm:prSet>
      <dgm:spPr>
        <a:prstGeom prst="roundRect">
          <a:avLst/>
        </a:prstGeom>
      </dgm:spPr>
      <dgm:t>
        <a:bodyPr/>
        <a:lstStyle/>
        <a:p>
          <a:endParaRPr lang="fr-FR"/>
        </a:p>
      </dgm:t>
    </dgm:pt>
    <dgm:pt modelId="{65DAD008-A925-4870-8632-E36B095488DD}" type="pres">
      <dgm:prSet presAssocID="{AC077A8A-49A6-43C1-B959-E4E6929AEDBD}" presName="spNode" presStyleCnt="0"/>
      <dgm:spPr/>
    </dgm:pt>
    <dgm:pt modelId="{85E90EC9-29E6-4EC8-98E2-30546467AE99}" type="pres">
      <dgm:prSet presAssocID="{473D1735-8662-4C3E-8D15-5AB43353C04E}" presName="sibTrans" presStyleLbl="sibTrans1D1" presStyleIdx="0" presStyleCnt="5"/>
      <dgm:spPr>
        <a:custGeom>
          <a:avLst/>
          <a:gdLst/>
          <a:ahLst/>
          <a:cxnLst/>
          <a:rect l="0" t="0" r="0" b="0"/>
          <a:pathLst>
            <a:path>
              <a:moveTo>
                <a:pt x="2031544" y="173529"/>
              </a:moveTo>
              <a:arcTo wR="1365391" hR="1365391" stAng="17952097" swAng="1213663"/>
            </a:path>
          </a:pathLst>
        </a:custGeom>
      </dgm:spPr>
      <dgm:t>
        <a:bodyPr/>
        <a:lstStyle/>
        <a:p>
          <a:endParaRPr lang="fr-FR"/>
        </a:p>
      </dgm:t>
    </dgm:pt>
    <dgm:pt modelId="{E63056B2-EA43-4B9F-8921-044743321AC3}" type="pres">
      <dgm:prSet presAssocID="{AE47BF60-4D2A-4157-A102-F0D2EC0177D0}" presName="node" presStyleLbl="node1" presStyleIdx="1" presStyleCnt="5">
        <dgm:presLayoutVars>
          <dgm:bulletEnabled val="1"/>
        </dgm:presLayoutVars>
      </dgm:prSet>
      <dgm:spPr>
        <a:prstGeom prst="roundRect">
          <a:avLst/>
        </a:prstGeom>
      </dgm:spPr>
      <dgm:t>
        <a:bodyPr/>
        <a:lstStyle/>
        <a:p>
          <a:endParaRPr lang="fr-FR"/>
        </a:p>
      </dgm:t>
    </dgm:pt>
    <dgm:pt modelId="{05C103AE-71F3-4DBE-92DE-D9DB77B306E1}" type="pres">
      <dgm:prSet presAssocID="{AE47BF60-4D2A-4157-A102-F0D2EC0177D0}" presName="spNode" presStyleCnt="0"/>
      <dgm:spPr/>
    </dgm:pt>
    <dgm:pt modelId="{FF96380E-2707-4609-8F70-0213665D7AE4}" type="pres">
      <dgm:prSet presAssocID="{0CBD903D-11CC-4224-9268-3B266AEFCE75}" presName="sibTrans" presStyleLbl="sibTrans1D1" presStyleIdx="1" presStyleCnt="5"/>
      <dgm:spPr>
        <a:custGeom>
          <a:avLst/>
          <a:gdLst/>
          <a:ahLst/>
          <a:cxnLst/>
          <a:rect l="0" t="0" r="0" b="0"/>
          <a:pathLst>
            <a:path>
              <a:moveTo>
                <a:pt x="2727527" y="1459631"/>
              </a:moveTo>
              <a:arcTo wR="1365391" hR="1365391" stAng="21837463" swAng="1361370"/>
            </a:path>
          </a:pathLst>
        </a:custGeom>
      </dgm:spPr>
      <dgm:t>
        <a:bodyPr/>
        <a:lstStyle/>
        <a:p>
          <a:endParaRPr lang="fr-FR"/>
        </a:p>
      </dgm:t>
    </dgm:pt>
    <dgm:pt modelId="{D70D6931-00A1-4471-B487-A14CCA2A40EE}" type="pres">
      <dgm:prSet presAssocID="{EFEC2D44-E105-449B-A5EE-AD4E3CF6E501}" presName="node" presStyleLbl="node1" presStyleIdx="2" presStyleCnt="5">
        <dgm:presLayoutVars>
          <dgm:bulletEnabled val="1"/>
        </dgm:presLayoutVars>
      </dgm:prSet>
      <dgm:spPr>
        <a:prstGeom prst="roundRect">
          <a:avLst/>
        </a:prstGeom>
      </dgm:spPr>
      <dgm:t>
        <a:bodyPr/>
        <a:lstStyle/>
        <a:p>
          <a:endParaRPr lang="fr-FR"/>
        </a:p>
      </dgm:t>
    </dgm:pt>
    <dgm:pt modelId="{BF978880-9671-4C02-AF6F-A10E4137D4ED}" type="pres">
      <dgm:prSet presAssocID="{EFEC2D44-E105-449B-A5EE-AD4E3CF6E501}" presName="spNode" presStyleCnt="0"/>
      <dgm:spPr/>
    </dgm:pt>
    <dgm:pt modelId="{526256CF-EA61-4F08-A1A7-1E0BAB9EC072}" type="pres">
      <dgm:prSet presAssocID="{99B9E379-35B6-45BB-B3D6-855CCD5B11E9}" presName="sibTrans" presStyleLbl="sibTrans1D1" presStyleIdx="2" presStyleCnt="5"/>
      <dgm:spPr>
        <a:custGeom>
          <a:avLst/>
          <a:gdLst/>
          <a:ahLst/>
          <a:cxnLst/>
          <a:rect l="0" t="0" r="0" b="0"/>
          <a:pathLst>
            <a:path>
              <a:moveTo>
                <a:pt x="1533406" y="2720406"/>
              </a:moveTo>
              <a:arcTo wR="1365391" hR="1365391" stAng="4975902" swAng="848195"/>
            </a:path>
          </a:pathLst>
        </a:custGeom>
      </dgm:spPr>
      <dgm:t>
        <a:bodyPr/>
        <a:lstStyle/>
        <a:p>
          <a:endParaRPr lang="fr-FR"/>
        </a:p>
      </dgm:t>
    </dgm:pt>
    <dgm:pt modelId="{EC613E72-D034-450A-90AC-F8BCC0A146E3}" type="pres">
      <dgm:prSet presAssocID="{CCFAB75D-5842-41EC-8066-20CECE591226}" presName="node" presStyleLbl="node1" presStyleIdx="3" presStyleCnt="5">
        <dgm:presLayoutVars>
          <dgm:bulletEnabled val="1"/>
        </dgm:presLayoutVars>
      </dgm:prSet>
      <dgm:spPr>
        <a:prstGeom prst="roundRect">
          <a:avLst/>
        </a:prstGeom>
      </dgm:spPr>
      <dgm:t>
        <a:bodyPr/>
        <a:lstStyle/>
        <a:p>
          <a:endParaRPr lang="fr-FR"/>
        </a:p>
      </dgm:t>
    </dgm:pt>
    <dgm:pt modelId="{2315E30B-8630-4F4B-BEA3-428328B98737}" type="pres">
      <dgm:prSet presAssocID="{CCFAB75D-5842-41EC-8066-20CECE591226}" presName="spNode" presStyleCnt="0"/>
      <dgm:spPr/>
    </dgm:pt>
    <dgm:pt modelId="{1B327C63-0051-4FFE-8E47-844906C9A634}" type="pres">
      <dgm:prSet presAssocID="{45FDAF28-EC75-4B82-AAB4-CE64FDA38BE2}" presName="sibTrans" presStyleLbl="sibTrans1D1" presStyleIdx="3" presStyleCnt="5"/>
      <dgm:spPr>
        <a:custGeom>
          <a:avLst/>
          <a:gdLst/>
          <a:ahLst/>
          <a:cxnLst/>
          <a:rect l="0" t="0" r="0" b="0"/>
          <a:pathLst>
            <a:path>
              <a:moveTo>
                <a:pt x="145025" y="1977764"/>
              </a:moveTo>
              <a:arcTo wR="1365391" hR="1365391" stAng="9201167" swAng="1361370"/>
            </a:path>
          </a:pathLst>
        </a:custGeom>
      </dgm:spPr>
      <dgm:t>
        <a:bodyPr/>
        <a:lstStyle/>
        <a:p>
          <a:endParaRPr lang="fr-FR"/>
        </a:p>
      </dgm:t>
    </dgm:pt>
    <dgm:pt modelId="{0C1D2F46-62D6-45B2-A406-C37A5EC8AD39}" type="pres">
      <dgm:prSet presAssocID="{ECDC1B84-D6EB-4388-8C64-83B5EC602990}" presName="node" presStyleLbl="node1" presStyleIdx="4" presStyleCnt="5">
        <dgm:presLayoutVars>
          <dgm:bulletEnabled val="1"/>
        </dgm:presLayoutVars>
      </dgm:prSet>
      <dgm:spPr>
        <a:prstGeom prst="roundRect">
          <a:avLst/>
        </a:prstGeom>
      </dgm:spPr>
      <dgm:t>
        <a:bodyPr/>
        <a:lstStyle/>
        <a:p>
          <a:endParaRPr lang="fr-FR"/>
        </a:p>
      </dgm:t>
    </dgm:pt>
    <dgm:pt modelId="{AAFDFDD5-FD2D-48A6-B3AC-BA05A981C5AB}" type="pres">
      <dgm:prSet presAssocID="{ECDC1B84-D6EB-4388-8C64-83B5EC602990}" presName="spNode" presStyleCnt="0"/>
      <dgm:spPr/>
    </dgm:pt>
    <dgm:pt modelId="{1F05C6C6-815C-4081-A22C-6FBBBB3A2349}" type="pres">
      <dgm:prSet presAssocID="{78E35291-B11A-4356-9F42-EE7BEDE1ECE2}" presName="sibTrans" presStyleLbl="sibTrans1D1" presStyleIdx="4" presStyleCnt="5"/>
      <dgm:spPr>
        <a:custGeom>
          <a:avLst/>
          <a:gdLst/>
          <a:ahLst/>
          <a:cxnLst/>
          <a:rect l="0" t="0" r="0" b="0"/>
          <a:pathLst>
            <a:path>
              <a:moveTo>
                <a:pt x="328234" y="477360"/>
              </a:moveTo>
              <a:arcTo wR="1365391" hR="1365391" stAng="13234240" swAng="1213663"/>
            </a:path>
          </a:pathLst>
        </a:custGeom>
      </dgm:spPr>
      <dgm:t>
        <a:bodyPr/>
        <a:lstStyle/>
        <a:p>
          <a:endParaRPr lang="fr-FR"/>
        </a:p>
      </dgm:t>
    </dgm:pt>
  </dgm:ptLst>
  <dgm:cxnLst>
    <dgm:cxn modelId="{A46C7C0C-28A3-430C-A1A4-BB2637CD9409}" srcId="{0A6B91E0-9B31-4AA6-AFE6-03FAC4E31C19}" destId="{ECDC1B84-D6EB-4388-8C64-83B5EC602990}" srcOrd="4" destOrd="0" parTransId="{2CD0698A-D8AB-4AB4-82DC-E7F5B9CE3A78}" sibTransId="{78E35291-B11A-4356-9F42-EE7BEDE1ECE2}"/>
    <dgm:cxn modelId="{3E368929-B96D-4454-A884-C16E44ED1610}" type="presOf" srcId="{45FDAF28-EC75-4B82-AAB4-CE64FDA38BE2}" destId="{1B327C63-0051-4FFE-8E47-844906C9A634}" srcOrd="0" destOrd="0" presId="urn:microsoft.com/office/officeart/2005/8/layout/cycle5"/>
    <dgm:cxn modelId="{1C71B7E9-094D-457D-AE7B-285E6D7DEBEC}" type="presOf" srcId="{AE47BF60-4D2A-4157-A102-F0D2EC0177D0}" destId="{E63056B2-EA43-4B9F-8921-044743321AC3}" srcOrd="0" destOrd="0" presId="urn:microsoft.com/office/officeart/2005/8/layout/cycle5"/>
    <dgm:cxn modelId="{9450FE05-C7A2-4655-99CF-907CA637F33F}" type="presOf" srcId="{EFEC2D44-E105-449B-A5EE-AD4E3CF6E501}" destId="{D70D6931-00A1-4471-B487-A14CCA2A40EE}" srcOrd="0" destOrd="0" presId="urn:microsoft.com/office/officeart/2005/8/layout/cycle5"/>
    <dgm:cxn modelId="{92B8F246-41A8-4D27-BC5E-31808CD99A3A}" srcId="{0A6B91E0-9B31-4AA6-AFE6-03FAC4E31C19}" destId="{CCFAB75D-5842-41EC-8066-20CECE591226}" srcOrd="3" destOrd="0" parTransId="{6126E835-6866-4DDD-B84B-70DC3418E6C4}" sibTransId="{45FDAF28-EC75-4B82-AAB4-CE64FDA38BE2}"/>
    <dgm:cxn modelId="{60860A61-6464-467A-AC6D-5F0F832155BC}" type="presOf" srcId="{ECDC1B84-D6EB-4388-8C64-83B5EC602990}" destId="{0C1D2F46-62D6-45B2-A406-C37A5EC8AD39}" srcOrd="0" destOrd="0" presId="urn:microsoft.com/office/officeart/2005/8/layout/cycle5"/>
    <dgm:cxn modelId="{00CCBC08-91E7-48BF-9E52-589732ECA3F8}" type="presOf" srcId="{99B9E379-35B6-45BB-B3D6-855CCD5B11E9}" destId="{526256CF-EA61-4F08-A1A7-1E0BAB9EC072}" srcOrd="0" destOrd="0" presId="urn:microsoft.com/office/officeart/2005/8/layout/cycle5"/>
    <dgm:cxn modelId="{574959B0-0989-4586-BFF1-00084FB37A74}" type="presOf" srcId="{0CBD903D-11CC-4224-9268-3B266AEFCE75}" destId="{FF96380E-2707-4609-8F70-0213665D7AE4}" srcOrd="0" destOrd="0" presId="urn:microsoft.com/office/officeart/2005/8/layout/cycle5"/>
    <dgm:cxn modelId="{A9116C94-2511-42EF-8189-9738152E56EA}" srcId="{0A6B91E0-9B31-4AA6-AFE6-03FAC4E31C19}" destId="{EFEC2D44-E105-449B-A5EE-AD4E3CF6E501}" srcOrd="2" destOrd="0" parTransId="{0473FF03-B82A-4B15-9489-96FC28C9EA99}" sibTransId="{99B9E379-35B6-45BB-B3D6-855CCD5B11E9}"/>
    <dgm:cxn modelId="{CD562312-7E7C-42D3-B134-4F822BEB8A81}" type="presOf" srcId="{473D1735-8662-4C3E-8D15-5AB43353C04E}" destId="{85E90EC9-29E6-4EC8-98E2-30546467AE99}" srcOrd="0" destOrd="0" presId="urn:microsoft.com/office/officeart/2005/8/layout/cycle5"/>
    <dgm:cxn modelId="{8E1CF653-1947-41D8-B263-415B4CB819F3}" type="presOf" srcId="{CCFAB75D-5842-41EC-8066-20CECE591226}" destId="{EC613E72-D034-450A-90AC-F8BCC0A146E3}" srcOrd="0" destOrd="0" presId="urn:microsoft.com/office/officeart/2005/8/layout/cycle5"/>
    <dgm:cxn modelId="{F26D8373-CD3B-402B-9F23-0C168685FC06}" srcId="{0A6B91E0-9B31-4AA6-AFE6-03FAC4E31C19}" destId="{AE47BF60-4D2A-4157-A102-F0D2EC0177D0}" srcOrd="1" destOrd="0" parTransId="{24528C3A-53DA-421F-8265-2631698B424B}" sibTransId="{0CBD903D-11CC-4224-9268-3B266AEFCE75}"/>
    <dgm:cxn modelId="{4C8D9D58-4EF2-416E-9D5E-E36DBA4ED6E1}" type="presOf" srcId="{0A6B91E0-9B31-4AA6-AFE6-03FAC4E31C19}" destId="{1EE474A8-647C-43CB-8BB1-83FD5E395BF7}" srcOrd="0" destOrd="0" presId="urn:microsoft.com/office/officeart/2005/8/layout/cycle5"/>
    <dgm:cxn modelId="{05C9E0E8-1B03-4DDF-B86B-6CCE9618DA92}" srcId="{0A6B91E0-9B31-4AA6-AFE6-03FAC4E31C19}" destId="{AC077A8A-49A6-43C1-B959-E4E6929AEDBD}" srcOrd="0" destOrd="0" parTransId="{6CA5BC92-C298-4BF4-ACB5-5B04A33FF778}" sibTransId="{473D1735-8662-4C3E-8D15-5AB43353C04E}"/>
    <dgm:cxn modelId="{7C898F29-1FEA-4588-86D9-9D4530F256D3}" type="presOf" srcId="{AC077A8A-49A6-43C1-B959-E4E6929AEDBD}" destId="{43C5B16A-A18F-4181-99CF-867A1A8E062A}" srcOrd="0" destOrd="0" presId="urn:microsoft.com/office/officeart/2005/8/layout/cycle5"/>
    <dgm:cxn modelId="{08ADD3B4-4E80-47F5-92A8-C20FE704899C}" type="presOf" srcId="{78E35291-B11A-4356-9F42-EE7BEDE1ECE2}" destId="{1F05C6C6-815C-4081-A22C-6FBBBB3A2349}" srcOrd="0" destOrd="0" presId="urn:microsoft.com/office/officeart/2005/8/layout/cycle5"/>
    <dgm:cxn modelId="{61C52CD1-6C05-44D7-97B8-A3BAFC3618EB}" type="presParOf" srcId="{1EE474A8-647C-43CB-8BB1-83FD5E395BF7}" destId="{43C5B16A-A18F-4181-99CF-867A1A8E062A}" srcOrd="0" destOrd="0" presId="urn:microsoft.com/office/officeart/2005/8/layout/cycle5"/>
    <dgm:cxn modelId="{585674AE-79EB-4B93-BDD2-D700AB448572}" type="presParOf" srcId="{1EE474A8-647C-43CB-8BB1-83FD5E395BF7}" destId="{65DAD008-A925-4870-8632-E36B095488DD}" srcOrd="1" destOrd="0" presId="urn:microsoft.com/office/officeart/2005/8/layout/cycle5"/>
    <dgm:cxn modelId="{EC0353A6-F2E4-498D-93DD-A0F0580A371C}" type="presParOf" srcId="{1EE474A8-647C-43CB-8BB1-83FD5E395BF7}" destId="{85E90EC9-29E6-4EC8-98E2-30546467AE99}" srcOrd="2" destOrd="0" presId="urn:microsoft.com/office/officeart/2005/8/layout/cycle5"/>
    <dgm:cxn modelId="{B3B4D8FB-9D36-4A36-9C61-3CD1AA340868}" type="presParOf" srcId="{1EE474A8-647C-43CB-8BB1-83FD5E395BF7}" destId="{E63056B2-EA43-4B9F-8921-044743321AC3}" srcOrd="3" destOrd="0" presId="urn:microsoft.com/office/officeart/2005/8/layout/cycle5"/>
    <dgm:cxn modelId="{21C4407E-D7F8-4BD2-9BE6-0BE6AF93F066}" type="presParOf" srcId="{1EE474A8-647C-43CB-8BB1-83FD5E395BF7}" destId="{05C103AE-71F3-4DBE-92DE-D9DB77B306E1}" srcOrd="4" destOrd="0" presId="urn:microsoft.com/office/officeart/2005/8/layout/cycle5"/>
    <dgm:cxn modelId="{10FFAD2A-5812-492F-94B5-A0BF5F5333AA}" type="presParOf" srcId="{1EE474A8-647C-43CB-8BB1-83FD5E395BF7}" destId="{FF96380E-2707-4609-8F70-0213665D7AE4}" srcOrd="5" destOrd="0" presId="urn:microsoft.com/office/officeart/2005/8/layout/cycle5"/>
    <dgm:cxn modelId="{94878D1A-2FEB-4C87-AAA3-DC35B0209A5D}" type="presParOf" srcId="{1EE474A8-647C-43CB-8BB1-83FD5E395BF7}" destId="{D70D6931-00A1-4471-B487-A14CCA2A40EE}" srcOrd="6" destOrd="0" presId="urn:microsoft.com/office/officeart/2005/8/layout/cycle5"/>
    <dgm:cxn modelId="{E12D9FBC-BACF-40CD-8EB5-9D53EC4FA228}" type="presParOf" srcId="{1EE474A8-647C-43CB-8BB1-83FD5E395BF7}" destId="{BF978880-9671-4C02-AF6F-A10E4137D4ED}" srcOrd="7" destOrd="0" presId="urn:microsoft.com/office/officeart/2005/8/layout/cycle5"/>
    <dgm:cxn modelId="{D034C7DF-2128-410B-A63D-EA464E2C77B6}" type="presParOf" srcId="{1EE474A8-647C-43CB-8BB1-83FD5E395BF7}" destId="{526256CF-EA61-4F08-A1A7-1E0BAB9EC072}" srcOrd="8" destOrd="0" presId="urn:microsoft.com/office/officeart/2005/8/layout/cycle5"/>
    <dgm:cxn modelId="{20294CF0-3976-42D0-9AE6-52891CA5FC02}" type="presParOf" srcId="{1EE474A8-647C-43CB-8BB1-83FD5E395BF7}" destId="{EC613E72-D034-450A-90AC-F8BCC0A146E3}" srcOrd="9" destOrd="0" presId="urn:microsoft.com/office/officeart/2005/8/layout/cycle5"/>
    <dgm:cxn modelId="{09A7804F-8882-4D23-A067-179EB41ED74C}" type="presParOf" srcId="{1EE474A8-647C-43CB-8BB1-83FD5E395BF7}" destId="{2315E30B-8630-4F4B-BEA3-428328B98737}" srcOrd="10" destOrd="0" presId="urn:microsoft.com/office/officeart/2005/8/layout/cycle5"/>
    <dgm:cxn modelId="{1D4507EA-EE80-4F67-84AC-B615DAB3C350}" type="presParOf" srcId="{1EE474A8-647C-43CB-8BB1-83FD5E395BF7}" destId="{1B327C63-0051-4FFE-8E47-844906C9A634}" srcOrd="11" destOrd="0" presId="urn:microsoft.com/office/officeart/2005/8/layout/cycle5"/>
    <dgm:cxn modelId="{CC867231-D065-490E-A6C8-78466F24A5D3}" type="presParOf" srcId="{1EE474A8-647C-43CB-8BB1-83FD5E395BF7}" destId="{0C1D2F46-62D6-45B2-A406-C37A5EC8AD39}" srcOrd="12" destOrd="0" presId="urn:microsoft.com/office/officeart/2005/8/layout/cycle5"/>
    <dgm:cxn modelId="{BC4FE58F-EE8A-4B4E-A80F-E59E47534094}" type="presParOf" srcId="{1EE474A8-647C-43CB-8BB1-83FD5E395BF7}" destId="{AAFDFDD5-FD2D-48A6-B3AC-BA05A981C5AB}" srcOrd="13" destOrd="0" presId="urn:microsoft.com/office/officeart/2005/8/layout/cycle5"/>
    <dgm:cxn modelId="{E7AC8BB8-245A-46C7-BFF2-5F86625C636B}" type="presParOf" srcId="{1EE474A8-647C-43CB-8BB1-83FD5E395BF7}" destId="{1F05C6C6-815C-4081-A22C-6FBBBB3A2349}" srcOrd="14" destOrd="0" presId="urn:microsoft.com/office/officeart/2005/8/layout/cycle5"/>
  </dgm:cxnLst>
  <dgm:bg/>
  <dgm:whole/>
  <dgm:extLst>
    <a:ext uri="http://schemas.microsoft.com/office/drawing/2008/diagram">
      <dsp:dataModelExt xmlns:dsp="http://schemas.microsoft.com/office/drawing/2008/diagram" relId="rId37"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D4426682-D64A-4F39-8926-C45C45DECFBC}" type="doc">
      <dgm:prSet loTypeId="urn:microsoft.com/office/officeart/2008/layout/LinedList" loCatId="list" qsTypeId="urn:microsoft.com/office/officeart/2005/8/quickstyle/simple2" qsCatId="simple" csTypeId="urn:microsoft.com/office/officeart/2005/8/colors/accent1_2" csCatId="accent1" phldr="1"/>
      <dgm:spPr/>
      <dgm:t>
        <a:bodyPr/>
        <a:lstStyle/>
        <a:p>
          <a:endParaRPr lang="en-US"/>
        </a:p>
      </dgm:t>
    </dgm:pt>
    <dgm:pt modelId="{07C8E92B-E527-421A-A396-974102485138}">
      <dgm:prSet phldrT="[Text]" custT="1"/>
      <dgm:spPr>
        <a:xfrm>
          <a:off x="0" y="1271"/>
          <a:ext cx="5486400" cy="1300478"/>
        </a:xfrm>
        <a:noFill/>
        <a:ln>
          <a:noFill/>
        </a:ln>
        <a:effectLst/>
      </dgm:spPr>
      <dgm:t>
        <a:bodyPr/>
        <a:lstStyle/>
        <a:p>
          <a:pPr algn="ctr">
            <a:buNone/>
          </a:pPr>
          <a:r>
            <a:rPr lang="en-US" sz="4000" b="1">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Chapter Two</a:t>
          </a:r>
        </a:p>
        <a:p>
          <a:pPr algn="ctr">
            <a:buNone/>
          </a:pPr>
          <a:r>
            <a:rPr lang="en-US" sz="4000" b="1">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Methodology, Findings and Discussion </a:t>
          </a:r>
        </a:p>
      </dgm:t>
    </dgm:pt>
    <dgm:pt modelId="{8BC4BBC4-8060-486C-A405-4BC23DEF97F1}" type="parTrans" cxnId="{A7E8DD43-0416-4C4A-A5A7-403CA09B5CA4}">
      <dgm:prSet/>
      <dgm:spPr/>
      <dgm:t>
        <a:bodyPr/>
        <a:lstStyle/>
        <a:p>
          <a:endParaRPr lang="en-US" sz="1400" b="1"/>
        </a:p>
      </dgm:t>
    </dgm:pt>
    <dgm:pt modelId="{0A330CB6-9410-466E-8C7A-121CB89549C6}" type="sibTrans" cxnId="{A7E8DD43-0416-4C4A-A5A7-403CA09B5CA4}">
      <dgm:prSet/>
      <dgm:spPr/>
      <dgm:t>
        <a:bodyPr/>
        <a:lstStyle/>
        <a:p>
          <a:endParaRPr lang="en-US" sz="1400" b="1"/>
        </a:p>
      </dgm:t>
    </dgm:pt>
    <dgm:pt modelId="{03C71918-B8C2-4D43-A232-3789216E675F}" type="pres">
      <dgm:prSet presAssocID="{D4426682-D64A-4F39-8926-C45C45DECFBC}" presName="vert0" presStyleCnt="0">
        <dgm:presLayoutVars>
          <dgm:dir/>
          <dgm:animOne val="branch"/>
          <dgm:animLvl val="lvl"/>
        </dgm:presLayoutVars>
      </dgm:prSet>
      <dgm:spPr/>
      <dgm:t>
        <a:bodyPr/>
        <a:lstStyle/>
        <a:p>
          <a:endParaRPr lang="fr-FR"/>
        </a:p>
      </dgm:t>
    </dgm:pt>
    <dgm:pt modelId="{0EE22896-CB9B-404C-A522-8D52FD2AE3C2}" type="pres">
      <dgm:prSet presAssocID="{07C8E92B-E527-421A-A396-974102485138}" presName="thickLine" presStyleLbl="alignNode1" presStyleIdx="0" presStyleCnt="1"/>
      <dgm:spPr>
        <a:xfrm>
          <a:off x="0" y="635"/>
          <a:ext cx="5486400" cy="0"/>
        </a:xfrm>
        <a:prstGeom prst="line">
          <a:avLst/>
        </a:prstGeom>
        <a:solidFill>
          <a:srgbClr val="4472C4">
            <a:hueOff val="0"/>
            <a:satOff val="0"/>
            <a:lumOff val="0"/>
            <a:alphaOff val="0"/>
          </a:srgbClr>
        </a:solidFill>
        <a:ln w="12700" cap="flat" cmpd="sng" algn="ctr">
          <a:solidFill>
            <a:srgbClr val="4472C4">
              <a:hueOff val="0"/>
              <a:satOff val="0"/>
              <a:lumOff val="0"/>
              <a:alphaOff val="0"/>
            </a:srgbClr>
          </a:solidFill>
          <a:prstDash val="solid"/>
          <a:miter lim="800000"/>
        </a:ln>
        <a:effectLst/>
      </dgm:spPr>
    </dgm:pt>
    <dgm:pt modelId="{1B640F76-EC27-461E-8F54-CB8FC40B2E4C}" type="pres">
      <dgm:prSet presAssocID="{07C8E92B-E527-421A-A396-974102485138}" presName="horz1" presStyleCnt="0"/>
      <dgm:spPr/>
    </dgm:pt>
    <dgm:pt modelId="{EFBC8139-D11C-48CE-A887-4236B1D868BC}" type="pres">
      <dgm:prSet presAssocID="{07C8E92B-E527-421A-A396-974102485138}" presName="tx1" presStyleLbl="revTx" presStyleIdx="0" presStyleCnt="1" custLinFactNeighborX="1042" custLinFactNeighborY="52683"/>
      <dgm:spPr>
        <a:prstGeom prst="rect">
          <a:avLst/>
        </a:prstGeom>
      </dgm:spPr>
      <dgm:t>
        <a:bodyPr/>
        <a:lstStyle/>
        <a:p>
          <a:endParaRPr lang="fr-FR"/>
        </a:p>
      </dgm:t>
    </dgm:pt>
    <dgm:pt modelId="{D8C01708-0D5F-46F1-927B-46E22C3F3407}" type="pres">
      <dgm:prSet presAssocID="{07C8E92B-E527-421A-A396-974102485138}" presName="vert1" presStyleCnt="0"/>
      <dgm:spPr/>
    </dgm:pt>
  </dgm:ptLst>
  <dgm:cxnLst>
    <dgm:cxn modelId="{A7E8DD43-0416-4C4A-A5A7-403CA09B5CA4}" srcId="{D4426682-D64A-4F39-8926-C45C45DECFBC}" destId="{07C8E92B-E527-421A-A396-974102485138}" srcOrd="0" destOrd="0" parTransId="{8BC4BBC4-8060-486C-A405-4BC23DEF97F1}" sibTransId="{0A330CB6-9410-466E-8C7A-121CB89549C6}"/>
    <dgm:cxn modelId="{2AFF54B7-CE39-4997-8B36-3680271F8E6A}" type="presOf" srcId="{07C8E92B-E527-421A-A396-974102485138}" destId="{EFBC8139-D11C-48CE-A887-4236B1D868BC}" srcOrd="0" destOrd="0" presId="urn:microsoft.com/office/officeart/2008/layout/LinedList"/>
    <dgm:cxn modelId="{39197CD2-CA3B-4D9B-AD86-0DBB4F6FABD5}" type="presOf" srcId="{D4426682-D64A-4F39-8926-C45C45DECFBC}" destId="{03C71918-B8C2-4D43-A232-3789216E675F}" srcOrd="0" destOrd="0" presId="urn:microsoft.com/office/officeart/2008/layout/LinedList"/>
    <dgm:cxn modelId="{1662E131-93DF-4CE4-9EB3-BD20EED57118}" type="presParOf" srcId="{03C71918-B8C2-4D43-A232-3789216E675F}" destId="{0EE22896-CB9B-404C-A522-8D52FD2AE3C2}" srcOrd="0" destOrd="0" presId="urn:microsoft.com/office/officeart/2008/layout/LinedList"/>
    <dgm:cxn modelId="{2B0CD4FF-15A4-48C2-B9EF-F9759285C0E0}" type="presParOf" srcId="{03C71918-B8C2-4D43-A232-3789216E675F}" destId="{1B640F76-EC27-461E-8F54-CB8FC40B2E4C}" srcOrd="1" destOrd="0" presId="urn:microsoft.com/office/officeart/2008/layout/LinedList"/>
    <dgm:cxn modelId="{84A58ED6-F293-4531-A868-E4667835FA97}" type="presParOf" srcId="{1B640F76-EC27-461E-8F54-CB8FC40B2E4C}" destId="{EFBC8139-D11C-48CE-A887-4236B1D868BC}" srcOrd="0" destOrd="0" presId="urn:microsoft.com/office/officeart/2008/layout/LinedList"/>
    <dgm:cxn modelId="{99073569-2FDC-4B79-B622-4D23E29C6021}" type="presParOf" srcId="{1B640F76-EC27-461E-8F54-CB8FC40B2E4C}" destId="{D8C01708-0D5F-46F1-927B-46E22C3F3407}" srcOrd="1" destOrd="0" presId="urn:microsoft.com/office/officeart/2008/layout/LinedList"/>
  </dgm:cxnLst>
  <dgm:bg/>
  <dgm:whole/>
  <dgm:extLst>
    <a:ext uri="http://schemas.microsoft.com/office/drawing/2008/diagram">
      <dsp:dataModelExt xmlns:dsp="http://schemas.microsoft.com/office/drawing/2008/diagram" relId="rId42"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87F1EA61-231F-4722-ACAA-34F754FCCE84}" type="doc">
      <dgm:prSet loTypeId="urn:microsoft.com/office/officeart/2005/8/layout/equation1" loCatId="relationship" qsTypeId="urn:microsoft.com/office/officeart/2005/8/quickstyle/simple1" qsCatId="simple" csTypeId="urn:microsoft.com/office/officeart/2005/8/colors/accent1_2" csCatId="accent1" phldr="1"/>
      <dgm:spPr/>
    </dgm:pt>
    <dgm:pt modelId="{3FAAAD62-D180-488B-89BB-CE8C3BBFB5D2}">
      <dgm:prSet phldrT="[Text]" custT="1">
        <dgm:style>
          <a:lnRef idx="2">
            <a:schemeClr val="accent3"/>
          </a:lnRef>
          <a:fillRef idx="1">
            <a:schemeClr val="lt1"/>
          </a:fillRef>
          <a:effectRef idx="0">
            <a:schemeClr val="accent3"/>
          </a:effectRef>
          <a:fontRef idx="minor">
            <a:schemeClr val="dk1"/>
          </a:fontRef>
        </dgm:style>
      </dgm:prSet>
      <dgm:spPr>
        <a:xfrm>
          <a:off x="211" y="448834"/>
          <a:ext cx="1072828" cy="696180"/>
        </a:xfrm>
        <a:solidFill>
          <a:sysClr val="window" lastClr="FFFFFF"/>
        </a:solidFill>
        <a:ln w="12700" cap="flat" cmpd="sng" algn="ctr">
          <a:solidFill>
            <a:srgbClr val="A5A5A5"/>
          </a:solidFill>
          <a:prstDash val="solid"/>
          <a:miter lim="800000"/>
        </a:ln>
        <a:effectLst/>
      </dgm:spPr>
      <dgm:t>
        <a:bodyPr/>
        <a:lstStyle/>
        <a:p>
          <a:pPr algn="ctr">
            <a:buNone/>
          </a:pPr>
          <a:r>
            <a:rPr lang="en-US" sz="1200" b="1">
              <a:solidFill>
                <a:sysClr val="windowText" lastClr="000000"/>
              </a:solidFill>
              <a:latin typeface="Times New Roman" panose="02020603050405020304" pitchFamily="18" charset="0"/>
              <a:ea typeface="+mn-ea"/>
              <a:cs typeface="Times New Roman" panose="02020603050405020304" pitchFamily="18" charset="0"/>
            </a:rPr>
            <a:t>Knowledge </a:t>
          </a:r>
        </a:p>
      </dgm:t>
    </dgm:pt>
    <dgm:pt modelId="{C523CCEE-6954-4809-A93C-1C914AF59392}" type="parTrans" cxnId="{06B8675B-0E0F-4ED8-9497-B9B973FD6F5B}">
      <dgm:prSet/>
      <dgm:spPr/>
      <dgm:t>
        <a:bodyPr/>
        <a:lstStyle/>
        <a:p>
          <a:pPr algn="ctr"/>
          <a:endParaRPr lang="en-US" sz="1200"/>
        </a:p>
      </dgm:t>
    </dgm:pt>
    <dgm:pt modelId="{3877A397-8DE4-4009-A95D-8E911771E3E2}" type="sibTrans" cxnId="{06B8675B-0E0F-4ED8-9497-B9B973FD6F5B}">
      <dgm:prSet custT="1">
        <dgm:style>
          <a:lnRef idx="2">
            <a:schemeClr val="accent3"/>
          </a:lnRef>
          <a:fillRef idx="1">
            <a:schemeClr val="lt1"/>
          </a:fillRef>
          <a:effectRef idx="0">
            <a:schemeClr val="accent3"/>
          </a:effectRef>
          <a:fontRef idx="minor">
            <a:schemeClr val="dk1"/>
          </a:fontRef>
        </dgm:style>
      </dgm:prSet>
      <dgm:spPr>
        <a:xfrm>
          <a:off x="1129569" y="595032"/>
          <a:ext cx="403784" cy="403784"/>
        </a:xfrm>
        <a:solidFill>
          <a:sysClr val="window" lastClr="FFFFFF"/>
        </a:solidFill>
        <a:ln w="12700" cap="flat" cmpd="sng" algn="ctr">
          <a:solidFill>
            <a:srgbClr val="A5A5A5"/>
          </a:solidFill>
          <a:prstDash val="solid"/>
          <a:miter lim="800000"/>
        </a:ln>
        <a:effectLst/>
      </dgm:spPr>
      <dgm:t>
        <a:bodyPr/>
        <a:lstStyle/>
        <a:p>
          <a:pPr algn="ctr">
            <a:buNone/>
          </a:pPr>
          <a:endParaRPr lang="en-US" sz="1200">
            <a:solidFill>
              <a:sysClr val="windowText" lastClr="000000"/>
            </a:solidFill>
            <a:latin typeface="Times New Roman" panose="02020603050405020304" pitchFamily="18" charset="0"/>
            <a:ea typeface="+mn-ea"/>
            <a:cs typeface="Times New Roman" panose="02020603050405020304" pitchFamily="18" charset="0"/>
          </a:endParaRPr>
        </a:p>
      </dgm:t>
    </dgm:pt>
    <dgm:pt modelId="{AB568BEA-EE68-404E-906F-B407AF261A7C}">
      <dgm:prSet phldrT="[Text]" custT="1">
        <dgm:style>
          <a:lnRef idx="2">
            <a:schemeClr val="accent3"/>
          </a:lnRef>
          <a:fillRef idx="1">
            <a:schemeClr val="lt1"/>
          </a:fillRef>
          <a:effectRef idx="0">
            <a:schemeClr val="accent3"/>
          </a:effectRef>
          <a:fontRef idx="minor">
            <a:schemeClr val="dk1"/>
          </a:fontRef>
        </dgm:style>
      </dgm:prSet>
      <dgm:spPr>
        <a:xfrm>
          <a:off x="1589884" y="448834"/>
          <a:ext cx="799410" cy="696180"/>
        </a:xfrm>
        <a:solidFill>
          <a:sysClr val="window" lastClr="FFFFFF"/>
        </a:solidFill>
        <a:ln w="12700" cap="flat" cmpd="sng" algn="ctr">
          <a:solidFill>
            <a:srgbClr val="A5A5A5"/>
          </a:solidFill>
          <a:prstDash val="solid"/>
          <a:miter lim="800000"/>
        </a:ln>
        <a:effectLst/>
      </dgm:spPr>
      <dgm:t>
        <a:bodyPr/>
        <a:lstStyle/>
        <a:p>
          <a:pPr algn="ctr">
            <a:buNone/>
          </a:pPr>
          <a:r>
            <a:rPr lang="en-US" sz="1200" b="1">
              <a:solidFill>
                <a:sysClr val="windowText" lastClr="000000"/>
              </a:solidFill>
              <a:latin typeface="Times New Roman" panose="02020603050405020304" pitchFamily="18" charset="0"/>
              <a:ea typeface="+mn-ea"/>
              <a:cs typeface="Times New Roman" panose="02020603050405020304" pitchFamily="18" charset="0"/>
            </a:rPr>
            <a:t>Skills</a:t>
          </a:r>
        </a:p>
      </dgm:t>
    </dgm:pt>
    <dgm:pt modelId="{808BD1A7-95FD-42E9-8634-9E28C50FA98B}" type="parTrans" cxnId="{E3A3EA64-BF9A-41C7-A00D-1E9EDDB64FDC}">
      <dgm:prSet/>
      <dgm:spPr/>
      <dgm:t>
        <a:bodyPr/>
        <a:lstStyle/>
        <a:p>
          <a:pPr algn="ctr"/>
          <a:endParaRPr lang="en-US" sz="1200"/>
        </a:p>
      </dgm:t>
    </dgm:pt>
    <dgm:pt modelId="{52853FA1-2087-46D1-92ED-61210B106732}" type="sibTrans" cxnId="{E3A3EA64-BF9A-41C7-A00D-1E9EDDB64FDC}">
      <dgm:prSet custT="1">
        <dgm:style>
          <a:lnRef idx="2">
            <a:schemeClr val="accent3"/>
          </a:lnRef>
          <a:fillRef idx="1">
            <a:schemeClr val="lt1"/>
          </a:fillRef>
          <a:effectRef idx="0">
            <a:schemeClr val="accent3"/>
          </a:effectRef>
          <a:fontRef idx="minor">
            <a:schemeClr val="dk1"/>
          </a:fontRef>
        </dgm:style>
      </dgm:prSet>
      <dgm:spPr>
        <a:xfrm>
          <a:off x="2445824" y="595032"/>
          <a:ext cx="403784" cy="403784"/>
        </a:xfrm>
        <a:solidFill>
          <a:sysClr val="window" lastClr="FFFFFF"/>
        </a:solidFill>
        <a:ln w="12700" cap="flat" cmpd="sng" algn="ctr">
          <a:solidFill>
            <a:srgbClr val="A5A5A5"/>
          </a:solidFill>
          <a:prstDash val="solid"/>
          <a:miter lim="800000"/>
        </a:ln>
        <a:effectLst/>
      </dgm:spPr>
      <dgm:t>
        <a:bodyPr/>
        <a:lstStyle/>
        <a:p>
          <a:pPr algn="ctr">
            <a:buNone/>
          </a:pPr>
          <a:endParaRPr lang="en-US" sz="1200">
            <a:solidFill>
              <a:sysClr val="windowText" lastClr="000000"/>
            </a:solidFill>
            <a:latin typeface="Times New Roman" panose="02020603050405020304" pitchFamily="18" charset="0"/>
            <a:ea typeface="+mn-ea"/>
            <a:cs typeface="Times New Roman" panose="02020603050405020304" pitchFamily="18" charset="0"/>
          </a:endParaRPr>
        </a:p>
      </dgm:t>
    </dgm:pt>
    <dgm:pt modelId="{FA425B11-C31E-4447-A6F7-6F6F652CA560}">
      <dgm:prSet phldrT="[Text]" custT="1">
        <dgm:style>
          <a:lnRef idx="2">
            <a:schemeClr val="accent3"/>
          </a:lnRef>
          <a:fillRef idx="1">
            <a:schemeClr val="lt1"/>
          </a:fillRef>
          <a:effectRef idx="0">
            <a:schemeClr val="accent3"/>
          </a:effectRef>
          <a:fontRef idx="minor">
            <a:schemeClr val="dk1"/>
          </a:fontRef>
        </dgm:style>
      </dgm:prSet>
      <dgm:spPr>
        <a:xfrm>
          <a:off x="4588613" y="461985"/>
          <a:ext cx="1171894" cy="669879"/>
        </a:xfrm>
        <a:solidFill>
          <a:sysClr val="window" lastClr="FFFFFF"/>
        </a:solidFill>
        <a:ln w="12700" cap="flat" cmpd="sng" algn="ctr">
          <a:solidFill>
            <a:srgbClr val="A5A5A5"/>
          </a:solidFill>
          <a:prstDash val="solid"/>
          <a:miter lim="800000"/>
        </a:ln>
        <a:effectLst/>
      </dgm:spPr>
      <dgm:t>
        <a:bodyPr/>
        <a:lstStyle/>
        <a:p>
          <a:pPr algn="ctr">
            <a:buNone/>
          </a:pPr>
          <a:r>
            <a:rPr lang="en-US" sz="1200" b="1">
              <a:solidFill>
                <a:sysClr val="windowText" lastClr="000000"/>
              </a:solidFill>
              <a:latin typeface="Times New Roman" panose="02020603050405020304" pitchFamily="18" charset="0"/>
              <a:ea typeface="+mn-ea"/>
              <a:cs typeface="Times New Roman" panose="02020603050405020304" pitchFamily="18" charset="0"/>
            </a:rPr>
            <a:t>Assessment Literacy</a:t>
          </a:r>
        </a:p>
      </dgm:t>
    </dgm:pt>
    <dgm:pt modelId="{DCB3AFFD-3672-4E94-9847-86846CF2B78A}" type="parTrans" cxnId="{07BC3CBC-1595-4A77-BDAA-977490A85C87}">
      <dgm:prSet/>
      <dgm:spPr/>
      <dgm:t>
        <a:bodyPr/>
        <a:lstStyle/>
        <a:p>
          <a:pPr algn="ctr"/>
          <a:endParaRPr lang="en-US" sz="1200"/>
        </a:p>
      </dgm:t>
    </dgm:pt>
    <dgm:pt modelId="{B9C3A774-3BDF-4F66-B367-1A909A3F94B2}" type="sibTrans" cxnId="{07BC3CBC-1595-4A77-BDAA-977490A85C87}">
      <dgm:prSet/>
      <dgm:spPr/>
      <dgm:t>
        <a:bodyPr/>
        <a:lstStyle/>
        <a:p>
          <a:pPr algn="ctr"/>
          <a:endParaRPr lang="en-US" sz="1200"/>
        </a:p>
      </dgm:t>
    </dgm:pt>
    <dgm:pt modelId="{745866AE-A3E8-49DA-A8F5-AD47A3845EAD}">
      <dgm:prSet custT="1">
        <dgm:style>
          <a:lnRef idx="2">
            <a:schemeClr val="accent3"/>
          </a:lnRef>
          <a:fillRef idx="1">
            <a:schemeClr val="lt1"/>
          </a:fillRef>
          <a:effectRef idx="0">
            <a:schemeClr val="accent3"/>
          </a:effectRef>
          <a:fontRef idx="minor">
            <a:schemeClr val="dk1"/>
          </a:fontRef>
        </dgm:style>
      </dgm:prSet>
      <dgm:spPr>
        <a:xfrm>
          <a:off x="2906139" y="448834"/>
          <a:ext cx="1165629" cy="696180"/>
        </a:xfrm>
        <a:solidFill>
          <a:sysClr val="window" lastClr="FFFFFF"/>
        </a:solidFill>
        <a:ln w="12700" cap="flat" cmpd="sng" algn="ctr">
          <a:solidFill>
            <a:srgbClr val="A5A5A5"/>
          </a:solidFill>
          <a:prstDash val="solid"/>
          <a:miter lim="800000"/>
        </a:ln>
        <a:effectLst/>
      </dgm:spPr>
      <dgm:t>
        <a:bodyPr/>
        <a:lstStyle/>
        <a:p>
          <a:pPr algn="ctr">
            <a:buNone/>
          </a:pPr>
          <a:r>
            <a:rPr lang="en-US" sz="1200" b="1">
              <a:solidFill>
                <a:sysClr val="windowText" lastClr="000000"/>
              </a:solidFill>
              <a:latin typeface="Times New Roman" panose="02020603050405020304" pitchFamily="18" charset="0"/>
              <a:ea typeface="+mn-ea"/>
              <a:cs typeface="Times New Roman" panose="02020603050405020304" pitchFamily="18" charset="0"/>
            </a:rPr>
            <a:t>Dispositions</a:t>
          </a:r>
        </a:p>
      </dgm:t>
    </dgm:pt>
    <dgm:pt modelId="{55581BE7-2E91-4722-AFEC-D23AC28EE511}" type="parTrans" cxnId="{B98B4EBD-21FD-4DB7-BCA4-7D825A7C3B52}">
      <dgm:prSet/>
      <dgm:spPr/>
      <dgm:t>
        <a:bodyPr/>
        <a:lstStyle/>
        <a:p>
          <a:pPr algn="ctr"/>
          <a:endParaRPr lang="en-US" sz="1200"/>
        </a:p>
      </dgm:t>
    </dgm:pt>
    <dgm:pt modelId="{844522E0-87DA-4997-94F2-D1C4A9AE688D}" type="sibTrans" cxnId="{B98B4EBD-21FD-4DB7-BCA4-7D825A7C3B52}">
      <dgm:prSet custT="1">
        <dgm:style>
          <a:lnRef idx="2">
            <a:schemeClr val="accent3"/>
          </a:lnRef>
          <a:fillRef idx="1">
            <a:schemeClr val="lt1"/>
          </a:fillRef>
          <a:effectRef idx="0">
            <a:schemeClr val="accent3"/>
          </a:effectRef>
          <a:fontRef idx="minor">
            <a:schemeClr val="dk1"/>
          </a:fontRef>
        </dgm:style>
      </dgm:prSet>
      <dgm:spPr>
        <a:xfrm>
          <a:off x="4128298" y="595032"/>
          <a:ext cx="403784" cy="403784"/>
        </a:xfrm>
        <a:solidFill>
          <a:sysClr val="window" lastClr="FFFFFF"/>
        </a:solidFill>
        <a:ln w="12700" cap="flat" cmpd="sng" algn="ctr">
          <a:solidFill>
            <a:srgbClr val="A5A5A5"/>
          </a:solidFill>
          <a:prstDash val="solid"/>
          <a:miter lim="800000"/>
        </a:ln>
        <a:effectLst/>
      </dgm:spPr>
      <dgm:t>
        <a:bodyPr/>
        <a:lstStyle/>
        <a:p>
          <a:pPr algn="ctr">
            <a:buNone/>
          </a:pPr>
          <a:endParaRPr lang="en-US" sz="1200">
            <a:solidFill>
              <a:sysClr val="windowText" lastClr="000000"/>
            </a:solidFill>
            <a:latin typeface="Times New Roman" panose="02020603050405020304" pitchFamily="18" charset="0"/>
            <a:ea typeface="+mn-ea"/>
            <a:cs typeface="Times New Roman" panose="02020603050405020304" pitchFamily="18" charset="0"/>
          </a:endParaRPr>
        </a:p>
      </dgm:t>
    </dgm:pt>
    <dgm:pt modelId="{DDB55CC7-3BE9-42A5-ACD2-8E1040236083}" type="pres">
      <dgm:prSet presAssocID="{87F1EA61-231F-4722-ACAA-34F754FCCE84}" presName="linearFlow" presStyleCnt="0">
        <dgm:presLayoutVars>
          <dgm:dir/>
          <dgm:resizeHandles val="exact"/>
        </dgm:presLayoutVars>
      </dgm:prSet>
      <dgm:spPr/>
    </dgm:pt>
    <dgm:pt modelId="{4269905E-D75F-4C2F-B14A-CF6153AE2960}" type="pres">
      <dgm:prSet presAssocID="{3FAAAD62-D180-488B-89BB-CE8C3BBFB5D2}" presName="node" presStyleLbl="node1" presStyleIdx="0" presStyleCnt="4" custScaleX="154102">
        <dgm:presLayoutVars>
          <dgm:bulletEnabled val="1"/>
        </dgm:presLayoutVars>
      </dgm:prSet>
      <dgm:spPr>
        <a:prstGeom prst="ellipse">
          <a:avLst/>
        </a:prstGeom>
      </dgm:spPr>
      <dgm:t>
        <a:bodyPr/>
        <a:lstStyle/>
        <a:p>
          <a:endParaRPr lang="fr-FR"/>
        </a:p>
      </dgm:t>
    </dgm:pt>
    <dgm:pt modelId="{07BDA40B-D161-4084-8984-97D2A912B824}" type="pres">
      <dgm:prSet presAssocID="{3877A397-8DE4-4009-A95D-8E911771E3E2}" presName="spacerL" presStyleCnt="0"/>
      <dgm:spPr/>
    </dgm:pt>
    <dgm:pt modelId="{B77F4340-382A-4F43-AE69-525335B70357}" type="pres">
      <dgm:prSet presAssocID="{3877A397-8DE4-4009-A95D-8E911771E3E2}" presName="sibTrans" presStyleLbl="sibTrans2D1" presStyleIdx="0" presStyleCnt="3"/>
      <dgm:spPr>
        <a:prstGeom prst="mathPlus">
          <a:avLst/>
        </a:prstGeom>
      </dgm:spPr>
      <dgm:t>
        <a:bodyPr/>
        <a:lstStyle/>
        <a:p>
          <a:endParaRPr lang="fr-FR"/>
        </a:p>
      </dgm:t>
    </dgm:pt>
    <dgm:pt modelId="{105E8E48-F057-4CF9-86A4-B775DD8E1B44}" type="pres">
      <dgm:prSet presAssocID="{3877A397-8DE4-4009-A95D-8E911771E3E2}" presName="spacerR" presStyleCnt="0"/>
      <dgm:spPr/>
    </dgm:pt>
    <dgm:pt modelId="{BD7E2A4F-87EC-4023-A712-1E200F3D5CD8}" type="pres">
      <dgm:prSet presAssocID="{AB568BEA-EE68-404E-906F-B407AF261A7C}" presName="node" presStyleLbl="node1" presStyleIdx="1" presStyleCnt="4" custScaleX="114828">
        <dgm:presLayoutVars>
          <dgm:bulletEnabled val="1"/>
        </dgm:presLayoutVars>
      </dgm:prSet>
      <dgm:spPr>
        <a:prstGeom prst="ellipse">
          <a:avLst/>
        </a:prstGeom>
      </dgm:spPr>
      <dgm:t>
        <a:bodyPr/>
        <a:lstStyle/>
        <a:p>
          <a:endParaRPr lang="fr-FR"/>
        </a:p>
      </dgm:t>
    </dgm:pt>
    <dgm:pt modelId="{5B988054-59F4-4EE6-966E-F63272297BA4}" type="pres">
      <dgm:prSet presAssocID="{52853FA1-2087-46D1-92ED-61210B106732}" presName="spacerL" presStyleCnt="0"/>
      <dgm:spPr/>
    </dgm:pt>
    <dgm:pt modelId="{B51EB91B-6580-4E0D-90CF-22562F765CDF}" type="pres">
      <dgm:prSet presAssocID="{52853FA1-2087-46D1-92ED-61210B106732}" presName="sibTrans" presStyleLbl="sibTrans2D1" presStyleIdx="1" presStyleCnt="3"/>
      <dgm:spPr>
        <a:prstGeom prst="mathPlus">
          <a:avLst/>
        </a:prstGeom>
      </dgm:spPr>
      <dgm:t>
        <a:bodyPr/>
        <a:lstStyle/>
        <a:p>
          <a:endParaRPr lang="fr-FR"/>
        </a:p>
      </dgm:t>
    </dgm:pt>
    <dgm:pt modelId="{C3EE7104-3F2D-4846-B82F-5D4058C97B4B}" type="pres">
      <dgm:prSet presAssocID="{52853FA1-2087-46D1-92ED-61210B106732}" presName="spacerR" presStyleCnt="0"/>
      <dgm:spPr/>
    </dgm:pt>
    <dgm:pt modelId="{76A0EEE4-0EFA-4263-B021-4E06F48CC193}" type="pres">
      <dgm:prSet presAssocID="{745866AE-A3E8-49DA-A8F5-AD47A3845EAD}" presName="node" presStyleLbl="node1" presStyleIdx="2" presStyleCnt="4" custScaleX="167432">
        <dgm:presLayoutVars>
          <dgm:bulletEnabled val="1"/>
        </dgm:presLayoutVars>
      </dgm:prSet>
      <dgm:spPr>
        <a:prstGeom prst="ellipse">
          <a:avLst/>
        </a:prstGeom>
      </dgm:spPr>
      <dgm:t>
        <a:bodyPr/>
        <a:lstStyle/>
        <a:p>
          <a:endParaRPr lang="fr-FR"/>
        </a:p>
      </dgm:t>
    </dgm:pt>
    <dgm:pt modelId="{89EABFC1-DE0C-40FF-A5C4-3C49A2047EEE}" type="pres">
      <dgm:prSet presAssocID="{844522E0-87DA-4997-94F2-D1C4A9AE688D}" presName="spacerL" presStyleCnt="0"/>
      <dgm:spPr/>
    </dgm:pt>
    <dgm:pt modelId="{B92FFDFC-4D3A-43FE-8D24-6D289E73FD85}" type="pres">
      <dgm:prSet presAssocID="{844522E0-87DA-4997-94F2-D1C4A9AE688D}" presName="sibTrans" presStyleLbl="sibTrans2D1" presStyleIdx="2" presStyleCnt="3"/>
      <dgm:spPr>
        <a:prstGeom prst="mathEqual">
          <a:avLst/>
        </a:prstGeom>
      </dgm:spPr>
      <dgm:t>
        <a:bodyPr/>
        <a:lstStyle/>
        <a:p>
          <a:endParaRPr lang="fr-FR"/>
        </a:p>
      </dgm:t>
    </dgm:pt>
    <dgm:pt modelId="{66A0DD2C-3C1D-4F25-B7AB-C4F7236A63DC}" type="pres">
      <dgm:prSet presAssocID="{844522E0-87DA-4997-94F2-D1C4A9AE688D}" presName="spacerR" presStyleCnt="0"/>
      <dgm:spPr/>
    </dgm:pt>
    <dgm:pt modelId="{A32316F8-045E-4D36-8189-5FB3C62DA1BC}" type="pres">
      <dgm:prSet presAssocID="{FA425B11-C31E-4447-A6F7-6F6F652CA560}" presName="node" presStyleLbl="node1" presStyleIdx="3" presStyleCnt="4" custScaleX="168332" custScaleY="96222">
        <dgm:presLayoutVars>
          <dgm:bulletEnabled val="1"/>
        </dgm:presLayoutVars>
      </dgm:prSet>
      <dgm:spPr>
        <a:prstGeom prst="ellipse">
          <a:avLst/>
        </a:prstGeom>
      </dgm:spPr>
      <dgm:t>
        <a:bodyPr/>
        <a:lstStyle/>
        <a:p>
          <a:endParaRPr lang="fr-FR"/>
        </a:p>
      </dgm:t>
    </dgm:pt>
  </dgm:ptLst>
  <dgm:cxnLst>
    <dgm:cxn modelId="{7EBD7F30-C74B-48AB-BD81-FCF522E9AFC6}" type="presOf" srcId="{FA425B11-C31E-4447-A6F7-6F6F652CA560}" destId="{A32316F8-045E-4D36-8189-5FB3C62DA1BC}" srcOrd="0" destOrd="0" presId="urn:microsoft.com/office/officeart/2005/8/layout/equation1"/>
    <dgm:cxn modelId="{B98B4EBD-21FD-4DB7-BCA4-7D825A7C3B52}" srcId="{87F1EA61-231F-4722-ACAA-34F754FCCE84}" destId="{745866AE-A3E8-49DA-A8F5-AD47A3845EAD}" srcOrd="2" destOrd="0" parTransId="{55581BE7-2E91-4722-AFEC-D23AC28EE511}" sibTransId="{844522E0-87DA-4997-94F2-D1C4A9AE688D}"/>
    <dgm:cxn modelId="{018BE298-4C15-42BC-AA22-4B5A36724AAF}" type="presOf" srcId="{52853FA1-2087-46D1-92ED-61210B106732}" destId="{B51EB91B-6580-4E0D-90CF-22562F765CDF}" srcOrd="0" destOrd="0" presId="urn:microsoft.com/office/officeart/2005/8/layout/equation1"/>
    <dgm:cxn modelId="{F80FAC58-4B5A-4FF7-AD26-22DEE41CFAC5}" type="presOf" srcId="{844522E0-87DA-4997-94F2-D1C4A9AE688D}" destId="{B92FFDFC-4D3A-43FE-8D24-6D289E73FD85}" srcOrd="0" destOrd="0" presId="urn:microsoft.com/office/officeart/2005/8/layout/equation1"/>
    <dgm:cxn modelId="{91C36142-8902-42A3-AD0A-5248E4EB74C6}" type="presOf" srcId="{745866AE-A3E8-49DA-A8F5-AD47A3845EAD}" destId="{76A0EEE4-0EFA-4263-B021-4E06F48CC193}" srcOrd="0" destOrd="0" presId="urn:microsoft.com/office/officeart/2005/8/layout/equation1"/>
    <dgm:cxn modelId="{07BC3CBC-1595-4A77-BDAA-977490A85C87}" srcId="{87F1EA61-231F-4722-ACAA-34F754FCCE84}" destId="{FA425B11-C31E-4447-A6F7-6F6F652CA560}" srcOrd="3" destOrd="0" parTransId="{DCB3AFFD-3672-4E94-9847-86846CF2B78A}" sibTransId="{B9C3A774-3BDF-4F66-B367-1A909A3F94B2}"/>
    <dgm:cxn modelId="{0F5A325C-185D-4C59-B462-84AD64593DE1}" type="presOf" srcId="{87F1EA61-231F-4722-ACAA-34F754FCCE84}" destId="{DDB55CC7-3BE9-42A5-ACD2-8E1040236083}" srcOrd="0" destOrd="0" presId="urn:microsoft.com/office/officeart/2005/8/layout/equation1"/>
    <dgm:cxn modelId="{5003F324-D29A-4553-A1A9-F3865D3DAE06}" type="presOf" srcId="{AB568BEA-EE68-404E-906F-B407AF261A7C}" destId="{BD7E2A4F-87EC-4023-A712-1E200F3D5CD8}" srcOrd="0" destOrd="0" presId="urn:microsoft.com/office/officeart/2005/8/layout/equation1"/>
    <dgm:cxn modelId="{F67D4502-2A50-4D0F-A7C7-6655C530254B}" type="presOf" srcId="{3877A397-8DE4-4009-A95D-8E911771E3E2}" destId="{B77F4340-382A-4F43-AE69-525335B70357}" srcOrd="0" destOrd="0" presId="urn:microsoft.com/office/officeart/2005/8/layout/equation1"/>
    <dgm:cxn modelId="{CC8E9006-D614-4FD2-8D7B-E9A299EC45D8}" type="presOf" srcId="{3FAAAD62-D180-488B-89BB-CE8C3BBFB5D2}" destId="{4269905E-D75F-4C2F-B14A-CF6153AE2960}" srcOrd="0" destOrd="0" presId="urn:microsoft.com/office/officeart/2005/8/layout/equation1"/>
    <dgm:cxn modelId="{06B8675B-0E0F-4ED8-9497-B9B973FD6F5B}" srcId="{87F1EA61-231F-4722-ACAA-34F754FCCE84}" destId="{3FAAAD62-D180-488B-89BB-CE8C3BBFB5D2}" srcOrd="0" destOrd="0" parTransId="{C523CCEE-6954-4809-A93C-1C914AF59392}" sibTransId="{3877A397-8DE4-4009-A95D-8E911771E3E2}"/>
    <dgm:cxn modelId="{E3A3EA64-BF9A-41C7-A00D-1E9EDDB64FDC}" srcId="{87F1EA61-231F-4722-ACAA-34F754FCCE84}" destId="{AB568BEA-EE68-404E-906F-B407AF261A7C}" srcOrd="1" destOrd="0" parTransId="{808BD1A7-95FD-42E9-8634-9E28C50FA98B}" sibTransId="{52853FA1-2087-46D1-92ED-61210B106732}"/>
    <dgm:cxn modelId="{02648002-DC50-49F1-9950-076CE31E6600}" type="presParOf" srcId="{DDB55CC7-3BE9-42A5-ACD2-8E1040236083}" destId="{4269905E-D75F-4C2F-B14A-CF6153AE2960}" srcOrd="0" destOrd="0" presId="urn:microsoft.com/office/officeart/2005/8/layout/equation1"/>
    <dgm:cxn modelId="{9D048FF2-FDD7-4B72-B3F2-405351B2B1B8}" type="presParOf" srcId="{DDB55CC7-3BE9-42A5-ACD2-8E1040236083}" destId="{07BDA40B-D161-4084-8984-97D2A912B824}" srcOrd="1" destOrd="0" presId="urn:microsoft.com/office/officeart/2005/8/layout/equation1"/>
    <dgm:cxn modelId="{25233A37-7E60-4037-9AFC-44056D6CB152}" type="presParOf" srcId="{DDB55CC7-3BE9-42A5-ACD2-8E1040236083}" destId="{B77F4340-382A-4F43-AE69-525335B70357}" srcOrd="2" destOrd="0" presId="urn:microsoft.com/office/officeart/2005/8/layout/equation1"/>
    <dgm:cxn modelId="{47EA3483-D09E-4E78-A4E9-B7166EDC5CCE}" type="presParOf" srcId="{DDB55CC7-3BE9-42A5-ACD2-8E1040236083}" destId="{105E8E48-F057-4CF9-86A4-B775DD8E1B44}" srcOrd="3" destOrd="0" presId="urn:microsoft.com/office/officeart/2005/8/layout/equation1"/>
    <dgm:cxn modelId="{FA9C0DD7-070D-4174-A4C7-CD89ED6B7D1C}" type="presParOf" srcId="{DDB55CC7-3BE9-42A5-ACD2-8E1040236083}" destId="{BD7E2A4F-87EC-4023-A712-1E200F3D5CD8}" srcOrd="4" destOrd="0" presId="urn:microsoft.com/office/officeart/2005/8/layout/equation1"/>
    <dgm:cxn modelId="{953B65B4-566B-44CD-AB22-646478BF479F}" type="presParOf" srcId="{DDB55CC7-3BE9-42A5-ACD2-8E1040236083}" destId="{5B988054-59F4-4EE6-966E-F63272297BA4}" srcOrd="5" destOrd="0" presId="urn:microsoft.com/office/officeart/2005/8/layout/equation1"/>
    <dgm:cxn modelId="{78BC442A-1FB9-408F-A0D5-F1A02B46C26A}" type="presParOf" srcId="{DDB55CC7-3BE9-42A5-ACD2-8E1040236083}" destId="{B51EB91B-6580-4E0D-90CF-22562F765CDF}" srcOrd="6" destOrd="0" presId="urn:microsoft.com/office/officeart/2005/8/layout/equation1"/>
    <dgm:cxn modelId="{9D95296A-9CC6-47E6-B173-9D3039941058}" type="presParOf" srcId="{DDB55CC7-3BE9-42A5-ACD2-8E1040236083}" destId="{C3EE7104-3F2D-4846-B82F-5D4058C97B4B}" srcOrd="7" destOrd="0" presId="urn:microsoft.com/office/officeart/2005/8/layout/equation1"/>
    <dgm:cxn modelId="{000C7A15-221F-496E-B8FB-373825566980}" type="presParOf" srcId="{DDB55CC7-3BE9-42A5-ACD2-8E1040236083}" destId="{76A0EEE4-0EFA-4263-B021-4E06F48CC193}" srcOrd="8" destOrd="0" presId="urn:microsoft.com/office/officeart/2005/8/layout/equation1"/>
    <dgm:cxn modelId="{D167AAE9-5CEF-4A14-8A40-DE6BAE278EE9}" type="presParOf" srcId="{DDB55CC7-3BE9-42A5-ACD2-8E1040236083}" destId="{89EABFC1-DE0C-40FF-A5C4-3C49A2047EEE}" srcOrd="9" destOrd="0" presId="urn:microsoft.com/office/officeart/2005/8/layout/equation1"/>
    <dgm:cxn modelId="{D6FAEE6B-D2BA-4CE3-9A12-FA6C8BAC2AE3}" type="presParOf" srcId="{DDB55CC7-3BE9-42A5-ACD2-8E1040236083}" destId="{B92FFDFC-4D3A-43FE-8D24-6D289E73FD85}" srcOrd="10" destOrd="0" presId="urn:microsoft.com/office/officeart/2005/8/layout/equation1"/>
    <dgm:cxn modelId="{E793C816-5990-4B9A-84E7-F37C0EC2BE0A}" type="presParOf" srcId="{DDB55CC7-3BE9-42A5-ACD2-8E1040236083}" destId="{66A0DD2C-3C1D-4F25-B7AB-C4F7236A63DC}" srcOrd="11" destOrd="0" presId="urn:microsoft.com/office/officeart/2005/8/layout/equation1"/>
    <dgm:cxn modelId="{71C1CCE5-AE01-42B8-AE4A-E60F9AE266BB}" type="presParOf" srcId="{DDB55CC7-3BE9-42A5-ACD2-8E1040236083}" destId="{A32316F8-045E-4D36-8189-5FB3C62DA1BC}" srcOrd="12" destOrd="0" presId="urn:microsoft.com/office/officeart/2005/8/layout/equation1"/>
  </dgm:cxnLst>
  <dgm:bg/>
  <dgm:whole/>
  <dgm:extLst>
    <a:ext uri="http://schemas.microsoft.com/office/drawing/2008/diagram">
      <dsp:dataModelExt xmlns:dsp="http://schemas.microsoft.com/office/drawing/2008/diagram" relId="rId67"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C824D3FC-BF32-463C-9CAD-3E148EE0EBA8}" type="doc">
      <dgm:prSet loTypeId="urn:microsoft.com/office/officeart/2009/layout/CirclePictureHierarchy" loCatId="picture" qsTypeId="urn:microsoft.com/office/officeart/2005/8/quickstyle/simple1" qsCatId="simple" csTypeId="urn:microsoft.com/office/officeart/2005/8/colors/accent1_2" csCatId="accent1" phldr="1"/>
      <dgm:spPr/>
      <dgm:t>
        <a:bodyPr/>
        <a:lstStyle/>
        <a:p>
          <a:endParaRPr lang="en-US"/>
        </a:p>
      </dgm:t>
    </dgm:pt>
    <dgm:pt modelId="{491653B2-99E2-4DED-A113-4AB957289BEC}">
      <dgm:prSet phldrT="[Text]" custT="1"/>
      <dgm:spPr>
        <a:xfrm>
          <a:off x="3026896" y="228056"/>
          <a:ext cx="1134784" cy="756523"/>
        </a:xfrm>
        <a:noFill/>
        <a:ln>
          <a:noFill/>
        </a:ln>
        <a:effectLst/>
      </dgm:spPr>
      <dgm:t>
        <a:bodyPr/>
        <a:lstStyle/>
        <a:p>
          <a:pPr algn="l">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Assessment Literacy</a:t>
          </a:r>
        </a:p>
      </dgm:t>
    </dgm:pt>
    <dgm:pt modelId="{6C3292AC-384C-4737-A521-F05E4FF60DAE}" type="parTrans" cxnId="{7E91CEF0-04EB-48BA-B593-54569EC94A87}">
      <dgm:prSet/>
      <dgm:spPr/>
      <dgm:t>
        <a:bodyPr/>
        <a:lstStyle/>
        <a:p>
          <a:pPr algn="l"/>
          <a:endParaRPr lang="en-US" sz="1200">
            <a:latin typeface="Times New Roman" panose="02020603050405020304" pitchFamily="18" charset="0"/>
            <a:cs typeface="Times New Roman" panose="02020603050405020304" pitchFamily="18" charset="0"/>
          </a:endParaRPr>
        </a:p>
      </dgm:t>
    </dgm:pt>
    <dgm:pt modelId="{0B9A47E2-DA22-443C-8599-69DACEBA12A7}" type="sibTrans" cxnId="{7E91CEF0-04EB-48BA-B593-54569EC94A87}">
      <dgm:prSet/>
      <dgm:spPr/>
      <dgm:t>
        <a:bodyPr/>
        <a:lstStyle/>
        <a:p>
          <a:pPr algn="l"/>
          <a:endParaRPr lang="en-US" sz="1200">
            <a:latin typeface="Times New Roman" panose="02020603050405020304" pitchFamily="18" charset="0"/>
            <a:cs typeface="Times New Roman" panose="02020603050405020304" pitchFamily="18" charset="0"/>
          </a:endParaRPr>
        </a:p>
      </dgm:t>
    </dgm:pt>
    <dgm:pt modelId="{9F9801F8-15CB-45FB-B9BC-4CC9407BDCEA}">
      <dgm:prSet phldrT="[Text]" custT="1"/>
      <dgm:spPr>
        <a:xfrm>
          <a:off x="1513849" y="1222884"/>
          <a:ext cx="1134784" cy="756523"/>
        </a:xfrm>
        <a:noFill/>
        <a:ln>
          <a:noFill/>
        </a:ln>
        <a:effectLst/>
      </dgm:spPr>
      <dgm:t>
        <a:bodyPr/>
        <a:lstStyle/>
        <a:p>
          <a:pPr algn="l">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Skills</a:t>
          </a:r>
        </a:p>
      </dgm:t>
    </dgm:pt>
    <dgm:pt modelId="{8DDAB899-26A0-43E3-9C8A-A042DACD5CB3}" type="parTrans" cxnId="{CAB2FC12-520E-4115-A8E6-DF47CB63E7D3}">
      <dgm:prSet/>
      <dgm:spPr>
        <a:xfrm>
          <a:off x="1135588" y="986470"/>
          <a:ext cx="1513046" cy="452412"/>
        </a:xfrm>
        <a:noFill/>
        <a:ln w="12700" cap="flat" cmpd="sng" algn="ctr">
          <a:solidFill>
            <a:srgbClr val="4472C4">
              <a:shade val="60000"/>
              <a:hueOff val="0"/>
              <a:satOff val="0"/>
              <a:lumOff val="0"/>
              <a:alphaOff val="0"/>
            </a:srgbClr>
          </a:solidFill>
          <a:prstDash val="solid"/>
          <a:miter lim="800000"/>
        </a:ln>
        <a:effectLst/>
      </dgm:spPr>
      <dgm:t>
        <a:bodyPr/>
        <a:lstStyle/>
        <a:p>
          <a:pPr algn="l"/>
          <a:endParaRPr lang="en-US" sz="1200">
            <a:latin typeface="Times New Roman" panose="02020603050405020304" pitchFamily="18" charset="0"/>
            <a:cs typeface="Times New Roman" panose="02020603050405020304" pitchFamily="18" charset="0"/>
          </a:endParaRPr>
        </a:p>
      </dgm:t>
    </dgm:pt>
    <dgm:pt modelId="{5E739842-ABDE-48E6-B6A8-8A25E936B3AB}" type="sibTrans" cxnId="{CAB2FC12-520E-4115-A8E6-DF47CB63E7D3}">
      <dgm:prSet/>
      <dgm:spPr/>
      <dgm:t>
        <a:bodyPr/>
        <a:lstStyle/>
        <a:p>
          <a:pPr algn="l"/>
          <a:endParaRPr lang="en-US" sz="1200">
            <a:latin typeface="Times New Roman" panose="02020603050405020304" pitchFamily="18" charset="0"/>
            <a:cs typeface="Times New Roman" panose="02020603050405020304" pitchFamily="18" charset="0"/>
          </a:endParaRPr>
        </a:p>
      </dgm:t>
    </dgm:pt>
    <dgm:pt modelId="{DB042541-8C7F-4CF5-A3EA-754AAC26CE16}">
      <dgm:prSet phldrT="[Text]" custT="1"/>
      <dgm:spPr>
        <a:xfrm>
          <a:off x="377699" y="2304719"/>
          <a:ext cx="1134784" cy="756523"/>
        </a:xfrm>
        <a:noFill/>
        <a:ln>
          <a:noFill/>
        </a:ln>
        <a:effectLst/>
      </dgm:spPr>
      <dgm:t>
        <a:bodyPr/>
        <a:lstStyle/>
        <a:p>
          <a:pPr algn="l">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Designing Assessment tools</a:t>
          </a:r>
        </a:p>
      </dgm:t>
    </dgm:pt>
    <dgm:pt modelId="{35369E56-320B-456F-9E59-99AD63CAF17B}" type="parTrans" cxnId="{21C1AC1F-ED81-47E7-ABB6-02CB6287682F}">
      <dgm:prSet/>
      <dgm:spPr>
        <a:xfrm>
          <a:off x="189934" y="1767191"/>
          <a:ext cx="945653" cy="664628"/>
        </a:xfrm>
        <a:noFill/>
        <a:ln w="12700" cap="flat" cmpd="sng" algn="ctr">
          <a:solidFill>
            <a:srgbClr val="4472C4">
              <a:shade val="80000"/>
              <a:hueOff val="0"/>
              <a:satOff val="0"/>
              <a:lumOff val="0"/>
              <a:alphaOff val="0"/>
            </a:srgbClr>
          </a:solidFill>
          <a:prstDash val="solid"/>
          <a:miter lim="800000"/>
        </a:ln>
        <a:effectLst/>
      </dgm:spPr>
      <dgm:t>
        <a:bodyPr/>
        <a:lstStyle/>
        <a:p>
          <a:pPr algn="l"/>
          <a:endParaRPr lang="en-US" sz="1200">
            <a:latin typeface="Times New Roman" panose="02020603050405020304" pitchFamily="18" charset="0"/>
            <a:cs typeface="Times New Roman" panose="02020603050405020304" pitchFamily="18" charset="0"/>
          </a:endParaRPr>
        </a:p>
      </dgm:t>
    </dgm:pt>
    <dgm:pt modelId="{3969CF83-3B4B-4307-93D0-DFBC59409B13}" type="sibTrans" cxnId="{21C1AC1F-ED81-47E7-ABB6-02CB6287682F}">
      <dgm:prSet/>
      <dgm:spPr/>
      <dgm:t>
        <a:bodyPr/>
        <a:lstStyle/>
        <a:p>
          <a:pPr algn="l"/>
          <a:endParaRPr lang="en-US" sz="1200">
            <a:latin typeface="Times New Roman" panose="02020603050405020304" pitchFamily="18" charset="0"/>
            <a:cs typeface="Times New Roman" panose="02020603050405020304" pitchFamily="18" charset="0"/>
          </a:endParaRPr>
        </a:p>
      </dgm:t>
    </dgm:pt>
    <dgm:pt modelId="{0301B4D3-167A-4A6C-905D-C967343F00FA}">
      <dgm:prSet phldrT="[Text]" custT="1"/>
      <dgm:spPr>
        <a:xfrm>
          <a:off x="2288049" y="2336471"/>
          <a:ext cx="1134784" cy="756523"/>
        </a:xfrm>
        <a:noFill/>
        <a:ln>
          <a:noFill/>
        </a:ln>
        <a:effectLst/>
      </dgm:spPr>
      <dgm:t>
        <a:bodyPr/>
        <a:lstStyle/>
        <a:p>
          <a:pPr algn="l">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Reflective practices</a:t>
          </a:r>
        </a:p>
      </dgm:t>
    </dgm:pt>
    <dgm:pt modelId="{6E2997D7-B3B0-463E-AE8E-C03DFBC439F7}" type="parTrans" cxnId="{013125E7-31DF-4B61-B20B-97AC3D912887}">
      <dgm:prSet/>
      <dgm:spPr>
        <a:xfrm>
          <a:off x="1135588" y="1767191"/>
          <a:ext cx="945653" cy="664628"/>
        </a:xfrm>
        <a:noFill/>
        <a:ln w="12700" cap="flat" cmpd="sng" algn="ctr">
          <a:solidFill>
            <a:srgbClr val="4472C4">
              <a:shade val="80000"/>
              <a:hueOff val="0"/>
              <a:satOff val="0"/>
              <a:lumOff val="0"/>
              <a:alphaOff val="0"/>
            </a:srgbClr>
          </a:solidFill>
          <a:prstDash val="solid"/>
          <a:miter lim="800000"/>
        </a:ln>
        <a:effectLst/>
      </dgm:spPr>
      <dgm:t>
        <a:bodyPr/>
        <a:lstStyle/>
        <a:p>
          <a:pPr algn="l"/>
          <a:endParaRPr lang="en-US" sz="1200">
            <a:latin typeface="Times New Roman" panose="02020603050405020304" pitchFamily="18" charset="0"/>
            <a:cs typeface="Times New Roman" panose="02020603050405020304" pitchFamily="18" charset="0"/>
          </a:endParaRPr>
        </a:p>
      </dgm:t>
    </dgm:pt>
    <dgm:pt modelId="{66068D35-E5BF-4519-8A1A-DE405FFE7131}" type="sibTrans" cxnId="{013125E7-31DF-4B61-B20B-97AC3D912887}">
      <dgm:prSet/>
      <dgm:spPr/>
      <dgm:t>
        <a:bodyPr/>
        <a:lstStyle/>
        <a:p>
          <a:pPr algn="l"/>
          <a:endParaRPr lang="en-US" sz="1200">
            <a:latin typeface="Times New Roman" panose="02020603050405020304" pitchFamily="18" charset="0"/>
            <a:cs typeface="Times New Roman" panose="02020603050405020304" pitchFamily="18" charset="0"/>
          </a:endParaRPr>
        </a:p>
      </dgm:t>
    </dgm:pt>
    <dgm:pt modelId="{6A30B2D7-9F95-4EFB-9272-F8E005593D7C}">
      <dgm:prSet phldrT="[Text]" custT="1"/>
      <dgm:spPr>
        <a:xfrm>
          <a:off x="4204764" y="1216536"/>
          <a:ext cx="1134784" cy="756523"/>
        </a:xfrm>
        <a:noFill/>
        <a:ln>
          <a:noFill/>
        </a:ln>
        <a:effectLst/>
      </dgm:spPr>
      <dgm:t>
        <a:bodyPr/>
        <a:lstStyle/>
        <a:p>
          <a:pPr algn="l">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Knowledge: conepts and perceptions</a:t>
          </a:r>
        </a:p>
      </dgm:t>
    </dgm:pt>
    <dgm:pt modelId="{C833DAB0-32BF-43C2-BA3F-CF7F3BC6B64C}" type="parTrans" cxnId="{6EAA29B6-1EF0-47B3-8911-88E66A9CE3CB}">
      <dgm:prSet/>
      <dgm:spPr>
        <a:xfrm>
          <a:off x="2648634" y="986470"/>
          <a:ext cx="1323915" cy="452412"/>
        </a:xfrm>
        <a:noFill/>
        <a:ln w="12700" cap="flat" cmpd="sng" algn="ctr">
          <a:solidFill>
            <a:srgbClr val="4472C4">
              <a:shade val="60000"/>
              <a:hueOff val="0"/>
              <a:satOff val="0"/>
              <a:lumOff val="0"/>
              <a:alphaOff val="0"/>
            </a:srgbClr>
          </a:solidFill>
          <a:prstDash val="solid"/>
          <a:miter lim="800000"/>
        </a:ln>
        <a:effectLst/>
      </dgm:spPr>
      <dgm:t>
        <a:bodyPr/>
        <a:lstStyle/>
        <a:p>
          <a:pPr algn="l"/>
          <a:endParaRPr lang="en-US" sz="1200">
            <a:latin typeface="Times New Roman" panose="02020603050405020304" pitchFamily="18" charset="0"/>
            <a:cs typeface="Times New Roman" panose="02020603050405020304" pitchFamily="18" charset="0"/>
          </a:endParaRPr>
        </a:p>
      </dgm:t>
    </dgm:pt>
    <dgm:pt modelId="{42D46AAC-377C-4B9B-BC70-B2DAEEFF2824}" type="sibTrans" cxnId="{6EAA29B6-1EF0-47B3-8911-88E66A9CE3CB}">
      <dgm:prSet/>
      <dgm:spPr/>
      <dgm:t>
        <a:bodyPr/>
        <a:lstStyle/>
        <a:p>
          <a:pPr algn="l"/>
          <a:endParaRPr lang="en-US" sz="1200">
            <a:latin typeface="Times New Roman" panose="02020603050405020304" pitchFamily="18" charset="0"/>
            <a:cs typeface="Times New Roman" panose="02020603050405020304" pitchFamily="18" charset="0"/>
          </a:endParaRPr>
        </a:p>
      </dgm:t>
    </dgm:pt>
    <dgm:pt modelId="{54CA56C2-ABBC-49F7-81E1-01268B3C4464}">
      <dgm:prSet phldrT="[Text]" custT="1"/>
      <dgm:spPr>
        <a:xfrm>
          <a:off x="4236516" y="2279323"/>
          <a:ext cx="1134784" cy="756523"/>
        </a:xfrm>
        <a:noFill/>
        <a:ln>
          <a:noFill/>
        </a:ln>
        <a:effectLst/>
      </dgm:spPr>
      <dgm:t>
        <a:bodyPr/>
        <a:lstStyle/>
        <a:p>
          <a:pPr algn="l">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Dispositions: collaboration and feedback</a:t>
          </a:r>
        </a:p>
      </dgm:t>
    </dgm:pt>
    <dgm:pt modelId="{870BBD9D-472D-4112-A95E-BE41C4369EFC}" type="parTrans" cxnId="{53BA6B3E-B48C-44F5-B12F-3353E4EAD7E1}">
      <dgm:prSet/>
      <dgm:spPr>
        <a:xfrm>
          <a:off x="3926830" y="1767191"/>
          <a:ext cx="91440" cy="664628"/>
        </a:xfrm>
        <a:noFill/>
        <a:ln w="12700" cap="flat" cmpd="sng" algn="ctr">
          <a:solidFill>
            <a:srgbClr val="4472C4">
              <a:shade val="80000"/>
              <a:hueOff val="0"/>
              <a:satOff val="0"/>
              <a:lumOff val="0"/>
              <a:alphaOff val="0"/>
            </a:srgbClr>
          </a:solidFill>
          <a:prstDash val="solid"/>
          <a:miter lim="800000"/>
        </a:ln>
        <a:effectLst/>
      </dgm:spPr>
      <dgm:t>
        <a:bodyPr/>
        <a:lstStyle/>
        <a:p>
          <a:pPr algn="l"/>
          <a:endParaRPr lang="en-US" sz="1200">
            <a:latin typeface="Times New Roman" panose="02020603050405020304" pitchFamily="18" charset="0"/>
            <a:cs typeface="Times New Roman" panose="02020603050405020304" pitchFamily="18" charset="0"/>
          </a:endParaRPr>
        </a:p>
      </dgm:t>
    </dgm:pt>
    <dgm:pt modelId="{32148963-995C-4F81-8A83-455DA88477B9}" type="sibTrans" cxnId="{53BA6B3E-B48C-44F5-B12F-3353E4EAD7E1}">
      <dgm:prSet/>
      <dgm:spPr/>
      <dgm:t>
        <a:bodyPr/>
        <a:lstStyle/>
        <a:p>
          <a:pPr algn="l"/>
          <a:endParaRPr lang="en-US" sz="1200">
            <a:latin typeface="Times New Roman" panose="02020603050405020304" pitchFamily="18" charset="0"/>
            <a:cs typeface="Times New Roman" panose="02020603050405020304" pitchFamily="18" charset="0"/>
          </a:endParaRPr>
        </a:p>
      </dgm:t>
    </dgm:pt>
    <dgm:pt modelId="{5D626077-9263-4990-B1C1-BEE62C8FABA7}" type="pres">
      <dgm:prSet presAssocID="{C824D3FC-BF32-463C-9CAD-3E148EE0EBA8}" presName="hierChild1" presStyleCnt="0">
        <dgm:presLayoutVars>
          <dgm:chPref val="1"/>
          <dgm:dir/>
          <dgm:animOne val="branch"/>
          <dgm:animLvl val="lvl"/>
          <dgm:resizeHandles/>
        </dgm:presLayoutVars>
      </dgm:prSet>
      <dgm:spPr/>
      <dgm:t>
        <a:bodyPr/>
        <a:lstStyle/>
        <a:p>
          <a:endParaRPr lang="fr-FR"/>
        </a:p>
      </dgm:t>
    </dgm:pt>
    <dgm:pt modelId="{A3A695E0-5853-438D-9A94-8F3364FBE04F}" type="pres">
      <dgm:prSet presAssocID="{491653B2-99E2-4DED-A113-4AB957289BEC}" presName="hierRoot1" presStyleCnt="0"/>
      <dgm:spPr/>
    </dgm:pt>
    <dgm:pt modelId="{9AEB260C-35BC-4D03-A118-17AEF9586701}" type="pres">
      <dgm:prSet presAssocID="{491653B2-99E2-4DED-A113-4AB957289BEC}" presName="composite" presStyleCnt="0"/>
      <dgm:spPr/>
    </dgm:pt>
    <dgm:pt modelId="{DACEB8F2-35AA-464F-8441-AAE9758E9C5F}" type="pres">
      <dgm:prSet presAssocID="{491653B2-99E2-4DED-A113-4AB957289BEC}" presName="image" presStyleLbl="node0" presStyleIdx="0" presStyleCnt="1"/>
      <dgm:spPr>
        <a:xfrm>
          <a:off x="2270373" y="229947"/>
          <a:ext cx="756523" cy="756523"/>
        </a:xfrm>
        <a:prstGeom prst="ellipse">
          <a:avLst/>
        </a:prstGeom>
        <a:noFill/>
        <a:ln w="12700" cap="flat" cmpd="sng" algn="ctr">
          <a:solidFill>
            <a:sysClr val="window" lastClr="FFFFFF">
              <a:hueOff val="0"/>
              <a:satOff val="0"/>
              <a:lumOff val="0"/>
              <a:alphaOff val="0"/>
            </a:sysClr>
          </a:solidFill>
          <a:prstDash val="solid"/>
          <a:miter lim="800000"/>
        </a:ln>
        <a:effectLst/>
      </dgm:spPr>
    </dgm:pt>
    <dgm:pt modelId="{15DBAF3F-E51F-4E6E-B202-7B3177BCA5E4}" type="pres">
      <dgm:prSet presAssocID="{491653B2-99E2-4DED-A113-4AB957289BEC}" presName="text" presStyleLbl="revTx" presStyleIdx="0" presStyleCnt="6">
        <dgm:presLayoutVars>
          <dgm:chPref val="3"/>
        </dgm:presLayoutVars>
      </dgm:prSet>
      <dgm:spPr>
        <a:prstGeom prst="rect">
          <a:avLst/>
        </a:prstGeom>
      </dgm:spPr>
      <dgm:t>
        <a:bodyPr/>
        <a:lstStyle/>
        <a:p>
          <a:endParaRPr lang="fr-FR"/>
        </a:p>
      </dgm:t>
    </dgm:pt>
    <dgm:pt modelId="{229E5640-1D0D-4BD7-8690-CE35A4F2B51D}" type="pres">
      <dgm:prSet presAssocID="{491653B2-99E2-4DED-A113-4AB957289BEC}" presName="hierChild2" presStyleCnt="0"/>
      <dgm:spPr/>
    </dgm:pt>
    <dgm:pt modelId="{3AB634D0-B357-498A-AD49-03477521A6F3}" type="pres">
      <dgm:prSet presAssocID="{8DDAB899-26A0-43E3-9C8A-A042DACD5CB3}" presName="Name10" presStyleLbl="parChTrans1D2" presStyleIdx="0" presStyleCnt="2"/>
      <dgm:spPr>
        <a:custGeom>
          <a:avLst/>
          <a:gdLst/>
          <a:ahLst/>
          <a:cxnLst/>
          <a:rect l="0" t="0" r="0" b="0"/>
          <a:pathLst>
            <a:path>
              <a:moveTo>
                <a:pt x="1513046" y="0"/>
              </a:moveTo>
              <a:lnTo>
                <a:pt x="1513046" y="334205"/>
              </a:lnTo>
              <a:lnTo>
                <a:pt x="0" y="334205"/>
              </a:lnTo>
              <a:lnTo>
                <a:pt x="0" y="452412"/>
              </a:lnTo>
            </a:path>
          </a:pathLst>
        </a:custGeom>
      </dgm:spPr>
      <dgm:t>
        <a:bodyPr/>
        <a:lstStyle/>
        <a:p>
          <a:endParaRPr lang="fr-FR"/>
        </a:p>
      </dgm:t>
    </dgm:pt>
    <dgm:pt modelId="{3C16F6D5-2E1C-4F0F-A3A2-8DF1A038697D}" type="pres">
      <dgm:prSet presAssocID="{9F9801F8-15CB-45FB-B9BC-4CC9407BDCEA}" presName="hierRoot2" presStyleCnt="0"/>
      <dgm:spPr/>
    </dgm:pt>
    <dgm:pt modelId="{EC0B9F74-4EC5-4212-85A7-C3AC1526CEFC}" type="pres">
      <dgm:prSet presAssocID="{9F9801F8-15CB-45FB-B9BC-4CC9407BDCEA}" presName="composite2" presStyleCnt="0"/>
      <dgm:spPr/>
    </dgm:pt>
    <dgm:pt modelId="{9968CC9F-4D88-40A9-9C8A-5296B7384E55}" type="pres">
      <dgm:prSet presAssocID="{9F9801F8-15CB-45FB-B9BC-4CC9407BDCEA}" presName="image2" presStyleLbl="node2" presStyleIdx="0" presStyleCnt="2" custScaleX="50000" custScaleY="43397"/>
      <dgm:spPr>
        <a:xfrm>
          <a:off x="946457" y="1438882"/>
          <a:ext cx="378261" cy="328308"/>
        </a:xfrm>
        <a:prstGeom prst="ellipse">
          <a:avLst/>
        </a:prstGeom>
        <a:noFill/>
        <a:ln w="12700" cap="flat" cmpd="sng" algn="ctr">
          <a:solidFill>
            <a:sysClr val="window" lastClr="FFFFFF">
              <a:hueOff val="0"/>
              <a:satOff val="0"/>
              <a:lumOff val="0"/>
              <a:alphaOff val="0"/>
            </a:sysClr>
          </a:solidFill>
          <a:prstDash val="solid"/>
          <a:miter lim="800000"/>
        </a:ln>
        <a:effectLst/>
      </dgm:spPr>
    </dgm:pt>
    <dgm:pt modelId="{8A31FFB6-DCE9-4236-A681-A0B908A63130}" type="pres">
      <dgm:prSet presAssocID="{9F9801F8-15CB-45FB-B9BC-4CC9407BDCEA}" presName="text2" presStyleLbl="revTx" presStyleIdx="1" presStyleCnt="6">
        <dgm:presLayoutVars>
          <dgm:chPref val="3"/>
        </dgm:presLayoutVars>
      </dgm:prSet>
      <dgm:spPr>
        <a:prstGeom prst="rect">
          <a:avLst/>
        </a:prstGeom>
      </dgm:spPr>
      <dgm:t>
        <a:bodyPr/>
        <a:lstStyle/>
        <a:p>
          <a:endParaRPr lang="fr-FR"/>
        </a:p>
      </dgm:t>
    </dgm:pt>
    <dgm:pt modelId="{1C4E7A07-51A5-4798-8281-352DEB3DD81B}" type="pres">
      <dgm:prSet presAssocID="{9F9801F8-15CB-45FB-B9BC-4CC9407BDCEA}" presName="hierChild3" presStyleCnt="0"/>
      <dgm:spPr/>
    </dgm:pt>
    <dgm:pt modelId="{16312066-D0F6-44E1-85C2-5088CB7F6C9C}" type="pres">
      <dgm:prSet presAssocID="{35369E56-320B-456F-9E59-99AD63CAF17B}" presName="Name17" presStyleLbl="parChTrans1D3" presStyleIdx="0" presStyleCnt="3"/>
      <dgm:spPr>
        <a:custGeom>
          <a:avLst/>
          <a:gdLst/>
          <a:ahLst/>
          <a:cxnLst/>
          <a:rect l="0" t="0" r="0" b="0"/>
          <a:pathLst>
            <a:path>
              <a:moveTo>
                <a:pt x="945653" y="0"/>
              </a:moveTo>
              <a:lnTo>
                <a:pt x="945653" y="546421"/>
              </a:lnTo>
              <a:lnTo>
                <a:pt x="0" y="546421"/>
              </a:lnTo>
              <a:lnTo>
                <a:pt x="0" y="664628"/>
              </a:lnTo>
            </a:path>
          </a:pathLst>
        </a:custGeom>
      </dgm:spPr>
      <dgm:t>
        <a:bodyPr/>
        <a:lstStyle/>
        <a:p>
          <a:endParaRPr lang="fr-FR"/>
        </a:p>
      </dgm:t>
    </dgm:pt>
    <dgm:pt modelId="{ED3CB192-9378-48B0-A6DD-5E4A361A60B0}" type="pres">
      <dgm:prSet presAssocID="{DB042541-8C7F-4CF5-A3EA-754AAC26CE16}" presName="hierRoot3" presStyleCnt="0"/>
      <dgm:spPr/>
    </dgm:pt>
    <dgm:pt modelId="{59A27E9F-D796-498A-8AB9-96569710EA6A}" type="pres">
      <dgm:prSet presAssocID="{DB042541-8C7F-4CF5-A3EA-754AAC26CE16}" presName="composite3" presStyleCnt="0"/>
      <dgm:spPr/>
    </dgm:pt>
    <dgm:pt modelId="{22B0BBE6-A504-434E-BC74-5EDF8F39C10A}" type="pres">
      <dgm:prSet presAssocID="{DB042541-8C7F-4CF5-A3EA-754AAC26CE16}" presName="image3" presStyleLbl="node3" presStyleIdx="0" presStyleCnt="3" custScaleX="50000" custScaleY="43397"/>
      <dgm:spPr>
        <a:xfrm>
          <a:off x="803" y="2431819"/>
          <a:ext cx="378261" cy="328308"/>
        </a:xfrm>
        <a:prstGeom prst="ellipse">
          <a:avLst/>
        </a:prstGeom>
        <a:noFill/>
        <a:ln w="12700" cap="flat" cmpd="sng" algn="ctr">
          <a:solidFill>
            <a:sysClr val="window" lastClr="FFFFFF">
              <a:hueOff val="0"/>
              <a:satOff val="0"/>
              <a:lumOff val="0"/>
              <a:alphaOff val="0"/>
            </a:sysClr>
          </a:solidFill>
          <a:prstDash val="solid"/>
          <a:miter lim="800000"/>
        </a:ln>
        <a:effectLst/>
      </dgm:spPr>
    </dgm:pt>
    <dgm:pt modelId="{AF6A8CAD-5798-4A63-B9CA-A03D6A0D8ED1}" type="pres">
      <dgm:prSet presAssocID="{DB042541-8C7F-4CF5-A3EA-754AAC26CE16}" presName="text3" presStyleLbl="revTx" presStyleIdx="2" presStyleCnt="6" custLinFactNeighborX="-16787" custLinFactNeighborY="11751">
        <dgm:presLayoutVars>
          <dgm:chPref val="3"/>
        </dgm:presLayoutVars>
      </dgm:prSet>
      <dgm:spPr>
        <a:prstGeom prst="rect">
          <a:avLst/>
        </a:prstGeom>
      </dgm:spPr>
      <dgm:t>
        <a:bodyPr/>
        <a:lstStyle/>
        <a:p>
          <a:endParaRPr lang="fr-FR"/>
        </a:p>
      </dgm:t>
    </dgm:pt>
    <dgm:pt modelId="{E0E25E87-9AD9-4303-9A64-104CCE9C90A4}" type="pres">
      <dgm:prSet presAssocID="{DB042541-8C7F-4CF5-A3EA-754AAC26CE16}" presName="hierChild4" presStyleCnt="0"/>
      <dgm:spPr/>
    </dgm:pt>
    <dgm:pt modelId="{D7EDF45D-4007-4541-9B25-E91660D704E8}" type="pres">
      <dgm:prSet presAssocID="{6E2997D7-B3B0-463E-AE8E-C03DFBC439F7}" presName="Name17" presStyleLbl="parChTrans1D3" presStyleIdx="1" presStyleCnt="3"/>
      <dgm:spPr>
        <a:custGeom>
          <a:avLst/>
          <a:gdLst/>
          <a:ahLst/>
          <a:cxnLst/>
          <a:rect l="0" t="0" r="0" b="0"/>
          <a:pathLst>
            <a:path>
              <a:moveTo>
                <a:pt x="0" y="0"/>
              </a:moveTo>
              <a:lnTo>
                <a:pt x="0" y="546421"/>
              </a:lnTo>
              <a:lnTo>
                <a:pt x="945653" y="546421"/>
              </a:lnTo>
              <a:lnTo>
                <a:pt x="945653" y="664628"/>
              </a:lnTo>
            </a:path>
          </a:pathLst>
        </a:custGeom>
      </dgm:spPr>
      <dgm:t>
        <a:bodyPr/>
        <a:lstStyle/>
        <a:p>
          <a:endParaRPr lang="fr-FR"/>
        </a:p>
      </dgm:t>
    </dgm:pt>
    <dgm:pt modelId="{403B100C-BF56-4323-B856-8F55B8C16491}" type="pres">
      <dgm:prSet presAssocID="{0301B4D3-167A-4A6C-905D-C967343F00FA}" presName="hierRoot3" presStyleCnt="0"/>
      <dgm:spPr/>
    </dgm:pt>
    <dgm:pt modelId="{B9684B1B-CD50-4F03-B539-386E6A120280}" type="pres">
      <dgm:prSet presAssocID="{0301B4D3-167A-4A6C-905D-C967343F00FA}" presName="composite3" presStyleCnt="0"/>
      <dgm:spPr/>
    </dgm:pt>
    <dgm:pt modelId="{92290045-641F-4C6E-8EA8-7E0C9B025A1F}" type="pres">
      <dgm:prSet presAssocID="{0301B4D3-167A-4A6C-905D-C967343F00FA}" presName="image3" presStyleLbl="node3" presStyleIdx="1" presStyleCnt="3" custScaleX="50000" custScaleY="43397"/>
      <dgm:spPr>
        <a:xfrm>
          <a:off x="1892111" y="2431819"/>
          <a:ext cx="378261" cy="328308"/>
        </a:xfrm>
        <a:prstGeom prst="ellipse">
          <a:avLst/>
        </a:prstGeom>
        <a:noFill/>
        <a:ln w="12700" cap="flat" cmpd="sng" algn="ctr">
          <a:solidFill>
            <a:sysClr val="window" lastClr="FFFFFF">
              <a:hueOff val="0"/>
              <a:satOff val="0"/>
              <a:lumOff val="0"/>
              <a:alphaOff val="0"/>
            </a:sysClr>
          </a:solidFill>
          <a:prstDash val="solid"/>
          <a:miter lim="800000"/>
        </a:ln>
        <a:effectLst/>
      </dgm:spPr>
    </dgm:pt>
    <dgm:pt modelId="{D2E7B467-370C-44F8-8414-294AA163CEF1}" type="pres">
      <dgm:prSet presAssocID="{0301B4D3-167A-4A6C-905D-C967343F00FA}" presName="text3" presStyleLbl="revTx" presStyleIdx="3" presStyleCnt="6" custLinFactNeighborX="-15109" custLinFactNeighborY="15948">
        <dgm:presLayoutVars>
          <dgm:chPref val="3"/>
        </dgm:presLayoutVars>
      </dgm:prSet>
      <dgm:spPr>
        <a:prstGeom prst="rect">
          <a:avLst/>
        </a:prstGeom>
      </dgm:spPr>
      <dgm:t>
        <a:bodyPr/>
        <a:lstStyle/>
        <a:p>
          <a:endParaRPr lang="fr-FR"/>
        </a:p>
      </dgm:t>
    </dgm:pt>
    <dgm:pt modelId="{900D3D4A-F737-404B-91D1-31148A8318E1}" type="pres">
      <dgm:prSet presAssocID="{0301B4D3-167A-4A6C-905D-C967343F00FA}" presName="hierChild4" presStyleCnt="0"/>
      <dgm:spPr/>
    </dgm:pt>
    <dgm:pt modelId="{3B16DCD0-3EC1-4CF9-93B2-D2FA45FC6FD7}" type="pres">
      <dgm:prSet presAssocID="{C833DAB0-32BF-43C2-BA3F-CF7F3BC6B64C}" presName="Name10" presStyleLbl="parChTrans1D2" presStyleIdx="1" presStyleCnt="2"/>
      <dgm:spPr>
        <a:custGeom>
          <a:avLst/>
          <a:gdLst/>
          <a:ahLst/>
          <a:cxnLst/>
          <a:rect l="0" t="0" r="0" b="0"/>
          <a:pathLst>
            <a:path>
              <a:moveTo>
                <a:pt x="0" y="0"/>
              </a:moveTo>
              <a:lnTo>
                <a:pt x="0" y="334205"/>
              </a:lnTo>
              <a:lnTo>
                <a:pt x="1323915" y="334205"/>
              </a:lnTo>
              <a:lnTo>
                <a:pt x="1323915" y="452412"/>
              </a:lnTo>
            </a:path>
          </a:pathLst>
        </a:custGeom>
      </dgm:spPr>
      <dgm:t>
        <a:bodyPr/>
        <a:lstStyle/>
        <a:p>
          <a:endParaRPr lang="fr-FR"/>
        </a:p>
      </dgm:t>
    </dgm:pt>
    <dgm:pt modelId="{D8AB63CB-7164-4BD5-A451-8B0C8E0FB26F}" type="pres">
      <dgm:prSet presAssocID="{6A30B2D7-9F95-4EFB-9272-F8E005593D7C}" presName="hierRoot2" presStyleCnt="0"/>
      <dgm:spPr/>
    </dgm:pt>
    <dgm:pt modelId="{BA5AD471-6E6C-4CFB-9E3E-9B887F76D4BC}" type="pres">
      <dgm:prSet presAssocID="{6A30B2D7-9F95-4EFB-9272-F8E005593D7C}" presName="composite2" presStyleCnt="0"/>
      <dgm:spPr/>
    </dgm:pt>
    <dgm:pt modelId="{A55E812A-08FB-438F-A82E-CCB072222743}" type="pres">
      <dgm:prSet presAssocID="{6A30B2D7-9F95-4EFB-9272-F8E005593D7C}" presName="image2" presStyleLbl="node2" presStyleIdx="1" presStyleCnt="2" custScaleX="50000" custScaleY="43397"/>
      <dgm:spPr>
        <a:xfrm>
          <a:off x="3783419" y="1438882"/>
          <a:ext cx="378261" cy="328308"/>
        </a:xfrm>
        <a:prstGeom prst="ellipse">
          <a:avLst/>
        </a:prstGeom>
        <a:noFill/>
        <a:ln w="12700" cap="flat" cmpd="sng" algn="ctr">
          <a:solidFill>
            <a:sysClr val="window" lastClr="FFFFFF">
              <a:hueOff val="0"/>
              <a:satOff val="0"/>
              <a:lumOff val="0"/>
              <a:alphaOff val="0"/>
            </a:sysClr>
          </a:solidFill>
          <a:prstDash val="solid"/>
          <a:miter lim="800000"/>
        </a:ln>
        <a:effectLst/>
      </dgm:spPr>
    </dgm:pt>
    <dgm:pt modelId="{EC105C24-A793-4EFD-AEBB-9163DA954F4E}" type="pres">
      <dgm:prSet presAssocID="{6A30B2D7-9F95-4EFB-9272-F8E005593D7C}" presName="text2" presStyleLbl="revTx" presStyleIdx="4" presStyleCnt="6" custLinFactNeighborX="-12870" custLinFactNeighborY="-839">
        <dgm:presLayoutVars>
          <dgm:chPref val="3"/>
        </dgm:presLayoutVars>
      </dgm:prSet>
      <dgm:spPr>
        <a:prstGeom prst="rect">
          <a:avLst/>
        </a:prstGeom>
      </dgm:spPr>
      <dgm:t>
        <a:bodyPr/>
        <a:lstStyle/>
        <a:p>
          <a:endParaRPr lang="fr-FR"/>
        </a:p>
      </dgm:t>
    </dgm:pt>
    <dgm:pt modelId="{ABD9FFBE-88DF-42E8-8CF4-7D2D597B8383}" type="pres">
      <dgm:prSet presAssocID="{6A30B2D7-9F95-4EFB-9272-F8E005593D7C}" presName="hierChild3" presStyleCnt="0"/>
      <dgm:spPr/>
    </dgm:pt>
    <dgm:pt modelId="{8DD02EE3-6F6A-4DE0-BA29-398395774802}" type="pres">
      <dgm:prSet presAssocID="{870BBD9D-472D-4112-A95E-BE41C4369EFC}" presName="Name17" presStyleLbl="parChTrans1D3" presStyleIdx="2" presStyleCnt="3"/>
      <dgm:spPr>
        <a:custGeom>
          <a:avLst/>
          <a:gdLst/>
          <a:ahLst/>
          <a:cxnLst/>
          <a:rect l="0" t="0" r="0" b="0"/>
          <a:pathLst>
            <a:path>
              <a:moveTo>
                <a:pt x="45720" y="0"/>
              </a:moveTo>
              <a:lnTo>
                <a:pt x="45720" y="664628"/>
              </a:lnTo>
            </a:path>
          </a:pathLst>
        </a:custGeom>
      </dgm:spPr>
      <dgm:t>
        <a:bodyPr/>
        <a:lstStyle/>
        <a:p>
          <a:endParaRPr lang="fr-FR"/>
        </a:p>
      </dgm:t>
    </dgm:pt>
    <dgm:pt modelId="{63059397-54B5-4727-95C6-E6851E3FCCAF}" type="pres">
      <dgm:prSet presAssocID="{54CA56C2-ABBC-49F7-81E1-01268B3C4464}" presName="hierRoot3" presStyleCnt="0"/>
      <dgm:spPr/>
    </dgm:pt>
    <dgm:pt modelId="{0E71D254-C911-4324-9F5C-781F06E731B8}" type="pres">
      <dgm:prSet presAssocID="{54CA56C2-ABBC-49F7-81E1-01268B3C4464}" presName="composite3" presStyleCnt="0"/>
      <dgm:spPr/>
    </dgm:pt>
    <dgm:pt modelId="{939F7E1C-2D1B-44A1-853D-5821ABE6BE5E}" type="pres">
      <dgm:prSet presAssocID="{54CA56C2-ABBC-49F7-81E1-01268B3C4464}" presName="image3" presStyleLbl="node3" presStyleIdx="2" presStyleCnt="3" custScaleX="50000" custScaleY="43397"/>
      <dgm:spPr>
        <a:xfrm>
          <a:off x="3783419" y="2431819"/>
          <a:ext cx="378261" cy="328308"/>
        </a:xfrm>
        <a:prstGeom prst="ellipse">
          <a:avLst/>
        </a:prstGeom>
        <a:noFill/>
        <a:ln w="12700" cap="flat" cmpd="sng" algn="ctr">
          <a:solidFill>
            <a:sysClr val="window" lastClr="FFFFFF">
              <a:hueOff val="0"/>
              <a:satOff val="0"/>
              <a:lumOff val="0"/>
              <a:alphaOff val="0"/>
            </a:sysClr>
          </a:solidFill>
          <a:prstDash val="solid"/>
          <a:miter lim="800000"/>
        </a:ln>
        <a:effectLst/>
      </dgm:spPr>
    </dgm:pt>
    <dgm:pt modelId="{F5542456-79BB-43CD-9D01-FF529E9117F8}" type="pres">
      <dgm:prSet presAssocID="{54CA56C2-ABBC-49F7-81E1-01268B3C4464}" presName="text3" presStyleLbl="revTx" presStyleIdx="5" presStyleCnt="6" custLinFactNeighborX="-10072" custLinFactNeighborY="8394">
        <dgm:presLayoutVars>
          <dgm:chPref val="3"/>
        </dgm:presLayoutVars>
      </dgm:prSet>
      <dgm:spPr>
        <a:prstGeom prst="rect">
          <a:avLst/>
        </a:prstGeom>
      </dgm:spPr>
      <dgm:t>
        <a:bodyPr/>
        <a:lstStyle/>
        <a:p>
          <a:endParaRPr lang="fr-FR"/>
        </a:p>
      </dgm:t>
    </dgm:pt>
    <dgm:pt modelId="{81D15B64-9B0B-4977-8A96-E26436F31D48}" type="pres">
      <dgm:prSet presAssocID="{54CA56C2-ABBC-49F7-81E1-01268B3C4464}" presName="hierChild4" presStyleCnt="0"/>
      <dgm:spPr/>
    </dgm:pt>
  </dgm:ptLst>
  <dgm:cxnLst>
    <dgm:cxn modelId="{C5CCF76B-AEDE-4938-842D-67B9EDB69B11}" type="presOf" srcId="{9F9801F8-15CB-45FB-B9BC-4CC9407BDCEA}" destId="{8A31FFB6-DCE9-4236-A681-A0B908A63130}" srcOrd="0" destOrd="0" presId="urn:microsoft.com/office/officeart/2009/layout/CirclePictureHierarchy"/>
    <dgm:cxn modelId="{D2C97588-EA8D-4A64-B665-1317FF293A34}" type="presOf" srcId="{DB042541-8C7F-4CF5-A3EA-754AAC26CE16}" destId="{AF6A8CAD-5798-4A63-B9CA-A03D6A0D8ED1}" srcOrd="0" destOrd="0" presId="urn:microsoft.com/office/officeart/2009/layout/CirclePictureHierarchy"/>
    <dgm:cxn modelId="{D774B5D4-0D7F-4601-A8AA-8B388A87C141}" type="presOf" srcId="{54CA56C2-ABBC-49F7-81E1-01268B3C4464}" destId="{F5542456-79BB-43CD-9D01-FF529E9117F8}" srcOrd="0" destOrd="0" presId="urn:microsoft.com/office/officeart/2009/layout/CirclePictureHierarchy"/>
    <dgm:cxn modelId="{33EEA647-8D69-44F5-88FA-A56EC2D027D3}" type="presOf" srcId="{6E2997D7-B3B0-463E-AE8E-C03DFBC439F7}" destId="{D7EDF45D-4007-4541-9B25-E91660D704E8}" srcOrd="0" destOrd="0" presId="urn:microsoft.com/office/officeart/2009/layout/CirclePictureHierarchy"/>
    <dgm:cxn modelId="{0DB4325B-4D94-40F3-A8DA-D4D96C8C8835}" type="presOf" srcId="{C833DAB0-32BF-43C2-BA3F-CF7F3BC6B64C}" destId="{3B16DCD0-3EC1-4CF9-93B2-D2FA45FC6FD7}" srcOrd="0" destOrd="0" presId="urn:microsoft.com/office/officeart/2009/layout/CirclePictureHierarchy"/>
    <dgm:cxn modelId="{CAB2FC12-520E-4115-A8E6-DF47CB63E7D3}" srcId="{491653B2-99E2-4DED-A113-4AB957289BEC}" destId="{9F9801F8-15CB-45FB-B9BC-4CC9407BDCEA}" srcOrd="0" destOrd="0" parTransId="{8DDAB899-26A0-43E3-9C8A-A042DACD5CB3}" sibTransId="{5E739842-ABDE-48E6-B6A8-8A25E936B3AB}"/>
    <dgm:cxn modelId="{6EAA29B6-1EF0-47B3-8911-88E66A9CE3CB}" srcId="{491653B2-99E2-4DED-A113-4AB957289BEC}" destId="{6A30B2D7-9F95-4EFB-9272-F8E005593D7C}" srcOrd="1" destOrd="0" parTransId="{C833DAB0-32BF-43C2-BA3F-CF7F3BC6B64C}" sibTransId="{42D46AAC-377C-4B9B-BC70-B2DAEEFF2824}"/>
    <dgm:cxn modelId="{013125E7-31DF-4B61-B20B-97AC3D912887}" srcId="{9F9801F8-15CB-45FB-B9BC-4CC9407BDCEA}" destId="{0301B4D3-167A-4A6C-905D-C967343F00FA}" srcOrd="1" destOrd="0" parTransId="{6E2997D7-B3B0-463E-AE8E-C03DFBC439F7}" sibTransId="{66068D35-E5BF-4519-8A1A-DE405FFE7131}"/>
    <dgm:cxn modelId="{18EB80AF-CF6D-4078-9D44-CA3ECE05C90F}" type="presOf" srcId="{0301B4D3-167A-4A6C-905D-C967343F00FA}" destId="{D2E7B467-370C-44F8-8414-294AA163CEF1}" srcOrd="0" destOrd="0" presId="urn:microsoft.com/office/officeart/2009/layout/CirclePictureHierarchy"/>
    <dgm:cxn modelId="{1E6D2776-DB55-4B22-8E03-3EA2B43735C3}" type="presOf" srcId="{8DDAB899-26A0-43E3-9C8A-A042DACD5CB3}" destId="{3AB634D0-B357-498A-AD49-03477521A6F3}" srcOrd="0" destOrd="0" presId="urn:microsoft.com/office/officeart/2009/layout/CirclePictureHierarchy"/>
    <dgm:cxn modelId="{53BA6B3E-B48C-44F5-B12F-3353E4EAD7E1}" srcId="{6A30B2D7-9F95-4EFB-9272-F8E005593D7C}" destId="{54CA56C2-ABBC-49F7-81E1-01268B3C4464}" srcOrd="0" destOrd="0" parTransId="{870BBD9D-472D-4112-A95E-BE41C4369EFC}" sibTransId="{32148963-995C-4F81-8A83-455DA88477B9}"/>
    <dgm:cxn modelId="{1F7E4595-6558-4A2B-83A6-F2006AF91F3B}" type="presOf" srcId="{6A30B2D7-9F95-4EFB-9272-F8E005593D7C}" destId="{EC105C24-A793-4EFD-AEBB-9163DA954F4E}" srcOrd="0" destOrd="0" presId="urn:microsoft.com/office/officeart/2009/layout/CirclePictureHierarchy"/>
    <dgm:cxn modelId="{3CF112E1-19B7-419C-959E-0B6A277FEBDF}" type="presOf" srcId="{491653B2-99E2-4DED-A113-4AB957289BEC}" destId="{15DBAF3F-E51F-4E6E-B202-7B3177BCA5E4}" srcOrd="0" destOrd="0" presId="urn:microsoft.com/office/officeart/2009/layout/CirclePictureHierarchy"/>
    <dgm:cxn modelId="{80A11DE0-8024-4231-8A16-538CF84A7B57}" type="presOf" srcId="{C824D3FC-BF32-463C-9CAD-3E148EE0EBA8}" destId="{5D626077-9263-4990-B1C1-BEE62C8FABA7}" srcOrd="0" destOrd="0" presId="urn:microsoft.com/office/officeart/2009/layout/CirclePictureHierarchy"/>
    <dgm:cxn modelId="{7E91CEF0-04EB-48BA-B593-54569EC94A87}" srcId="{C824D3FC-BF32-463C-9CAD-3E148EE0EBA8}" destId="{491653B2-99E2-4DED-A113-4AB957289BEC}" srcOrd="0" destOrd="0" parTransId="{6C3292AC-384C-4737-A521-F05E4FF60DAE}" sibTransId="{0B9A47E2-DA22-443C-8599-69DACEBA12A7}"/>
    <dgm:cxn modelId="{21C1AC1F-ED81-47E7-ABB6-02CB6287682F}" srcId="{9F9801F8-15CB-45FB-B9BC-4CC9407BDCEA}" destId="{DB042541-8C7F-4CF5-A3EA-754AAC26CE16}" srcOrd="0" destOrd="0" parTransId="{35369E56-320B-456F-9E59-99AD63CAF17B}" sibTransId="{3969CF83-3B4B-4307-93D0-DFBC59409B13}"/>
    <dgm:cxn modelId="{68AF8B11-4960-4D71-BF1E-9257EDB655F0}" type="presOf" srcId="{35369E56-320B-456F-9E59-99AD63CAF17B}" destId="{16312066-D0F6-44E1-85C2-5088CB7F6C9C}" srcOrd="0" destOrd="0" presId="urn:microsoft.com/office/officeart/2009/layout/CirclePictureHierarchy"/>
    <dgm:cxn modelId="{7079272A-94CF-41D7-961E-7B1AADF542DA}" type="presOf" srcId="{870BBD9D-472D-4112-A95E-BE41C4369EFC}" destId="{8DD02EE3-6F6A-4DE0-BA29-398395774802}" srcOrd="0" destOrd="0" presId="urn:microsoft.com/office/officeart/2009/layout/CirclePictureHierarchy"/>
    <dgm:cxn modelId="{C7389823-5EBE-49B5-97D8-075B905C8944}" type="presParOf" srcId="{5D626077-9263-4990-B1C1-BEE62C8FABA7}" destId="{A3A695E0-5853-438D-9A94-8F3364FBE04F}" srcOrd="0" destOrd="0" presId="urn:microsoft.com/office/officeart/2009/layout/CirclePictureHierarchy"/>
    <dgm:cxn modelId="{D33722DC-AFFA-4099-BCCE-89C6E70FEF0B}" type="presParOf" srcId="{A3A695E0-5853-438D-9A94-8F3364FBE04F}" destId="{9AEB260C-35BC-4D03-A118-17AEF9586701}" srcOrd="0" destOrd="0" presId="urn:microsoft.com/office/officeart/2009/layout/CirclePictureHierarchy"/>
    <dgm:cxn modelId="{716280B6-C339-40A6-92D0-337F9BE601CD}" type="presParOf" srcId="{9AEB260C-35BC-4D03-A118-17AEF9586701}" destId="{DACEB8F2-35AA-464F-8441-AAE9758E9C5F}" srcOrd="0" destOrd="0" presId="urn:microsoft.com/office/officeart/2009/layout/CirclePictureHierarchy"/>
    <dgm:cxn modelId="{FE409895-9C9D-4E3B-B1AE-6B56FE4D5F40}" type="presParOf" srcId="{9AEB260C-35BC-4D03-A118-17AEF9586701}" destId="{15DBAF3F-E51F-4E6E-B202-7B3177BCA5E4}" srcOrd="1" destOrd="0" presId="urn:microsoft.com/office/officeart/2009/layout/CirclePictureHierarchy"/>
    <dgm:cxn modelId="{3E5C5DFE-ADCB-4014-9D83-DF62BD4F0A3D}" type="presParOf" srcId="{A3A695E0-5853-438D-9A94-8F3364FBE04F}" destId="{229E5640-1D0D-4BD7-8690-CE35A4F2B51D}" srcOrd="1" destOrd="0" presId="urn:microsoft.com/office/officeart/2009/layout/CirclePictureHierarchy"/>
    <dgm:cxn modelId="{B063154F-5E3B-4697-AEE3-4ABC750CB908}" type="presParOf" srcId="{229E5640-1D0D-4BD7-8690-CE35A4F2B51D}" destId="{3AB634D0-B357-498A-AD49-03477521A6F3}" srcOrd="0" destOrd="0" presId="urn:microsoft.com/office/officeart/2009/layout/CirclePictureHierarchy"/>
    <dgm:cxn modelId="{569FEA72-0BBF-4882-862D-F2B6C3A44CE2}" type="presParOf" srcId="{229E5640-1D0D-4BD7-8690-CE35A4F2B51D}" destId="{3C16F6D5-2E1C-4F0F-A3A2-8DF1A038697D}" srcOrd="1" destOrd="0" presId="urn:microsoft.com/office/officeart/2009/layout/CirclePictureHierarchy"/>
    <dgm:cxn modelId="{E4AE0DBD-8464-4ED4-8D82-39DD0FE4D884}" type="presParOf" srcId="{3C16F6D5-2E1C-4F0F-A3A2-8DF1A038697D}" destId="{EC0B9F74-4EC5-4212-85A7-C3AC1526CEFC}" srcOrd="0" destOrd="0" presId="urn:microsoft.com/office/officeart/2009/layout/CirclePictureHierarchy"/>
    <dgm:cxn modelId="{EEB9F661-BC53-4EFD-8418-D0A1DCD1A18B}" type="presParOf" srcId="{EC0B9F74-4EC5-4212-85A7-C3AC1526CEFC}" destId="{9968CC9F-4D88-40A9-9C8A-5296B7384E55}" srcOrd="0" destOrd="0" presId="urn:microsoft.com/office/officeart/2009/layout/CirclePictureHierarchy"/>
    <dgm:cxn modelId="{DD1A4ADE-65F0-4E1C-B46E-49B8D7B1B9F2}" type="presParOf" srcId="{EC0B9F74-4EC5-4212-85A7-C3AC1526CEFC}" destId="{8A31FFB6-DCE9-4236-A681-A0B908A63130}" srcOrd="1" destOrd="0" presId="urn:microsoft.com/office/officeart/2009/layout/CirclePictureHierarchy"/>
    <dgm:cxn modelId="{A13E380F-449A-45D3-BCBA-FFBC3EE46312}" type="presParOf" srcId="{3C16F6D5-2E1C-4F0F-A3A2-8DF1A038697D}" destId="{1C4E7A07-51A5-4798-8281-352DEB3DD81B}" srcOrd="1" destOrd="0" presId="urn:microsoft.com/office/officeart/2009/layout/CirclePictureHierarchy"/>
    <dgm:cxn modelId="{B8929658-660E-46A2-9C89-AC9C6C4EB5F9}" type="presParOf" srcId="{1C4E7A07-51A5-4798-8281-352DEB3DD81B}" destId="{16312066-D0F6-44E1-85C2-5088CB7F6C9C}" srcOrd="0" destOrd="0" presId="urn:microsoft.com/office/officeart/2009/layout/CirclePictureHierarchy"/>
    <dgm:cxn modelId="{B4A9B993-9C9B-49B7-A119-671C0C6E3B96}" type="presParOf" srcId="{1C4E7A07-51A5-4798-8281-352DEB3DD81B}" destId="{ED3CB192-9378-48B0-A6DD-5E4A361A60B0}" srcOrd="1" destOrd="0" presId="urn:microsoft.com/office/officeart/2009/layout/CirclePictureHierarchy"/>
    <dgm:cxn modelId="{0BAC0313-8A86-45F0-84E2-B0C9201D13B3}" type="presParOf" srcId="{ED3CB192-9378-48B0-A6DD-5E4A361A60B0}" destId="{59A27E9F-D796-498A-8AB9-96569710EA6A}" srcOrd="0" destOrd="0" presId="urn:microsoft.com/office/officeart/2009/layout/CirclePictureHierarchy"/>
    <dgm:cxn modelId="{3050015D-08ED-4F1F-BDD8-F1B1D92FB4D3}" type="presParOf" srcId="{59A27E9F-D796-498A-8AB9-96569710EA6A}" destId="{22B0BBE6-A504-434E-BC74-5EDF8F39C10A}" srcOrd="0" destOrd="0" presId="urn:microsoft.com/office/officeart/2009/layout/CirclePictureHierarchy"/>
    <dgm:cxn modelId="{24DD16F5-29FF-4D49-AC9E-8054C8F640F6}" type="presParOf" srcId="{59A27E9F-D796-498A-8AB9-96569710EA6A}" destId="{AF6A8CAD-5798-4A63-B9CA-A03D6A0D8ED1}" srcOrd="1" destOrd="0" presId="urn:microsoft.com/office/officeart/2009/layout/CirclePictureHierarchy"/>
    <dgm:cxn modelId="{069BECB9-57B1-4BF1-BD66-13F011C80693}" type="presParOf" srcId="{ED3CB192-9378-48B0-A6DD-5E4A361A60B0}" destId="{E0E25E87-9AD9-4303-9A64-104CCE9C90A4}" srcOrd="1" destOrd="0" presId="urn:microsoft.com/office/officeart/2009/layout/CirclePictureHierarchy"/>
    <dgm:cxn modelId="{12C774E9-45AC-4EBB-A333-9540FE91177E}" type="presParOf" srcId="{1C4E7A07-51A5-4798-8281-352DEB3DD81B}" destId="{D7EDF45D-4007-4541-9B25-E91660D704E8}" srcOrd="2" destOrd="0" presId="urn:microsoft.com/office/officeart/2009/layout/CirclePictureHierarchy"/>
    <dgm:cxn modelId="{D0DD9575-5F73-4ECF-96A8-0BF88DA440A3}" type="presParOf" srcId="{1C4E7A07-51A5-4798-8281-352DEB3DD81B}" destId="{403B100C-BF56-4323-B856-8F55B8C16491}" srcOrd="3" destOrd="0" presId="urn:microsoft.com/office/officeart/2009/layout/CirclePictureHierarchy"/>
    <dgm:cxn modelId="{82D07A26-DFE1-4F50-BCDF-9D563AA3CF12}" type="presParOf" srcId="{403B100C-BF56-4323-B856-8F55B8C16491}" destId="{B9684B1B-CD50-4F03-B539-386E6A120280}" srcOrd="0" destOrd="0" presId="urn:microsoft.com/office/officeart/2009/layout/CirclePictureHierarchy"/>
    <dgm:cxn modelId="{5F8C7A98-8B70-42C5-B422-8505040A100D}" type="presParOf" srcId="{B9684B1B-CD50-4F03-B539-386E6A120280}" destId="{92290045-641F-4C6E-8EA8-7E0C9B025A1F}" srcOrd="0" destOrd="0" presId="urn:microsoft.com/office/officeart/2009/layout/CirclePictureHierarchy"/>
    <dgm:cxn modelId="{BB0D6642-1B53-4681-8DB9-62A83733C50A}" type="presParOf" srcId="{B9684B1B-CD50-4F03-B539-386E6A120280}" destId="{D2E7B467-370C-44F8-8414-294AA163CEF1}" srcOrd="1" destOrd="0" presId="urn:microsoft.com/office/officeart/2009/layout/CirclePictureHierarchy"/>
    <dgm:cxn modelId="{83B2DE12-3AF0-4EE2-B27F-FA01F989DADD}" type="presParOf" srcId="{403B100C-BF56-4323-B856-8F55B8C16491}" destId="{900D3D4A-F737-404B-91D1-31148A8318E1}" srcOrd="1" destOrd="0" presId="urn:microsoft.com/office/officeart/2009/layout/CirclePictureHierarchy"/>
    <dgm:cxn modelId="{48CF7214-CDFC-4594-91C6-B1D6ED786E43}" type="presParOf" srcId="{229E5640-1D0D-4BD7-8690-CE35A4F2B51D}" destId="{3B16DCD0-3EC1-4CF9-93B2-D2FA45FC6FD7}" srcOrd="2" destOrd="0" presId="urn:microsoft.com/office/officeart/2009/layout/CirclePictureHierarchy"/>
    <dgm:cxn modelId="{83929153-86DC-4F45-9332-D0904E2D9968}" type="presParOf" srcId="{229E5640-1D0D-4BD7-8690-CE35A4F2B51D}" destId="{D8AB63CB-7164-4BD5-A451-8B0C8E0FB26F}" srcOrd="3" destOrd="0" presId="urn:microsoft.com/office/officeart/2009/layout/CirclePictureHierarchy"/>
    <dgm:cxn modelId="{0306EB3B-390B-4693-BF63-33BABD2DF348}" type="presParOf" srcId="{D8AB63CB-7164-4BD5-A451-8B0C8E0FB26F}" destId="{BA5AD471-6E6C-4CFB-9E3E-9B887F76D4BC}" srcOrd="0" destOrd="0" presId="urn:microsoft.com/office/officeart/2009/layout/CirclePictureHierarchy"/>
    <dgm:cxn modelId="{0C91DA8B-AA15-4AF4-9158-10B830C4DD1D}" type="presParOf" srcId="{BA5AD471-6E6C-4CFB-9E3E-9B887F76D4BC}" destId="{A55E812A-08FB-438F-A82E-CCB072222743}" srcOrd="0" destOrd="0" presId="urn:microsoft.com/office/officeart/2009/layout/CirclePictureHierarchy"/>
    <dgm:cxn modelId="{8F90E580-BE17-4FD4-AFA3-FFD1BD53EF45}" type="presParOf" srcId="{BA5AD471-6E6C-4CFB-9E3E-9B887F76D4BC}" destId="{EC105C24-A793-4EFD-AEBB-9163DA954F4E}" srcOrd="1" destOrd="0" presId="urn:microsoft.com/office/officeart/2009/layout/CirclePictureHierarchy"/>
    <dgm:cxn modelId="{4EC74404-145A-4537-86D3-B408501D63DC}" type="presParOf" srcId="{D8AB63CB-7164-4BD5-A451-8B0C8E0FB26F}" destId="{ABD9FFBE-88DF-42E8-8CF4-7D2D597B8383}" srcOrd="1" destOrd="0" presId="urn:microsoft.com/office/officeart/2009/layout/CirclePictureHierarchy"/>
    <dgm:cxn modelId="{8E983FD3-155E-4122-BCA1-8D6277751D8C}" type="presParOf" srcId="{ABD9FFBE-88DF-42E8-8CF4-7D2D597B8383}" destId="{8DD02EE3-6F6A-4DE0-BA29-398395774802}" srcOrd="0" destOrd="0" presId="urn:microsoft.com/office/officeart/2009/layout/CirclePictureHierarchy"/>
    <dgm:cxn modelId="{BC3ECE0E-F1F1-4490-8C58-BDBC39E602D4}" type="presParOf" srcId="{ABD9FFBE-88DF-42E8-8CF4-7D2D597B8383}" destId="{63059397-54B5-4727-95C6-E6851E3FCCAF}" srcOrd="1" destOrd="0" presId="urn:microsoft.com/office/officeart/2009/layout/CirclePictureHierarchy"/>
    <dgm:cxn modelId="{6EF9EC1D-B6ED-4DA0-A5B6-B86BD686D28B}" type="presParOf" srcId="{63059397-54B5-4727-95C6-E6851E3FCCAF}" destId="{0E71D254-C911-4324-9F5C-781F06E731B8}" srcOrd="0" destOrd="0" presId="urn:microsoft.com/office/officeart/2009/layout/CirclePictureHierarchy"/>
    <dgm:cxn modelId="{5CB82F71-3D9B-45DB-BBC8-32495EB6FC04}" type="presParOf" srcId="{0E71D254-C911-4324-9F5C-781F06E731B8}" destId="{939F7E1C-2D1B-44A1-853D-5821ABE6BE5E}" srcOrd="0" destOrd="0" presId="urn:microsoft.com/office/officeart/2009/layout/CirclePictureHierarchy"/>
    <dgm:cxn modelId="{E12FCCA7-1D5D-469F-81D9-FB5101D5E051}" type="presParOf" srcId="{0E71D254-C911-4324-9F5C-781F06E731B8}" destId="{F5542456-79BB-43CD-9D01-FF529E9117F8}" srcOrd="1" destOrd="0" presId="urn:microsoft.com/office/officeart/2009/layout/CirclePictureHierarchy"/>
    <dgm:cxn modelId="{999FE916-8EAA-4444-89C0-D2805DE8B249}" type="presParOf" srcId="{63059397-54B5-4727-95C6-E6851E3FCCAF}" destId="{81D15B64-9B0B-4977-8A96-E26436F31D48}" srcOrd="1" destOrd="0" presId="urn:microsoft.com/office/officeart/2009/layout/CirclePictureHierarchy"/>
  </dgm:cxnLst>
  <dgm:bg/>
  <dgm:whole/>
  <dgm:extLst>
    <a:ext uri="http://schemas.microsoft.com/office/drawing/2008/diagram">
      <dsp:dataModelExt xmlns:dsp="http://schemas.microsoft.com/office/drawing/2008/diagram" relId="rId72" minVer="http://schemas.openxmlformats.org/drawingml/2006/diagram"/>
    </a:ext>
  </dgm:extLst>
</dgm:dataModel>
</file>

<file path=word/diagrams/data8.xml><?xml version="1.0" encoding="utf-8"?>
<dgm:dataModel xmlns:dgm="http://schemas.openxmlformats.org/drawingml/2006/diagram" xmlns:a="http://schemas.openxmlformats.org/drawingml/2006/main">
  <dgm:ptLst>
    <dgm:pt modelId="{D4426682-D64A-4F39-8926-C45C45DECFBC}" type="doc">
      <dgm:prSet loTypeId="urn:microsoft.com/office/officeart/2008/layout/LinedList" loCatId="list" qsTypeId="urn:microsoft.com/office/officeart/2005/8/quickstyle/simple2" qsCatId="simple" csTypeId="urn:microsoft.com/office/officeart/2005/8/colors/accent1_2" csCatId="accent1" phldr="1"/>
      <dgm:spPr/>
      <dgm:t>
        <a:bodyPr/>
        <a:lstStyle/>
        <a:p>
          <a:endParaRPr lang="en-US"/>
        </a:p>
      </dgm:t>
    </dgm:pt>
    <dgm:pt modelId="{07C8E92B-E527-421A-A396-974102485138}">
      <dgm:prSet phldrT="[Text]" custT="1"/>
      <dgm:spPr>
        <a:xfrm>
          <a:off x="0" y="0"/>
          <a:ext cx="5486400" cy="1301750"/>
        </a:xfrm>
        <a:noFill/>
        <a:ln>
          <a:noFill/>
        </a:ln>
        <a:effectLst/>
      </dgm:spPr>
      <dgm:t>
        <a:bodyPr/>
        <a:lstStyle/>
        <a:p>
          <a:pPr algn="ctr">
            <a:buNone/>
          </a:pPr>
          <a:r>
            <a:rPr lang="en-US" sz="4000" b="1">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General Conclusion</a:t>
          </a:r>
        </a:p>
      </dgm:t>
    </dgm:pt>
    <dgm:pt modelId="{8BC4BBC4-8060-486C-A405-4BC23DEF97F1}" type="parTrans" cxnId="{A7E8DD43-0416-4C4A-A5A7-403CA09B5CA4}">
      <dgm:prSet/>
      <dgm:spPr/>
      <dgm:t>
        <a:bodyPr/>
        <a:lstStyle/>
        <a:p>
          <a:endParaRPr lang="en-US" sz="1400" b="1"/>
        </a:p>
      </dgm:t>
    </dgm:pt>
    <dgm:pt modelId="{0A330CB6-9410-466E-8C7A-121CB89549C6}" type="sibTrans" cxnId="{A7E8DD43-0416-4C4A-A5A7-403CA09B5CA4}">
      <dgm:prSet/>
      <dgm:spPr/>
      <dgm:t>
        <a:bodyPr/>
        <a:lstStyle/>
        <a:p>
          <a:endParaRPr lang="en-US" sz="1400" b="1"/>
        </a:p>
      </dgm:t>
    </dgm:pt>
    <dgm:pt modelId="{03C71918-B8C2-4D43-A232-3789216E675F}" type="pres">
      <dgm:prSet presAssocID="{D4426682-D64A-4F39-8926-C45C45DECFBC}" presName="vert0" presStyleCnt="0">
        <dgm:presLayoutVars>
          <dgm:dir/>
          <dgm:animOne val="branch"/>
          <dgm:animLvl val="lvl"/>
        </dgm:presLayoutVars>
      </dgm:prSet>
      <dgm:spPr/>
      <dgm:t>
        <a:bodyPr/>
        <a:lstStyle/>
        <a:p>
          <a:endParaRPr lang="fr-FR"/>
        </a:p>
      </dgm:t>
    </dgm:pt>
    <dgm:pt modelId="{0EE22896-CB9B-404C-A522-8D52FD2AE3C2}" type="pres">
      <dgm:prSet presAssocID="{07C8E92B-E527-421A-A396-974102485138}" presName="thickLine" presStyleLbl="alignNode1" presStyleIdx="0" presStyleCnt="1"/>
      <dgm:spPr>
        <a:xfrm>
          <a:off x="0" y="0"/>
          <a:ext cx="5486400" cy="0"/>
        </a:xfrm>
        <a:prstGeom prst="line">
          <a:avLst/>
        </a:prstGeom>
        <a:solidFill>
          <a:srgbClr val="4472C4">
            <a:hueOff val="0"/>
            <a:satOff val="0"/>
            <a:lumOff val="0"/>
            <a:alphaOff val="0"/>
          </a:srgbClr>
        </a:solidFill>
        <a:ln w="12700" cap="flat" cmpd="sng" algn="ctr">
          <a:solidFill>
            <a:srgbClr val="4472C4">
              <a:hueOff val="0"/>
              <a:satOff val="0"/>
              <a:lumOff val="0"/>
              <a:alphaOff val="0"/>
            </a:srgbClr>
          </a:solidFill>
          <a:prstDash val="solid"/>
          <a:miter lim="800000"/>
        </a:ln>
        <a:effectLst/>
      </dgm:spPr>
    </dgm:pt>
    <dgm:pt modelId="{1B640F76-EC27-461E-8F54-CB8FC40B2E4C}" type="pres">
      <dgm:prSet presAssocID="{07C8E92B-E527-421A-A396-974102485138}" presName="horz1" presStyleCnt="0"/>
      <dgm:spPr/>
    </dgm:pt>
    <dgm:pt modelId="{EFBC8139-D11C-48CE-A887-4236B1D868BC}" type="pres">
      <dgm:prSet presAssocID="{07C8E92B-E527-421A-A396-974102485138}" presName="tx1" presStyleLbl="revTx" presStyleIdx="0" presStyleCnt="1" custLinFactNeighborX="1042" custLinFactNeighborY="52683"/>
      <dgm:spPr>
        <a:prstGeom prst="rect">
          <a:avLst/>
        </a:prstGeom>
      </dgm:spPr>
      <dgm:t>
        <a:bodyPr/>
        <a:lstStyle/>
        <a:p>
          <a:endParaRPr lang="fr-FR"/>
        </a:p>
      </dgm:t>
    </dgm:pt>
    <dgm:pt modelId="{D8C01708-0D5F-46F1-927B-46E22C3F3407}" type="pres">
      <dgm:prSet presAssocID="{07C8E92B-E527-421A-A396-974102485138}" presName="vert1" presStyleCnt="0"/>
      <dgm:spPr/>
    </dgm:pt>
  </dgm:ptLst>
  <dgm:cxnLst>
    <dgm:cxn modelId="{A7E8DD43-0416-4C4A-A5A7-403CA09B5CA4}" srcId="{D4426682-D64A-4F39-8926-C45C45DECFBC}" destId="{07C8E92B-E527-421A-A396-974102485138}" srcOrd="0" destOrd="0" parTransId="{8BC4BBC4-8060-486C-A405-4BC23DEF97F1}" sibTransId="{0A330CB6-9410-466E-8C7A-121CB89549C6}"/>
    <dgm:cxn modelId="{2377BAA6-F994-425A-8A1F-57D80BD636FF}" type="presOf" srcId="{D4426682-D64A-4F39-8926-C45C45DECFBC}" destId="{03C71918-B8C2-4D43-A232-3789216E675F}" srcOrd="0" destOrd="0" presId="urn:microsoft.com/office/officeart/2008/layout/LinedList"/>
    <dgm:cxn modelId="{BF38D603-CC86-4FF6-B49B-3102434716AA}" type="presOf" srcId="{07C8E92B-E527-421A-A396-974102485138}" destId="{EFBC8139-D11C-48CE-A887-4236B1D868BC}" srcOrd="0" destOrd="0" presId="urn:microsoft.com/office/officeart/2008/layout/LinedList"/>
    <dgm:cxn modelId="{FD9B83BF-AC32-42CF-9D75-A11EBE31AB1D}" type="presParOf" srcId="{03C71918-B8C2-4D43-A232-3789216E675F}" destId="{0EE22896-CB9B-404C-A522-8D52FD2AE3C2}" srcOrd="0" destOrd="0" presId="urn:microsoft.com/office/officeart/2008/layout/LinedList"/>
    <dgm:cxn modelId="{5AC7CAF1-5B68-47D3-8E43-61920EE74F94}" type="presParOf" srcId="{03C71918-B8C2-4D43-A232-3789216E675F}" destId="{1B640F76-EC27-461E-8F54-CB8FC40B2E4C}" srcOrd="1" destOrd="0" presId="urn:microsoft.com/office/officeart/2008/layout/LinedList"/>
    <dgm:cxn modelId="{8E1120E8-EC93-4532-B9E9-912156BAC4AD}" type="presParOf" srcId="{1B640F76-EC27-461E-8F54-CB8FC40B2E4C}" destId="{EFBC8139-D11C-48CE-A887-4236B1D868BC}" srcOrd="0" destOrd="0" presId="urn:microsoft.com/office/officeart/2008/layout/LinedList"/>
    <dgm:cxn modelId="{CBA26B67-9A3F-45EA-8992-954241C14DD2}" type="presParOf" srcId="{1B640F76-EC27-461E-8F54-CB8FC40B2E4C}" destId="{D8C01708-0D5F-46F1-927B-46E22C3F3407}" srcOrd="1" destOrd="0" presId="urn:microsoft.com/office/officeart/2008/layout/LinedList"/>
  </dgm:cxnLst>
  <dgm:bg/>
  <dgm:whole/>
  <dgm:extLst>
    <a:ext uri="http://schemas.microsoft.com/office/drawing/2008/diagram">
      <dsp:dataModelExt xmlns:dsp="http://schemas.microsoft.com/office/drawing/2008/diagram" relId="rId7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EE22896-CB9B-404C-A522-8D52FD2AE3C2}">
      <dsp:nvSpPr>
        <dsp:cNvPr id="0" name=""/>
        <dsp:cNvSpPr/>
      </dsp:nvSpPr>
      <dsp:spPr>
        <a:xfrm>
          <a:off x="0" y="0"/>
          <a:ext cx="5486400" cy="0"/>
        </a:xfrm>
        <a:prstGeom prst="line">
          <a:avLst/>
        </a:prstGeom>
        <a:solidFill>
          <a:srgbClr val="4472C4">
            <a:hueOff val="0"/>
            <a:satOff val="0"/>
            <a:lumOff val="0"/>
            <a:alphaOff val="0"/>
          </a:srgbClr>
        </a:solidFill>
        <a:ln w="12700" cap="flat" cmpd="sng" algn="ctr">
          <a:solidFill>
            <a:srgbClr val="4472C4">
              <a:hueOff val="0"/>
              <a:satOff val="0"/>
              <a:lumOff val="0"/>
              <a:alphaOff val="0"/>
            </a:srgbClr>
          </a:solidFill>
          <a:prstDash val="solid"/>
          <a:miter lim="800000"/>
        </a:ln>
        <a:effectLst/>
      </dsp:spPr>
      <dsp:style>
        <a:lnRef idx="2">
          <a:scrgbClr r="0" g="0" b="0"/>
        </a:lnRef>
        <a:fillRef idx="1">
          <a:scrgbClr r="0" g="0" b="0"/>
        </a:fillRef>
        <a:effectRef idx="1">
          <a:scrgbClr r="0" g="0" b="0"/>
        </a:effectRef>
        <a:fontRef idx="minor">
          <a:schemeClr val="lt1"/>
        </a:fontRef>
      </dsp:style>
    </dsp:sp>
    <dsp:sp modelId="{EFBC8139-D11C-48CE-A887-4236B1D868BC}">
      <dsp:nvSpPr>
        <dsp:cNvPr id="0" name=""/>
        <dsp:cNvSpPr/>
      </dsp:nvSpPr>
      <dsp:spPr>
        <a:xfrm>
          <a:off x="0" y="0"/>
          <a:ext cx="5486400" cy="205740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06680" tIns="106680" rIns="106680" bIns="106680" numCol="1" spcCol="1270" anchor="t" anchorCtr="0">
          <a:noAutofit/>
        </a:bodyPr>
        <a:lstStyle/>
        <a:p>
          <a:pPr lvl="0" algn="ctr" defTabSz="1244600">
            <a:lnSpc>
              <a:spcPct val="90000"/>
            </a:lnSpc>
            <a:spcBef>
              <a:spcPct val="0"/>
            </a:spcBef>
            <a:spcAft>
              <a:spcPct val="35000"/>
            </a:spcAft>
            <a:buNone/>
          </a:pPr>
          <a:r>
            <a:rPr lang="en-US" sz="2800" b="1"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General Introduction</a:t>
          </a:r>
        </a:p>
      </dsp:txBody>
      <dsp:txXfrm>
        <a:off x="0" y="0"/>
        <a:ext cx="5486400" cy="2057400"/>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EE22896-CB9B-404C-A522-8D52FD2AE3C2}">
      <dsp:nvSpPr>
        <dsp:cNvPr id="0" name=""/>
        <dsp:cNvSpPr/>
      </dsp:nvSpPr>
      <dsp:spPr>
        <a:xfrm>
          <a:off x="0" y="0"/>
          <a:ext cx="5486400" cy="0"/>
        </a:xfrm>
        <a:prstGeom prst="line">
          <a:avLst/>
        </a:prstGeom>
        <a:solidFill>
          <a:srgbClr val="4472C4">
            <a:hueOff val="0"/>
            <a:satOff val="0"/>
            <a:lumOff val="0"/>
            <a:alphaOff val="0"/>
          </a:srgbClr>
        </a:solidFill>
        <a:ln w="12700" cap="flat" cmpd="sng" algn="ctr">
          <a:solidFill>
            <a:srgbClr val="4472C4">
              <a:hueOff val="0"/>
              <a:satOff val="0"/>
              <a:lumOff val="0"/>
              <a:alphaOff val="0"/>
            </a:srgbClr>
          </a:solidFill>
          <a:prstDash val="solid"/>
          <a:miter lim="800000"/>
        </a:ln>
        <a:effectLst/>
      </dsp:spPr>
      <dsp:style>
        <a:lnRef idx="2">
          <a:scrgbClr r="0" g="0" b="0"/>
        </a:lnRef>
        <a:fillRef idx="1">
          <a:scrgbClr r="0" g="0" b="0"/>
        </a:fillRef>
        <a:effectRef idx="1">
          <a:scrgbClr r="0" g="0" b="0"/>
        </a:effectRef>
        <a:fontRef idx="minor">
          <a:schemeClr val="lt1"/>
        </a:fontRef>
      </dsp:style>
    </dsp:sp>
    <dsp:sp modelId="{EFBC8139-D11C-48CE-A887-4236B1D868BC}">
      <dsp:nvSpPr>
        <dsp:cNvPr id="0" name=""/>
        <dsp:cNvSpPr/>
      </dsp:nvSpPr>
      <dsp:spPr>
        <a:xfrm>
          <a:off x="0" y="0"/>
          <a:ext cx="5486400" cy="205740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06680" tIns="106680" rIns="106680" bIns="106680" numCol="1" spcCol="1270" anchor="t" anchorCtr="0">
          <a:noAutofit/>
        </a:bodyPr>
        <a:lstStyle/>
        <a:p>
          <a:pPr lvl="0" algn="ctr" defTabSz="1244600">
            <a:lnSpc>
              <a:spcPct val="90000"/>
            </a:lnSpc>
            <a:spcBef>
              <a:spcPct val="0"/>
            </a:spcBef>
            <a:spcAft>
              <a:spcPct val="35000"/>
            </a:spcAft>
            <a:buNone/>
          </a:pPr>
          <a:r>
            <a:rPr lang="en-US" sz="2800" b="1"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Chapter One</a:t>
          </a:r>
        </a:p>
        <a:p>
          <a:pPr lvl="0" algn="ctr" defTabSz="1244600">
            <a:lnSpc>
              <a:spcPct val="90000"/>
            </a:lnSpc>
            <a:spcBef>
              <a:spcPct val="0"/>
            </a:spcBef>
            <a:spcAft>
              <a:spcPct val="35000"/>
            </a:spcAft>
            <a:buNone/>
          </a:pPr>
          <a:r>
            <a:rPr lang="en-US" sz="2800" b="1"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Summative Assessment Literacy and Online Teacher Communities</a:t>
          </a:r>
        </a:p>
      </dsp:txBody>
      <dsp:txXfrm>
        <a:off x="0" y="0"/>
        <a:ext cx="5486400" cy="2057400"/>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F51482B-975C-412F-9E82-467AE836840F}">
      <dsp:nvSpPr>
        <dsp:cNvPr id="0" name=""/>
        <dsp:cNvSpPr/>
      </dsp:nvSpPr>
      <dsp:spPr>
        <a:xfrm>
          <a:off x="2147576" y="547"/>
          <a:ext cx="854936" cy="741894"/>
        </a:xfrm>
        <a:prstGeom prst="ellipse">
          <a:avLst/>
        </a:prstGeom>
        <a:solidFill>
          <a:sysClr val="window" lastClr="FFFFFF">
            <a:hueOff val="0"/>
            <a:satOff val="0"/>
            <a:lumOff val="0"/>
            <a:alphaOff val="0"/>
          </a:sysClr>
        </a:solidFill>
        <a:ln w="12700" cap="flat" cmpd="sng" algn="ctr">
          <a:solidFill>
            <a:srgbClr val="44546A">
              <a:shade val="80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buNone/>
          </a:pPr>
          <a:r>
            <a:rPr lang="en-US" sz="900" b="1" kern="1200">
              <a:solidFill>
                <a:sysClr val="windowText" lastClr="000000"/>
              </a:solidFill>
              <a:latin typeface="Times New Roman" panose="02020603050405020304" pitchFamily="18" charset="0"/>
              <a:ea typeface="+mn-ea"/>
              <a:cs typeface="Times New Roman" panose="02020603050405020304" pitchFamily="18" charset="0"/>
            </a:rPr>
            <a:t>2/ Feeling</a:t>
          </a:r>
        </a:p>
        <a:p>
          <a:pPr lvl="0" algn="ctr" defTabSz="400050">
            <a:lnSpc>
              <a:spcPct val="90000"/>
            </a:lnSpc>
            <a:spcBef>
              <a:spcPct val="0"/>
            </a:spcBef>
            <a:spcAft>
              <a:spcPct val="35000"/>
            </a:spcAft>
            <a:buNone/>
          </a:pPr>
          <a:r>
            <a:rPr lang="en-US" sz="900" kern="1200">
              <a:solidFill>
                <a:sysClr val="windowText" lastClr="000000"/>
              </a:solidFill>
              <a:latin typeface="Times New Roman" panose="02020603050405020304" pitchFamily="18" charset="0"/>
              <a:ea typeface="+mn-ea"/>
              <a:cs typeface="Times New Roman" panose="02020603050405020304" pitchFamily="18" charset="0"/>
            </a:rPr>
            <a:t>What were you thinking and feeling?</a:t>
          </a:r>
        </a:p>
      </dsp:txBody>
      <dsp:txXfrm>
        <a:off x="2272778" y="109195"/>
        <a:ext cx="604532" cy="524598"/>
      </dsp:txXfrm>
    </dsp:sp>
    <dsp:sp modelId="{C3D3922F-19AC-447E-ACDD-424A8423B10E}">
      <dsp:nvSpPr>
        <dsp:cNvPr id="0" name=""/>
        <dsp:cNvSpPr/>
      </dsp:nvSpPr>
      <dsp:spPr>
        <a:xfrm rot="1534550">
          <a:off x="3002508" y="489967"/>
          <a:ext cx="163323" cy="250389"/>
        </a:xfrm>
        <a:prstGeom prst="rightArrow">
          <a:avLst>
            <a:gd name="adj1" fmla="val 60000"/>
            <a:gd name="adj2" fmla="val 50000"/>
          </a:avLst>
        </a:prstGeom>
        <a:solidFill>
          <a:srgbClr val="44546A">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buNone/>
          </a:pPr>
          <a:endParaRPr lang="en-US" sz="1200" kern="1200">
            <a:solidFill>
              <a:sysClr val="windowText" lastClr="000000"/>
            </a:solidFill>
            <a:latin typeface="Times New Roman" panose="02020603050405020304" pitchFamily="18" charset="0"/>
            <a:ea typeface="+mn-ea"/>
            <a:cs typeface="Times New Roman" panose="02020603050405020304" pitchFamily="18" charset="0"/>
          </a:endParaRPr>
        </a:p>
      </dsp:txBody>
      <dsp:txXfrm>
        <a:off x="3004908" y="529469"/>
        <a:ext cx="114326" cy="150233"/>
      </dsp:txXfrm>
    </dsp:sp>
    <dsp:sp modelId="{EAD03A47-BD76-435A-AE0B-69AE4EB4091D}">
      <dsp:nvSpPr>
        <dsp:cNvPr id="0" name=""/>
        <dsp:cNvSpPr/>
      </dsp:nvSpPr>
      <dsp:spPr>
        <a:xfrm>
          <a:off x="3146140" y="486785"/>
          <a:ext cx="1080123" cy="833021"/>
        </a:xfrm>
        <a:prstGeom prst="ellipse">
          <a:avLst/>
        </a:prstGeom>
        <a:solidFill>
          <a:sysClr val="window" lastClr="FFFFFF">
            <a:hueOff val="0"/>
            <a:satOff val="0"/>
            <a:lumOff val="0"/>
            <a:alphaOff val="0"/>
          </a:sysClr>
        </a:solidFill>
        <a:ln w="12700" cap="flat" cmpd="sng" algn="ctr">
          <a:solidFill>
            <a:srgbClr val="44546A">
              <a:shade val="80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buNone/>
          </a:pPr>
          <a:r>
            <a:rPr lang="en-US" sz="900" b="1" kern="1200">
              <a:solidFill>
                <a:sysClr val="windowText" lastClr="000000"/>
              </a:solidFill>
              <a:latin typeface="Times New Roman" panose="02020603050405020304" pitchFamily="18" charset="0"/>
              <a:ea typeface="+mn-ea"/>
              <a:cs typeface="Times New Roman" panose="02020603050405020304" pitchFamily="18" charset="0"/>
            </a:rPr>
            <a:t>3/ Evaluation</a:t>
          </a:r>
        </a:p>
        <a:p>
          <a:pPr lvl="0" algn="ctr" defTabSz="400050">
            <a:lnSpc>
              <a:spcPct val="90000"/>
            </a:lnSpc>
            <a:spcBef>
              <a:spcPct val="0"/>
            </a:spcBef>
            <a:spcAft>
              <a:spcPct val="35000"/>
            </a:spcAft>
            <a:buNone/>
          </a:pPr>
          <a:r>
            <a:rPr lang="en-US" sz="900" kern="1200">
              <a:solidFill>
                <a:sysClr val="windowText" lastClr="000000"/>
              </a:solidFill>
              <a:latin typeface="Times New Roman" panose="02020603050405020304" pitchFamily="18" charset="0"/>
              <a:ea typeface="+mn-ea"/>
              <a:cs typeface="Times New Roman" panose="02020603050405020304" pitchFamily="18" charset="0"/>
            </a:rPr>
            <a:t>What was good and bad about the experience?</a:t>
          </a:r>
        </a:p>
      </dsp:txBody>
      <dsp:txXfrm>
        <a:off x="3304320" y="608778"/>
        <a:ext cx="763763" cy="589035"/>
      </dsp:txXfrm>
    </dsp:sp>
    <dsp:sp modelId="{AC9A328E-5324-449D-B573-8DC6A6D2A4CB}">
      <dsp:nvSpPr>
        <dsp:cNvPr id="0" name=""/>
        <dsp:cNvSpPr/>
      </dsp:nvSpPr>
      <dsp:spPr>
        <a:xfrm rot="5319844">
          <a:off x="3619364" y="1340850"/>
          <a:ext cx="159924" cy="250389"/>
        </a:xfrm>
        <a:prstGeom prst="rightArrow">
          <a:avLst>
            <a:gd name="adj1" fmla="val 60000"/>
            <a:gd name="adj2" fmla="val 50000"/>
          </a:avLst>
        </a:prstGeom>
        <a:solidFill>
          <a:srgbClr val="44546A">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buNone/>
          </a:pPr>
          <a:endParaRPr lang="en-US" sz="1200" kern="1200">
            <a:solidFill>
              <a:sysClr val="windowText" lastClr="000000"/>
            </a:solidFill>
            <a:latin typeface="Times New Roman" panose="02020603050405020304" pitchFamily="18" charset="0"/>
            <a:ea typeface="+mn-ea"/>
            <a:cs typeface="Times New Roman" panose="02020603050405020304" pitchFamily="18" charset="0"/>
          </a:endParaRPr>
        </a:p>
      </dsp:txBody>
      <dsp:txXfrm>
        <a:off x="3642793" y="1366946"/>
        <a:ext cx="111947" cy="150233"/>
      </dsp:txXfrm>
    </dsp:sp>
    <dsp:sp modelId="{69A64B82-D885-4183-89D1-4D1556C3AE11}">
      <dsp:nvSpPr>
        <dsp:cNvPr id="0" name=""/>
        <dsp:cNvSpPr/>
      </dsp:nvSpPr>
      <dsp:spPr>
        <a:xfrm>
          <a:off x="3145025" y="1621357"/>
          <a:ext cx="1133147" cy="741894"/>
        </a:xfrm>
        <a:prstGeom prst="ellipse">
          <a:avLst/>
        </a:prstGeom>
        <a:solidFill>
          <a:sysClr val="window" lastClr="FFFFFF">
            <a:hueOff val="0"/>
            <a:satOff val="0"/>
            <a:lumOff val="0"/>
            <a:alphaOff val="0"/>
          </a:sysClr>
        </a:solidFill>
        <a:ln w="12700" cap="flat" cmpd="sng" algn="ctr">
          <a:solidFill>
            <a:srgbClr val="44546A">
              <a:shade val="80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buNone/>
          </a:pPr>
          <a:r>
            <a:rPr lang="en-US" sz="900" b="1" kern="1200">
              <a:solidFill>
                <a:sysClr val="windowText" lastClr="000000"/>
              </a:solidFill>
              <a:latin typeface="Times New Roman" panose="02020603050405020304" pitchFamily="18" charset="0"/>
              <a:ea typeface="+mn-ea"/>
              <a:cs typeface="Times New Roman" panose="02020603050405020304" pitchFamily="18" charset="0"/>
            </a:rPr>
            <a:t>4/ Analysis</a:t>
          </a:r>
        </a:p>
        <a:p>
          <a:pPr lvl="0" algn="ctr" defTabSz="400050">
            <a:lnSpc>
              <a:spcPct val="90000"/>
            </a:lnSpc>
            <a:spcBef>
              <a:spcPct val="0"/>
            </a:spcBef>
            <a:spcAft>
              <a:spcPct val="35000"/>
            </a:spcAft>
            <a:buNone/>
          </a:pPr>
          <a:r>
            <a:rPr lang="en-US" sz="900" kern="1200">
              <a:solidFill>
                <a:sysClr val="windowText" lastClr="000000"/>
              </a:solidFill>
              <a:latin typeface="Times New Roman" panose="02020603050405020304" pitchFamily="18" charset="0"/>
              <a:ea typeface="+mn-ea"/>
              <a:cs typeface="Times New Roman" panose="02020603050405020304" pitchFamily="18" charset="0"/>
            </a:rPr>
            <a:t>What sense can you make of the situation?</a:t>
          </a:r>
        </a:p>
      </dsp:txBody>
      <dsp:txXfrm>
        <a:off x="3310971" y="1730005"/>
        <a:ext cx="801255" cy="524598"/>
      </dsp:txXfrm>
    </dsp:sp>
    <dsp:sp modelId="{AEC776B2-CBEB-48E8-BD65-7D5749DAB7C9}">
      <dsp:nvSpPr>
        <dsp:cNvPr id="0" name=""/>
        <dsp:cNvSpPr/>
      </dsp:nvSpPr>
      <dsp:spPr>
        <a:xfrm rot="9111323">
          <a:off x="3044759" y="2177153"/>
          <a:ext cx="174533" cy="250389"/>
        </a:xfrm>
        <a:prstGeom prst="rightArrow">
          <a:avLst>
            <a:gd name="adj1" fmla="val 60000"/>
            <a:gd name="adj2" fmla="val 50000"/>
          </a:avLst>
        </a:prstGeom>
        <a:solidFill>
          <a:srgbClr val="44546A">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buNone/>
          </a:pPr>
          <a:endParaRPr lang="en-US" sz="1200" kern="1200">
            <a:solidFill>
              <a:sysClr val="windowText" lastClr="000000"/>
            </a:solidFill>
            <a:latin typeface="Times New Roman" panose="02020603050405020304" pitchFamily="18" charset="0"/>
            <a:ea typeface="+mn-ea"/>
            <a:cs typeface="Times New Roman" panose="02020603050405020304" pitchFamily="18" charset="0"/>
          </a:endParaRPr>
        </a:p>
      </dsp:txBody>
      <dsp:txXfrm rot="10800000">
        <a:off x="3094023" y="2214882"/>
        <a:ext cx="122173" cy="150233"/>
      </dsp:txXfrm>
    </dsp:sp>
    <dsp:sp modelId="{F534FAF6-26D7-4928-9178-AC3D7397EB83}">
      <dsp:nvSpPr>
        <dsp:cNvPr id="0" name=""/>
        <dsp:cNvSpPr/>
      </dsp:nvSpPr>
      <dsp:spPr>
        <a:xfrm>
          <a:off x="2071513" y="2229358"/>
          <a:ext cx="1007062" cy="741894"/>
        </a:xfrm>
        <a:prstGeom prst="ellipse">
          <a:avLst/>
        </a:prstGeom>
        <a:solidFill>
          <a:sysClr val="window" lastClr="FFFFFF">
            <a:hueOff val="0"/>
            <a:satOff val="0"/>
            <a:lumOff val="0"/>
            <a:alphaOff val="0"/>
          </a:sysClr>
        </a:solidFill>
        <a:ln w="12700" cap="flat" cmpd="sng" algn="ctr">
          <a:solidFill>
            <a:srgbClr val="44546A">
              <a:shade val="80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buNone/>
          </a:pPr>
          <a:r>
            <a:rPr lang="en-US" sz="900" b="1" kern="1200">
              <a:solidFill>
                <a:sysClr val="windowText" lastClr="000000"/>
              </a:solidFill>
              <a:latin typeface="Times New Roman" panose="02020603050405020304" pitchFamily="18" charset="0"/>
              <a:ea typeface="+mn-ea"/>
              <a:cs typeface="Times New Roman" panose="02020603050405020304" pitchFamily="18" charset="0"/>
            </a:rPr>
            <a:t>5/ Conclusion </a:t>
          </a:r>
        </a:p>
        <a:p>
          <a:pPr lvl="0" algn="ctr" defTabSz="400050">
            <a:lnSpc>
              <a:spcPct val="90000"/>
            </a:lnSpc>
            <a:spcBef>
              <a:spcPct val="0"/>
            </a:spcBef>
            <a:spcAft>
              <a:spcPct val="35000"/>
            </a:spcAft>
            <a:buNone/>
          </a:pPr>
          <a:r>
            <a:rPr lang="en-US" sz="900" kern="1200">
              <a:solidFill>
                <a:sysClr val="windowText" lastClr="000000"/>
              </a:solidFill>
              <a:latin typeface="Times New Roman" panose="02020603050405020304" pitchFamily="18" charset="0"/>
              <a:ea typeface="+mn-ea"/>
              <a:cs typeface="Times New Roman" panose="02020603050405020304" pitchFamily="18" charset="0"/>
            </a:rPr>
            <a:t>What else could you have done</a:t>
          </a:r>
        </a:p>
      </dsp:txBody>
      <dsp:txXfrm>
        <a:off x="2218994" y="2338006"/>
        <a:ext cx="712100" cy="524598"/>
      </dsp:txXfrm>
    </dsp:sp>
    <dsp:sp modelId="{BD716309-8C44-4B97-BDA8-0DF642D59AC6}">
      <dsp:nvSpPr>
        <dsp:cNvPr id="0" name=""/>
        <dsp:cNvSpPr/>
      </dsp:nvSpPr>
      <dsp:spPr>
        <a:xfrm rot="12314627">
          <a:off x="1953109" y="2216996"/>
          <a:ext cx="149001" cy="250389"/>
        </a:xfrm>
        <a:prstGeom prst="rightArrow">
          <a:avLst>
            <a:gd name="adj1" fmla="val 60000"/>
            <a:gd name="adj2" fmla="val 50000"/>
          </a:avLst>
        </a:prstGeom>
        <a:solidFill>
          <a:srgbClr val="44546A">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buNone/>
          </a:pPr>
          <a:endParaRPr lang="en-US" sz="1200" kern="1200">
            <a:solidFill>
              <a:sysClr val="windowText" lastClr="000000"/>
            </a:solidFill>
            <a:latin typeface="Times New Roman" panose="02020603050405020304" pitchFamily="18" charset="0"/>
            <a:ea typeface="+mn-ea"/>
            <a:cs typeface="Times New Roman" panose="02020603050405020304" pitchFamily="18" charset="0"/>
          </a:endParaRPr>
        </a:p>
      </dsp:txBody>
      <dsp:txXfrm rot="10800000">
        <a:off x="1995675" y="2276606"/>
        <a:ext cx="104301" cy="150233"/>
      </dsp:txXfrm>
    </dsp:sp>
    <dsp:sp modelId="{B64DC65E-AE26-4B4A-9EEE-A73E6F5EF67D}">
      <dsp:nvSpPr>
        <dsp:cNvPr id="0" name=""/>
        <dsp:cNvSpPr/>
      </dsp:nvSpPr>
      <dsp:spPr>
        <a:xfrm>
          <a:off x="814525" y="1638301"/>
          <a:ext cx="1184426" cy="822300"/>
        </a:xfrm>
        <a:prstGeom prst="ellipse">
          <a:avLst/>
        </a:prstGeom>
        <a:solidFill>
          <a:sysClr val="window" lastClr="FFFFFF">
            <a:hueOff val="0"/>
            <a:satOff val="0"/>
            <a:lumOff val="0"/>
            <a:alphaOff val="0"/>
          </a:sysClr>
        </a:solidFill>
        <a:ln w="12700" cap="flat" cmpd="sng" algn="ctr">
          <a:solidFill>
            <a:srgbClr val="44546A">
              <a:shade val="80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buNone/>
          </a:pPr>
          <a:r>
            <a:rPr lang="en-US" sz="1000" b="1" kern="1200">
              <a:solidFill>
                <a:sysClr val="windowText" lastClr="000000"/>
              </a:solidFill>
              <a:latin typeface="Times New Roman" panose="02020603050405020304" pitchFamily="18" charset="0"/>
              <a:ea typeface="+mn-ea"/>
              <a:cs typeface="Times New Roman" panose="02020603050405020304" pitchFamily="18" charset="0"/>
            </a:rPr>
            <a:t>6/Action plan</a:t>
          </a:r>
        </a:p>
        <a:p>
          <a:pPr lvl="0" algn="ctr" defTabSz="444500">
            <a:lnSpc>
              <a:spcPct val="90000"/>
            </a:lnSpc>
            <a:spcBef>
              <a:spcPct val="0"/>
            </a:spcBef>
            <a:spcAft>
              <a:spcPct val="35000"/>
            </a:spcAft>
            <a:buNone/>
          </a:pPr>
          <a:r>
            <a:rPr lang="en-US" sz="1000" kern="1200">
              <a:solidFill>
                <a:sysClr val="windowText" lastClr="000000"/>
              </a:solidFill>
              <a:latin typeface="Times New Roman" panose="02020603050405020304" pitchFamily="18" charset="0"/>
              <a:ea typeface="+mn-ea"/>
              <a:cs typeface="Times New Roman" panose="02020603050405020304" pitchFamily="18" charset="0"/>
            </a:rPr>
            <a:t>If it arose again, what would you do? </a:t>
          </a:r>
        </a:p>
        <a:p>
          <a:pPr lvl="0" algn="ctr" defTabSz="444500">
            <a:lnSpc>
              <a:spcPct val="90000"/>
            </a:lnSpc>
            <a:spcBef>
              <a:spcPct val="0"/>
            </a:spcBef>
            <a:spcAft>
              <a:spcPct val="35000"/>
            </a:spcAft>
            <a:buNone/>
          </a:pPr>
          <a:endParaRPr lang="en-US" sz="1000" kern="1200">
            <a:solidFill>
              <a:sysClr val="windowText" lastClr="000000"/>
            </a:solidFill>
            <a:latin typeface="Times New Roman" panose="02020603050405020304" pitchFamily="18" charset="0"/>
            <a:ea typeface="+mn-ea"/>
            <a:cs typeface="Times New Roman" panose="02020603050405020304" pitchFamily="18" charset="0"/>
          </a:endParaRPr>
        </a:p>
      </dsp:txBody>
      <dsp:txXfrm>
        <a:off x="987980" y="1758724"/>
        <a:ext cx="837516" cy="581454"/>
      </dsp:txXfrm>
    </dsp:sp>
    <dsp:sp modelId="{A315825F-724B-4ECE-818D-9BD70B6993DE}">
      <dsp:nvSpPr>
        <dsp:cNvPr id="0" name=""/>
        <dsp:cNvSpPr/>
      </dsp:nvSpPr>
      <dsp:spPr>
        <a:xfrm rot="16200017">
          <a:off x="1293438" y="1305739"/>
          <a:ext cx="226607" cy="250389"/>
        </a:xfrm>
        <a:prstGeom prst="rightArrow">
          <a:avLst>
            <a:gd name="adj1" fmla="val 60000"/>
            <a:gd name="adj2" fmla="val 50000"/>
          </a:avLst>
        </a:prstGeom>
        <a:solidFill>
          <a:srgbClr val="44546A">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55600">
            <a:lnSpc>
              <a:spcPct val="90000"/>
            </a:lnSpc>
            <a:spcBef>
              <a:spcPct val="0"/>
            </a:spcBef>
            <a:spcAft>
              <a:spcPct val="35000"/>
            </a:spcAft>
            <a:buNone/>
          </a:pPr>
          <a:endParaRPr lang="en-US" sz="800" kern="1200">
            <a:solidFill>
              <a:sysClr val="windowText" lastClr="000000"/>
            </a:solidFill>
            <a:latin typeface="Times New Roman" panose="02020603050405020304" pitchFamily="18" charset="0"/>
            <a:ea typeface="+mn-ea"/>
            <a:cs typeface="Times New Roman" panose="02020603050405020304" pitchFamily="18" charset="0"/>
          </a:endParaRPr>
        </a:p>
      </dsp:txBody>
      <dsp:txXfrm>
        <a:off x="1327429" y="1389808"/>
        <a:ext cx="158625" cy="150233"/>
      </dsp:txXfrm>
    </dsp:sp>
    <dsp:sp modelId="{AD4248D7-B92F-4C39-AB76-6D0F89DBF816}">
      <dsp:nvSpPr>
        <dsp:cNvPr id="0" name=""/>
        <dsp:cNvSpPr/>
      </dsp:nvSpPr>
      <dsp:spPr>
        <a:xfrm>
          <a:off x="868782" y="468845"/>
          <a:ext cx="1075924" cy="741894"/>
        </a:xfrm>
        <a:prstGeom prst="ellipse">
          <a:avLst/>
        </a:prstGeom>
        <a:solidFill>
          <a:sysClr val="window" lastClr="FFFFFF">
            <a:hueOff val="0"/>
            <a:satOff val="0"/>
            <a:lumOff val="0"/>
            <a:alphaOff val="0"/>
          </a:sysClr>
        </a:solidFill>
        <a:ln w="12700" cap="flat" cmpd="sng" algn="ctr">
          <a:solidFill>
            <a:srgbClr val="44546A">
              <a:shade val="80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buNone/>
          </a:pPr>
          <a:r>
            <a:rPr lang="en-US" sz="1000" b="1" kern="1200">
              <a:solidFill>
                <a:sysClr val="windowText" lastClr="000000"/>
              </a:solidFill>
              <a:latin typeface="Times New Roman" panose="02020603050405020304" pitchFamily="18" charset="0"/>
              <a:ea typeface="+mn-ea"/>
              <a:cs typeface="Times New Roman" panose="02020603050405020304" pitchFamily="18" charset="0"/>
            </a:rPr>
            <a:t>1/Description</a:t>
          </a:r>
        </a:p>
        <a:p>
          <a:pPr lvl="0" algn="ctr" defTabSz="444500">
            <a:lnSpc>
              <a:spcPct val="90000"/>
            </a:lnSpc>
            <a:spcBef>
              <a:spcPct val="0"/>
            </a:spcBef>
            <a:spcAft>
              <a:spcPct val="35000"/>
            </a:spcAft>
            <a:buNone/>
          </a:pPr>
          <a:r>
            <a:rPr lang="en-US" sz="1000" kern="1200">
              <a:solidFill>
                <a:sysClr val="windowText" lastClr="000000"/>
              </a:solidFill>
              <a:latin typeface="Times New Roman" panose="02020603050405020304" pitchFamily="18" charset="0"/>
              <a:ea typeface="+mn-ea"/>
              <a:cs typeface="Times New Roman" panose="02020603050405020304" pitchFamily="18" charset="0"/>
            </a:rPr>
            <a:t>What happened?</a:t>
          </a:r>
        </a:p>
      </dsp:txBody>
      <dsp:txXfrm>
        <a:off x="1026347" y="577493"/>
        <a:ext cx="760794" cy="524598"/>
      </dsp:txXfrm>
    </dsp:sp>
    <dsp:sp modelId="{2D9F8836-EA22-4F94-8E08-783689B6730B}">
      <dsp:nvSpPr>
        <dsp:cNvPr id="0" name=""/>
        <dsp:cNvSpPr/>
      </dsp:nvSpPr>
      <dsp:spPr>
        <a:xfrm rot="20289435">
          <a:off x="1934706" y="466907"/>
          <a:ext cx="179943" cy="250389"/>
        </a:xfrm>
        <a:prstGeom prst="rightArrow">
          <a:avLst>
            <a:gd name="adj1" fmla="val 60000"/>
            <a:gd name="adj2" fmla="val 50000"/>
          </a:avLst>
        </a:prstGeom>
        <a:solidFill>
          <a:srgbClr val="44546A">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buNone/>
          </a:pPr>
          <a:endParaRPr lang="en-US" sz="1200" kern="1200">
            <a:solidFill>
              <a:sysClr val="windowText" lastClr="000000"/>
            </a:solidFill>
            <a:latin typeface="Times New Roman" panose="02020603050405020304" pitchFamily="18" charset="0"/>
            <a:ea typeface="+mn-ea"/>
            <a:cs typeface="Times New Roman" panose="02020603050405020304" pitchFamily="18" charset="0"/>
          </a:endParaRPr>
        </a:p>
      </dsp:txBody>
      <dsp:txXfrm>
        <a:off x="1936644" y="527027"/>
        <a:ext cx="125960" cy="150233"/>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3C5B16A-A18F-4181-99CF-867A1A8E062A}">
      <dsp:nvSpPr>
        <dsp:cNvPr id="0" name=""/>
        <dsp:cNvSpPr/>
      </dsp:nvSpPr>
      <dsp:spPr>
        <a:xfrm>
          <a:off x="2218134" y="1154"/>
          <a:ext cx="1050131" cy="682585"/>
        </a:xfrm>
        <a:prstGeom prst="round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en-US" sz="1200" b="1"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Teacher's reaction</a:t>
          </a:r>
        </a:p>
      </dsp:txBody>
      <dsp:txXfrm>
        <a:off x="2251455" y="34475"/>
        <a:ext cx="983489" cy="615943"/>
      </dsp:txXfrm>
    </dsp:sp>
    <dsp:sp modelId="{85E90EC9-29E6-4EC8-98E2-30546467AE99}">
      <dsp:nvSpPr>
        <dsp:cNvPr id="0" name=""/>
        <dsp:cNvSpPr/>
      </dsp:nvSpPr>
      <dsp:spPr>
        <a:xfrm>
          <a:off x="1377808" y="342446"/>
          <a:ext cx="2730783" cy="2730783"/>
        </a:xfrm>
        <a:custGeom>
          <a:avLst/>
          <a:gdLst/>
          <a:ahLst/>
          <a:cxnLst/>
          <a:rect l="0" t="0" r="0" b="0"/>
          <a:pathLst>
            <a:path>
              <a:moveTo>
                <a:pt x="2031544" y="173529"/>
              </a:moveTo>
              <a:arcTo wR="1365391" hR="1365391" stAng="17952097" swAng="1213663"/>
            </a:path>
          </a:pathLst>
        </a:custGeom>
        <a:noFill/>
        <a:ln w="6350" cap="flat" cmpd="sng" algn="ctr">
          <a:solidFill>
            <a:sysClr val="windowText" lastClr="000000">
              <a:hueOff val="0"/>
              <a:satOff val="0"/>
              <a:lumOff val="0"/>
              <a:alphaOff val="0"/>
            </a:sysClr>
          </a:solidFill>
          <a:prstDash val="solid"/>
          <a:miter lim="800000"/>
          <a:tailEnd type="arrow"/>
        </a:ln>
        <a:effectLst/>
      </dsp:spPr>
      <dsp:style>
        <a:lnRef idx="1">
          <a:scrgbClr r="0" g="0" b="0"/>
        </a:lnRef>
        <a:fillRef idx="0">
          <a:scrgbClr r="0" g="0" b="0"/>
        </a:fillRef>
        <a:effectRef idx="0">
          <a:scrgbClr r="0" g="0" b="0"/>
        </a:effectRef>
        <a:fontRef idx="minor"/>
      </dsp:style>
    </dsp:sp>
    <dsp:sp modelId="{E63056B2-EA43-4B9F-8921-044743321AC3}">
      <dsp:nvSpPr>
        <dsp:cNvPr id="0" name=""/>
        <dsp:cNvSpPr/>
      </dsp:nvSpPr>
      <dsp:spPr>
        <a:xfrm>
          <a:off x="3516699" y="944616"/>
          <a:ext cx="1050131" cy="682585"/>
        </a:xfrm>
        <a:prstGeom prst="round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en-US" sz="1200" b="1"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Teacher's knowledge</a:t>
          </a:r>
        </a:p>
      </dsp:txBody>
      <dsp:txXfrm>
        <a:off x="3550020" y="977937"/>
        <a:ext cx="983489" cy="615943"/>
      </dsp:txXfrm>
    </dsp:sp>
    <dsp:sp modelId="{FF96380E-2707-4609-8F70-0213665D7AE4}">
      <dsp:nvSpPr>
        <dsp:cNvPr id="0" name=""/>
        <dsp:cNvSpPr/>
      </dsp:nvSpPr>
      <dsp:spPr>
        <a:xfrm>
          <a:off x="1377808" y="342446"/>
          <a:ext cx="2730783" cy="2730783"/>
        </a:xfrm>
        <a:custGeom>
          <a:avLst/>
          <a:gdLst/>
          <a:ahLst/>
          <a:cxnLst/>
          <a:rect l="0" t="0" r="0" b="0"/>
          <a:pathLst>
            <a:path>
              <a:moveTo>
                <a:pt x="2727527" y="1459631"/>
              </a:moveTo>
              <a:arcTo wR="1365391" hR="1365391" stAng="21837463" swAng="1361370"/>
            </a:path>
          </a:pathLst>
        </a:custGeom>
        <a:noFill/>
        <a:ln w="6350" cap="flat" cmpd="sng" algn="ctr">
          <a:solidFill>
            <a:sysClr val="windowText" lastClr="000000">
              <a:hueOff val="0"/>
              <a:satOff val="0"/>
              <a:lumOff val="0"/>
              <a:alphaOff val="0"/>
            </a:sysClr>
          </a:solidFill>
          <a:prstDash val="solid"/>
          <a:miter lim="800000"/>
          <a:tailEnd type="arrow"/>
        </a:ln>
        <a:effectLst/>
      </dsp:spPr>
      <dsp:style>
        <a:lnRef idx="1">
          <a:scrgbClr r="0" g="0" b="0"/>
        </a:lnRef>
        <a:fillRef idx="0">
          <a:scrgbClr r="0" g="0" b="0"/>
        </a:fillRef>
        <a:effectRef idx="0">
          <a:scrgbClr r="0" g="0" b="0"/>
        </a:effectRef>
        <a:fontRef idx="minor"/>
      </dsp:style>
    </dsp:sp>
    <dsp:sp modelId="{D70D6931-00A1-4471-B487-A14CCA2A40EE}">
      <dsp:nvSpPr>
        <dsp:cNvPr id="0" name=""/>
        <dsp:cNvSpPr/>
      </dsp:nvSpPr>
      <dsp:spPr>
        <a:xfrm>
          <a:off x="3020691" y="2471170"/>
          <a:ext cx="1050131" cy="682585"/>
        </a:xfrm>
        <a:prstGeom prst="round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en-US" sz="1200" b="1"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Use and classroom practice</a:t>
          </a:r>
        </a:p>
      </dsp:txBody>
      <dsp:txXfrm>
        <a:off x="3054012" y="2504491"/>
        <a:ext cx="983489" cy="615943"/>
      </dsp:txXfrm>
    </dsp:sp>
    <dsp:sp modelId="{526256CF-EA61-4F08-A1A7-1E0BAB9EC072}">
      <dsp:nvSpPr>
        <dsp:cNvPr id="0" name=""/>
        <dsp:cNvSpPr/>
      </dsp:nvSpPr>
      <dsp:spPr>
        <a:xfrm>
          <a:off x="1377808" y="342446"/>
          <a:ext cx="2730783" cy="2730783"/>
        </a:xfrm>
        <a:custGeom>
          <a:avLst/>
          <a:gdLst/>
          <a:ahLst/>
          <a:cxnLst/>
          <a:rect l="0" t="0" r="0" b="0"/>
          <a:pathLst>
            <a:path>
              <a:moveTo>
                <a:pt x="1533406" y="2720406"/>
              </a:moveTo>
              <a:arcTo wR="1365391" hR="1365391" stAng="4975902" swAng="848195"/>
            </a:path>
          </a:pathLst>
        </a:custGeom>
        <a:noFill/>
        <a:ln w="6350" cap="flat" cmpd="sng" algn="ctr">
          <a:solidFill>
            <a:sysClr val="windowText" lastClr="000000">
              <a:hueOff val="0"/>
              <a:satOff val="0"/>
              <a:lumOff val="0"/>
              <a:alphaOff val="0"/>
            </a:sysClr>
          </a:solidFill>
          <a:prstDash val="solid"/>
          <a:miter lim="800000"/>
          <a:tailEnd type="arrow"/>
        </a:ln>
        <a:effectLst/>
      </dsp:spPr>
      <dsp:style>
        <a:lnRef idx="1">
          <a:scrgbClr r="0" g="0" b="0"/>
        </a:lnRef>
        <a:fillRef idx="0">
          <a:scrgbClr r="0" g="0" b="0"/>
        </a:fillRef>
        <a:effectRef idx="0">
          <a:scrgbClr r="0" g="0" b="0"/>
        </a:effectRef>
        <a:fontRef idx="minor"/>
      </dsp:style>
    </dsp:sp>
    <dsp:sp modelId="{EC613E72-D034-450A-90AC-F8BCC0A146E3}">
      <dsp:nvSpPr>
        <dsp:cNvPr id="0" name=""/>
        <dsp:cNvSpPr/>
      </dsp:nvSpPr>
      <dsp:spPr>
        <a:xfrm>
          <a:off x="1415577" y="2471170"/>
          <a:ext cx="1050131" cy="682585"/>
        </a:xfrm>
        <a:prstGeom prst="round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en-US" sz="1200" b="1"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Institutional support</a:t>
          </a:r>
        </a:p>
      </dsp:txBody>
      <dsp:txXfrm>
        <a:off x="1448898" y="2504491"/>
        <a:ext cx="983489" cy="615943"/>
      </dsp:txXfrm>
    </dsp:sp>
    <dsp:sp modelId="{1B327C63-0051-4FFE-8E47-844906C9A634}">
      <dsp:nvSpPr>
        <dsp:cNvPr id="0" name=""/>
        <dsp:cNvSpPr/>
      </dsp:nvSpPr>
      <dsp:spPr>
        <a:xfrm>
          <a:off x="1377808" y="342446"/>
          <a:ext cx="2730783" cy="2730783"/>
        </a:xfrm>
        <a:custGeom>
          <a:avLst/>
          <a:gdLst/>
          <a:ahLst/>
          <a:cxnLst/>
          <a:rect l="0" t="0" r="0" b="0"/>
          <a:pathLst>
            <a:path>
              <a:moveTo>
                <a:pt x="145025" y="1977764"/>
              </a:moveTo>
              <a:arcTo wR="1365391" hR="1365391" stAng="9201167" swAng="1361370"/>
            </a:path>
          </a:pathLst>
        </a:custGeom>
        <a:noFill/>
        <a:ln w="6350" cap="flat" cmpd="sng" algn="ctr">
          <a:solidFill>
            <a:sysClr val="windowText" lastClr="000000">
              <a:hueOff val="0"/>
              <a:satOff val="0"/>
              <a:lumOff val="0"/>
              <a:alphaOff val="0"/>
            </a:sysClr>
          </a:solidFill>
          <a:prstDash val="solid"/>
          <a:miter lim="800000"/>
          <a:tailEnd type="arrow"/>
        </a:ln>
        <a:effectLst/>
      </dsp:spPr>
      <dsp:style>
        <a:lnRef idx="1">
          <a:scrgbClr r="0" g="0" b="0"/>
        </a:lnRef>
        <a:fillRef idx="0">
          <a:scrgbClr r="0" g="0" b="0"/>
        </a:fillRef>
        <a:effectRef idx="0">
          <a:scrgbClr r="0" g="0" b="0"/>
        </a:effectRef>
        <a:fontRef idx="minor"/>
      </dsp:style>
    </dsp:sp>
    <dsp:sp modelId="{0C1D2F46-62D6-45B2-A406-C37A5EC8AD39}">
      <dsp:nvSpPr>
        <dsp:cNvPr id="0" name=""/>
        <dsp:cNvSpPr/>
      </dsp:nvSpPr>
      <dsp:spPr>
        <a:xfrm>
          <a:off x="919569" y="944616"/>
          <a:ext cx="1050131" cy="682585"/>
        </a:xfrm>
        <a:prstGeom prst="round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en-US" sz="1200" b="1"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Learner Academic achievement</a:t>
          </a:r>
        </a:p>
      </dsp:txBody>
      <dsp:txXfrm>
        <a:off x="952890" y="977937"/>
        <a:ext cx="983489" cy="615943"/>
      </dsp:txXfrm>
    </dsp:sp>
    <dsp:sp modelId="{1F05C6C6-815C-4081-A22C-6FBBBB3A2349}">
      <dsp:nvSpPr>
        <dsp:cNvPr id="0" name=""/>
        <dsp:cNvSpPr/>
      </dsp:nvSpPr>
      <dsp:spPr>
        <a:xfrm>
          <a:off x="1377808" y="342446"/>
          <a:ext cx="2730783" cy="2730783"/>
        </a:xfrm>
        <a:custGeom>
          <a:avLst/>
          <a:gdLst/>
          <a:ahLst/>
          <a:cxnLst/>
          <a:rect l="0" t="0" r="0" b="0"/>
          <a:pathLst>
            <a:path>
              <a:moveTo>
                <a:pt x="328234" y="477360"/>
              </a:moveTo>
              <a:arcTo wR="1365391" hR="1365391" stAng="13234240" swAng="1213663"/>
            </a:path>
          </a:pathLst>
        </a:custGeom>
        <a:noFill/>
        <a:ln w="6350" cap="flat" cmpd="sng" algn="ctr">
          <a:solidFill>
            <a:sysClr val="windowText" lastClr="000000">
              <a:hueOff val="0"/>
              <a:satOff val="0"/>
              <a:lumOff val="0"/>
              <a:alphaOff val="0"/>
            </a:sysClr>
          </a:solidFill>
          <a:prstDash val="solid"/>
          <a:miter lim="800000"/>
          <a:tailEnd type="arrow"/>
        </a:ln>
        <a:effectLst/>
      </dsp:spPr>
      <dsp:style>
        <a:lnRef idx="1">
          <a:scrgbClr r="0" g="0" b="0"/>
        </a:lnRef>
        <a:fillRef idx="0">
          <a:scrgbClr r="0" g="0" b="0"/>
        </a:fillRef>
        <a:effectRef idx="0">
          <a:scrgbClr r="0" g="0" b="0"/>
        </a:effectRef>
        <a:fontRef idx="minor"/>
      </dsp:style>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EE22896-CB9B-404C-A522-8D52FD2AE3C2}">
      <dsp:nvSpPr>
        <dsp:cNvPr id="0" name=""/>
        <dsp:cNvSpPr/>
      </dsp:nvSpPr>
      <dsp:spPr>
        <a:xfrm>
          <a:off x="0" y="635"/>
          <a:ext cx="5486400" cy="0"/>
        </a:xfrm>
        <a:prstGeom prst="line">
          <a:avLst/>
        </a:prstGeom>
        <a:solidFill>
          <a:srgbClr val="4472C4">
            <a:hueOff val="0"/>
            <a:satOff val="0"/>
            <a:lumOff val="0"/>
            <a:alphaOff val="0"/>
          </a:srgbClr>
        </a:solidFill>
        <a:ln w="12700" cap="flat" cmpd="sng" algn="ctr">
          <a:solidFill>
            <a:srgbClr val="4472C4">
              <a:hueOff val="0"/>
              <a:satOff val="0"/>
              <a:lumOff val="0"/>
              <a:alphaOff val="0"/>
            </a:srgbClr>
          </a:solidFill>
          <a:prstDash val="solid"/>
          <a:miter lim="800000"/>
        </a:ln>
        <a:effectLst/>
      </dsp:spPr>
      <dsp:style>
        <a:lnRef idx="2">
          <a:scrgbClr r="0" g="0" b="0"/>
        </a:lnRef>
        <a:fillRef idx="1">
          <a:scrgbClr r="0" g="0" b="0"/>
        </a:fillRef>
        <a:effectRef idx="1">
          <a:scrgbClr r="0" g="0" b="0"/>
        </a:effectRef>
        <a:fontRef idx="minor">
          <a:schemeClr val="lt1"/>
        </a:fontRef>
      </dsp:style>
    </dsp:sp>
    <dsp:sp modelId="{EFBC8139-D11C-48CE-A887-4236B1D868BC}">
      <dsp:nvSpPr>
        <dsp:cNvPr id="0" name=""/>
        <dsp:cNvSpPr/>
      </dsp:nvSpPr>
      <dsp:spPr>
        <a:xfrm>
          <a:off x="0" y="1271"/>
          <a:ext cx="5486400" cy="1300478"/>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52400" tIns="152400" rIns="152400" bIns="152400" numCol="1" spcCol="1270" anchor="t" anchorCtr="0">
          <a:noAutofit/>
        </a:bodyPr>
        <a:lstStyle/>
        <a:p>
          <a:pPr lvl="0" algn="ctr" defTabSz="1778000">
            <a:lnSpc>
              <a:spcPct val="90000"/>
            </a:lnSpc>
            <a:spcBef>
              <a:spcPct val="0"/>
            </a:spcBef>
            <a:spcAft>
              <a:spcPct val="35000"/>
            </a:spcAft>
            <a:buNone/>
          </a:pPr>
          <a:r>
            <a:rPr lang="en-US" sz="4000" b="1"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Chapter Two</a:t>
          </a:r>
        </a:p>
        <a:p>
          <a:pPr lvl="0" algn="ctr" defTabSz="1778000">
            <a:lnSpc>
              <a:spcPct val="90000"/>
            </a:lnSpc>
            <a:spcBef>
              <a:spcPct val="0"/>
            </a:spcBef>
            <a:spcAft>
              <a:spcPct val="35000"/>
            </a:spcAft>
            <a:buNone/>
          </a:pPr>
          <a:r>
            <a:rPr lang="en-US" sz="4000" b="1"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Methodology, Findings and Discussion </a:t>
          </a:r>
        </a:p>
      </dsp:txBody>
      <dsp:txXfrm>
        <a:off x="0" y="1271"/>
        <a:ext cx="5486400" cy="1300478"/>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269905E-D75F-4C2F-B14A-CF6153AE2960}">
      <dsp:nvSpPr>
        <dsp:cNvPr id="0" name=""/>
        <dsp:cNvSpPr/>
      </dsp:nvSpPr>
      <dsp:spPr>
        <a:xfrm>
          <a:off x="211" y="448834"/>
          <a:ext cx="1072828" cy="696180"/>
        </a:xfrm>
        <a:prstGeom prst="ellipse">
          <a:avLst/>
        </a:prstGeom>
        <a:solidFill>
          <a:sysClr val="window" lastClr="FFFFFF"/>
        </a:solidFill>
        <a:ln w="12700" cap="flat" cmpd="sng" algn="ctr">
          <a:solidFill>
            <a:srgbClr val="A5A5A5"/>
          </a:solidFill>
          <a:prstDash val="solid"/>
          <a:miter lim="800000"/>
        </a:ln>
        <a:effectLst/>
      </dsp:spPr>
      <dsp:style>
        <a:lnRef idx="2">
          <a:schemeClr val="accent3"/>
        </a:lnRef>
        <a:fillRef idx="1">
          <a:schemeClr val="lt1"/>
        </a:fillRef>
        <a:effectRef idx="0">
          <a:schemeClr val="accent3"/>
        </a:effectRef>
        <a:fontRef idx="minor">
          <a:schemeClr val="dk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buNone/>
          </a:pPr>
          <a:r>
            <a:rPr lang="en-US" sz="1200" b="1" kern="1200">
              <a:solidFill>
                <a:sysClr val="windowText" lastClr="000000"/>
              </a:solidFill>
              <a:latin typeface="Times New Roman" panose="02020603050405020304" pitchFamily="18" charset="0"/>
              <a:ea typeface="+mn-ea"/>
              <a:cs typeface="Times New Roman" panose="02020603050405020304" pitchFamily="18" charset="0"/>
            </a:rPr>
            <a:t>Knowledge </a:t>
          </a:r>
        </a:p>
      </dsp:txBody>
      <dsp:txXfrm>
        <a:off x="157323" y="550787"/>
        <a:ext cx="758604" cy="492274"/>
      </dsp:txXfrm>
    </dsp:sp>
    <dsp:sp modelId="{B77F4340-382A-4F43-AE69-525335B70357}">
      <dsp:nvSpPr>
        <dsp:cNvPr id="0" name=""/>
        <dsp:cNvSpPr/>
      </dsp:nvSpPr>
      <dsp:spPr>
        <a:xfrm>
          <a:off x="1129569" y="595032"/>
          <a:ext cx="403784" cy="403784"/>
        </a:xfrm>
        <a:prstGeom prst="mathPlus">
          <a:avLst/>
        </a:prstGeom>
        <a:solidFill>
          <a:sysClr val="window" lastClr="FFFFFF"/>
        </a:solidFill>
        <a:ln w="12700" cap="flat" cmpd="sng" algn="ctr">
          <a:solidFill>
            <a:srgbClr val="A5A5A5"/>
          </a:solidFill>
          <a:prstDash val="solid"/>
          <a:miter lim="800000"/>
        </a:ln>
        <a:effectLst/>
      </dsp:spPr>
      <dsp:style>
        <a:lnRef idx="2">
          <a:schemeClr val="accent3"/>
        </a:lnRef>
        <a:fillRef idx="1">
          <a:schemeClr val="lt1"/>
        </a:fillRef>
        <a:effectRef idx="0">
          <a:schemeClr val="accent3"/>
        </a:effectRef>
        <a:fontRef idx="minor">
          <a:schemeClr val="dk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buNone/>
          </a:pPr>
          <a:endParaRPr lang="en-US" sz="1200" kern="1200">
            <a:solidFill>
              <a:sysClr val="windowText" lastClr="000000"/>
            </a:solidFill>
            <a:latin typeface="Times New Roman" panose="02020603050405020304" pitchFamily="18" charset="0"/>
            <a:ea typeface="+mn-ea"/>
            <a:cs typeface="Times New Roman" panose="02020603050405020304" pitchFamily="18" charset="0"/>
          </a:endParaRPr>
        </a:p>
      </dsp:txBody>
      <dsp:txXfrm>
        <a:off x="1183091" y="749439"/>
        <a:ext cx="296740" cy="94970"/>
      </dsp:txXfrm>
    </dsp:sp>
    <dsp:sp modelId="{BD7E2A4F-87EC-4023-A712-1E200F3D5CD8}">
      <dsp:nvSpPr>
        <dsp:cNvPr id="0" name=""/>
        <dsp:cNvSpPr/>
      </dsp:nvSpPr>
      <dsp:spPr>
        <a:xfrm>
          <a:off x="1589884" y="448834"/>
          <a:ext cx="799410" cy="696180"/>
        </a:xfrm>
        <a:prstGeom prst="ellipse">
          <a:avLst/>
        </a:prstGeom>
        <a:solidFill>
          <a:sysClr val="window" lastClr="FFFFFF"/>
        </a:solidFill>
        <a:ln w="12700" cap="flat" cmpd="sng" algn="ctr">
          <a:solidFill>
            <a:srgbClr val="A5A5A5"/>
          </a:solidFill>
          <a:prstDash val="solid"/>
          <a:miter lim="800000"/>
        </a:ln>
        <a:effectLst/>
      </dsp:spPr>
      <dsp:style>
        <a:lnRef idx="2">
          <a:schemeClr val="accent3"/>
        </a:lnRef>
        <a:fillRef idx="1">
          <a:schemeClr val="lt1"/>
        </a:fillRef>
        <a:effectRef idx="0">
          <a:schemeClr val="accent3"/>
        </a:effectRef>
        <a:fontRef idx="minor">
          <a:schemeClr val="dk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buNone/>
          </a:pPr>
          <a:r>
            <a:rPr lang="en-US" sz="1200" b="1" kern="1200">
              <a:solidFill>
                <a:sysClr val="windowText" lastClr="000000"/>
              </a:solidFill>
              <a:latin typeface="Times New Roman" panose="02020603050405020304" pitchFamily="18" charset="0"/>
              <a:ea typeface="+mn-ea"/>
              <a:cs typeface="Times New Roman" panose="02020603050405020304" pitchFamily="18" charset="0"/>
            </a:rPr>
            <a:t>Skills</a:t>
          </a:r>
        </a:p>
      </dsp:txBody>
      <dsp:txXfrm>
        <a:off x="1706955" y="550787"/>
        <a:ext cx="565268" cy="492274"/>
      </dsp:txXfrm>
    </dsp:sp>
    <dsp:sp modelId="{B51EB91B-6580-4E0D-90CF-22562F765CDF}">
      <dsp:nvSpPr>
        <dsp:cNvPr id="0" name=""/>
        <dsp:cNvSpPr/>
      </dsp:nvSpPr>
      <dsp:spPr>
        <a:xfrm>
          <a:off x="2445824" y="595032"/>
          <a:ext cx="403784" cy="403784"/>
        </a:xfrm>
        <a:prstGeom prst="mathPlus">
          <a:avLst/>
        </a:prstGeom>
        <a:solidFill>
          <a:sysClr val="window" lastClr="FFFFFF"/>
        </a:solidFill>
        <a:ln w="12700" cap="flat" cmpd="sng" algn="ctr">
          <a:solidFill>
            <a:srgbClr val="A5A5A5"/>
          </a:solidFill>
          <a:prstDash val="solid"/>
          <a:miter lim="800000"/>
        </a:ln>
        <a:effectLst/>
      </dsp:spPr>
      <dsp:style>
        <a:lnRef idx="2">
          <a:schemeClr val="accent3"/>
        </a:lnRef>
        <a:fillRef idx="1">
          <a:schemeClr val="lt1"/>
        </a:fillRef>
        <a:effectRef idx="0">
          <a:schemeClr val="accent3"/>
        </a:effectRef>
        <a:fontRef idx="minor">
          <a:schemeClr val="dk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buNone/>
          </a:pPr>
          <a:endParaRPr lang="en-US" sz="1200" kern="1200">
            <a:solidFill>
              <a:sysClr val="windowText" lastClr="000000"/>
            </a:solidFill>
            <a:latin typeface="Times New Roman" panose="02020603050405020304" pitchFamily="18" charset="0"/>
            <a:ea typeface="+mn-ea"/>
            <a:cs typeface="Times New Roman" panose="02020603050405020304" pitchFamily="18" charset="0"/>
          </a:endParaRPr>
        </a:p>
      </dsp:txBody>
      <dsp:txXfrm>
        <a:off x="2499346" y="749439"/>
        <a:ext cx="296740" cy="94970"/>
      </dsp:txXfrm>
    </dsp:sp>
    <dsp:sp modelId="{76A0EEE4-0EFA-4263-B021-4E06F48CC193}">
      <dsp:nvSpPr>
        <dsp:cNvPr id="0" name=""/>
        <dsp:cNvSpPr/>
      </dsp:nvSpPr>
      <dsp:spPr>
        <a:xfrm>
          <a:off x="2906139" y="448834"/>
          <a:ext cx="1165629" cy="696180"/>
        </a:xfrm>
        <a:prstGeom prst="ellipse">
          <a:avLst/>
        </a:prstGeom>
        <a:solidFill>
          <a:sysClr val="window" lastClr="FFFFFF"/>
        </a:solidFill>
        <a:ln w="12700" cap="flat" cmpd="sng" algn="ctr">
          <a:solidFill>
            <a:srgbClr val="A5A5A5"/>
          </a:solidFill>
          <a:prstDash val="solid"/>
          <a:miter lim="800000"/>
        </a:ln>
        <a:effectLst/>
      </dsp:spPr>
      <dsp:style>
        <a:lnRef idx="2">
          <a:schemeClr val="accent3"/>
        </a:lnRef>
        <a:fillRef idx="1">
          <a:schemeClr val="lt1"/>
        </a:fillRef>
        <a:effectRef idx="0">
          <a:schemeClr val="accent3"/>
        </a:effectRef>
        <a:fontRef idx="minor">
          <a:schemeClr val="dk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buNone/>
          </a:pPr>
          <a:r>
            <a:rPr lang="en-US" sz="1200" b="1" kern="1200">
              <a:solidFill>
                <a:sysClr val="windowText" lastClr="000000"/>
              </a:solidFill>
              <a:latin typeface="Times New Roman" panose="02020603050405020304" pitchFamily="18" charset="0"/>
              <a:ea typeface="+mn-ea"/>
              <a:cs typeface="Times New Roman" panose="02020603050405020304" pitchFamily="18" charset="0"/>
            </a:rPr>
            <a:t>Dispositions</a:t>
          </a:r>
        </a:p>
      </dsp:txBody>
      <dsp:txXfrm>
        <a:off x="3076841" y="550787"/>
        <a:ext cx="824225" cy="492274"/>
      </dsp:txXfrm>
    </dsp:sp>
    <dsp:sp modelId="{B92FFDFC-4D3A-43FE-8D24-6D289E73FD85}">
      <dsp:nvSpPr>
        <dsp:cNvPr id="0" name=""/>
        <dsp:cNvSpPr/>
      </dsp:nvSpPr>
      <dsp:spPr>
        <a:xfrm>
          <a:off x="4128298" y="595032"/>
          <a:ext cx="403784" cy="403784"/>
        </a:xfrm>
        <a:prstGeom prst="mathEqual">
          <a:avLst/>
        </a:prstGeom>
        <a:solidFill>
          <a:sysClr val="window" lastClr="FFFFFF"/>
        </a:solidFill>
        <a:ln w="12700" cap="flat" cmpd="sng" algn="ctr">
          <a:solidFill>
            <a:srgbClr val="A5A5A5"/>
          </a:solidFill>
          <a:prstDash val="solid"/>
          <a:miter lim="800000"/>
        </a:ln>
        <a:effectLst/>
      </dsp:spPr>
      <dsp:style>
        <a:lnRef idx="2">
          <a:schemeClr val="accent3"/>
        </a:lnRef>
        <a:fillRef idx="1">
          <a:schemeClr val="lt1"/>
        </a:fillRef>
        <a:effectRef idx="0">
          <a:schemeClr val="accent3"/>
        </a:effectRef>
        <a:fontRef idx="minor">
          <a:schemeClr val="dk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buNone/>
          </a:pPr>
          <a:endParaRPr lang="en-US" sz="1200" kern="1200">
            <a:solidFill>
              <a:sysClr val="windowText" lastClr="000000"/>
            </a:solidFill>
            <a:latin typeface="Times New Roman" panose="02020603050405020304" pitchFamily="18" charset="0"/>
            <a:ea typeface="+mn-ea"/>
            <a:cs typeface="Times New Roman" panose="02020603050405020304" pitchFamily="18" charset="0"/>
          </a:endParaRPr>
        </a:p>
      </dsp:txBody>
      <dsp:txXfrm>
        <a:off x="4181820" y="678212"/>
        <a:ext cx="296740" cy="237424"/>
      </dsp:txXfrm>
    </dsp:sp>
    <dsp:sp modelId="{A32316F8-045E-4D36-8189-5FB3C62DA1BC}">
      <dsp:nvSpPr>
        <dsp:cNvPr id="0" name=""/>
        <dsp:cNvSpPr/>
      </dsp:nvSpPr>
      <dsp:spPr>
        <a:xfrm>
          <a:off x="4588613" y="461985"/>
          <a:ext cx="1171894" cy="669879"/>
        </a:xfrm>
        <a:prstGeom prst="ellipse">
          <a:avLst/>
        </a:prstGeom>
        <a:solidFill>
          <a:sysClr val="window" lastClr="FFFFFF"/>
        </a:solidFill>
        <a:ln w="12700" cap="flat" cmpd="sng" algn="ctr">
          <a:solidFill>
            <a:srgbClr val="A5A5A5"/>
          </a:solidFill>
          <a:prstDash val="solid"/>
          <a:miter lim="800000"/>
        </a:ln>
        <a:effectLst/>
      </dsp:spPr>
      <dsp:style>
        <a:lnRef idx="2">
          <a:schemeClr val="accent3"/>
        </a:lnRef>
        <a:fillRef idx="1">
          <a:schemeClr val="lt1"/>
        </a:fillRef>
        <a:effectRef idx="0">
          <a:schemeClr val="accent3"/>
        </a:effectRef>
        <a:fontRef idx="minor">
          <a:schemeClr val="dk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buNone/>
          </a:pPr>
          <a:r>
            <a:rPr lang="en-US" sz="1200" b="1" kern="1200">
              <a:solidFill>
                <a:sysClr val="windowText" lastClr="000000"/>
              </a:solidFill>
              <a:latin typeface="Times New Roman" panose="02020603050405020304" pitchFamily="18" charset="0"/>
              <a:ea typeface="+mn-ea"/>
              <a:cs typeface="Times New Roman" panose="02020603050405020304" pitchFamily="18" charset="0"/>
            </a:rPr>
            <a:t>Assessment Literacy</a:t>
          </a:r>
        </a:p>
      </dsp:txBody>
      <dsp:txXfrm>
        <a:off x="4760233" y="560087"/>
        <a:ext cx="828654" cy="473675"/>
      </dsp:txXfrm>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DD02EE3-6F6A-4DE0-BA29-398395774802}">
      <dsp:nvSpPr>
        <dsp:cNvPr id="0" name=""/>
        <dsp:cNvSpPr/>
      </dsp:nvSpPr>
      <dsp:spPr>
        <a:xfrm>
          <a:off x="3926830" y="1767191"/>
          <a:ext cx="91440" cy="664628"/>
        </a:xfrm>
        <a:custGeom>
          <a:avLst/>
          <a:gdLst/>
          <a:ahLst/>
          <a:cxnLst/>
          <a:rect l="0" t="0" r="0" b="0"/>
          <a:pathLst>
            <a:path>
              <a:moveTo>
                <a:pt x="45720" y="0"/>
              </a:moveTo>
              <a:lnTo>
                <a:pt x="45720" y="664628"/>
              </a:lnTo>
            </a:path>
          </a:pathLst>
        </a:custGeom>
        <a:noFill/>
        <a:ln w="12700" cap="flat" cmpd="sng" algn="ctr">
          <a:solidFill>
            <a:srgbClr val="4472C4">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3B16DCD0-3EC1-4CF9-93B2-D2FA45FC6FD7}">
      <dsp:nvSpPr>
        <dsp:cNvPr id="0" name=""/>
        <dsp:cNvSpPr/>
      </dsp:nvSpPr>
      <dsp:spPr>
        <a:xfrm>
          <a:off x="2648634" y="986470"/>
          <a:ext cx="1323915" cy="452412"/>
        </a:xfrm>
        <a:custGeom>
          <a:avLst/>
          <a:gdLst/>
          <a:ahLst/>
          <a:cxnLst/>
          <a:rect l="0" t="0" r="0" b="0"/>
          <a:pathLst>
            <a:path>
              <a:moveTo>
                <a:pt x="0" y="0"/>
              </a:moveTo>
              <a:lnTo>
                <a:pt x="0" y="334205"/>
              </a:lnTo>
              <a:lnTo>
                <a:pt x="1323915" y="334205"/>
              </a:lnTo>
              <a:lnTo>
                <a:pt x="1323915" y="452412"/>
              </a:lnTo>
            </a:path>
          </a:pathLst>
        </a:custGeom>
        <a:noFill/>
        <a:ln w="12700" cap="flat" cmpd="sng" algn="ctr">
          <a:solidFill>
            <a:srgbClr val="4472C4">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D7EDF45D-4007-4541-9B25-E91660D704E8}">
      <dsp:nvSpPr>
        <dsp:cNvPr id="0" name=""/>
        <dsp:cNvSpPr/>
      </dsp:nvSpPr>
      <dsp:spPr>
        <a:xfrm>
          <a:off x="1135588" y="1767191"/>
          <a:ext cx="945653" cy="664628"/>
        </a:xfrm>
        <a:custGeom>
          <a:avLst/>
          <a:gdLst/>
          <a:ahLst/>
          <a:cxnLst/>
          <a:rect l="0" t="0" r="0" b="0"/>
          <a:pathLst>
            <a:path>
              <a:moveTo>
                <a:pt x="0" y="0"/>
              </a:moveTo>
              <a:lnTo>
                <a:pt x="0" y="546421"/>
              </a:lnTo>
              <a:lnTo>
                <a:pt x="945653" y="546421"/>
              </a:lnTo>
              <a:lnTo>
                <a:pt x="945653" y="664628"/>
              </a:lnTo>
            </a:path>
          </a:pathLst>
        </a:custGeom>
        <a:noFill/>
        <a:ln w="12700" cap="flat" cmpd="sng" algn="ctr">
          <a:solidFill>
            <a:srgbClr val="4472C4">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16312066-D0F6-44E1-85C2-5088CB7F6C9C}">
      <dsp:nvSpPr>
        <dsp:cNvPr id="0" name=""/>
        <dsp:cNvSpPr/>
      </dsp:nvSpPr>
      <dsp:spPr>
        <a:xfrm>
          <a:off x="189934" y="1767191"/>
          <a:ext cx="945653" cy="664628"/>
        </a:xfrm>
        <a:custGeom>
          <a:avLst/>
          <a:gdLst/>
          <a:ahLst/>
          <a:cxnLst/>
          <a:rect l="0" t="0" r="0" b="0"/>
          <a:pathLst>
            <a:path>
              <a:moveTo>
                <a:pt x="945653" y="0"/>
              </a:moveTo>
              <a:lnTo>
                <a:pt x="945653" y="546421"/>
              </a:lnTo>
              <a:lnTo>
                <a:pt x="0" y="546421"/>
              </a:lnTo>
              <a:lnTo>
                <a:pt x="0" y="664628"/>
              </a:lnTo>
            </a:path>
          </a:pathLst>
        </a:custGeom>
        <a:noFill/>
        <a:ln w="12700" cap="flat" cmpd="sng" algn="ctr">
          <a:solidFill>
            <a:srgbClr val="4472C4">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3AB634D0-B357-498A-AD49-03477521A6F3}">
      <dsp:nvSpPr>
        <dsp:cNvPr id="0" name=""/>
        <dsp:cNvSpPr/>
      </dsp:nvSpPr>
      <dsp:spPr>
        <a:xfrm>
          <a:off x="1135588" y="986470"/>
          <a:ext cx="1513046" cy="452412"/>
        </a:xfrm>
        <a:custGeom>
          <a:avLst/>
          <a:gdLst/>
          <a:ahLst/>
          <a:cxnLst/>
          <a:rect l="0" t="0" r="0" b="0"/>
          <a:pathLst>
            <a:path>
              <a:moveTo>
                <a:pt x="1513046" y="0"/>
              </a:moveTo>
              <a:lnTo>
                <a:pt x="1513046" y="334205"/>
              </a:lnTo>
              <a:lnTo>
                <a:pt x="0" y="334205"/>
              </a:lnTo>
              <a:lnTo>
                <a:pt x="0" y="452412"/>
              </a:lnTo>
            </a:path>
          </a:pathLst>
        </a:custGeom>
        <a:noFill/>
        <a:ln w="12700" cap="flat" cmpd="sng" algn="ctr">
          <a:solidFill>
            <a:srgbClr val="4472C4">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DACEB8F2-35AA-464F-8441-AAE9758E9C5F}">
      <dsp:nvSpPr>
        <dsp:cNvPr id="0" name=""/>
        <dsp:cNvSpPr/>
      </dsp:nvSpPr>
      <dsp:spPr>
        <a:xfrm>
          <a:off x="2270373" y="229947"/>
          <a:ext cx="756523" cy="756523"/>
        </a:xfrm>
        <a:prstGeom prst="ellipse">
          <a:avLst/>
        </a:prstGeom>
        <a:no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15DBAF3F-E51F-4E6E-B202-7B3177BCA5E4}">
      <dsp:nvSpPr>
        <dsp:cNvPr id="0" name=""/>
        <dsp:cNvSpPr/>
      </dsp:nvSpPr>
      <dsp:spPr>
        <a:xfrm>
          <a:off x="3026896" y="228056"/>
          <a:ext cx="1134784" cy="756523"/>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l"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Assessment Literacy</a:t>
          </a:r>
        </a:p>
      </dsp:txBody>
      <dsp:txXfrm>
        <a:off x="3026896" y="228056"/>
        <a:ext cx="1134784" cy="756523"/>
      </dsp:txXfrm>
    </dsp:sp>
    <dsp:sp modelId="{9968CC9F-4D88-40A9-9C8A-5296B7384E55}">
      <dsp:nvSpPr>
        <dsp:cNvPr id="0" name=""/>
        <dsp:cNvSpPr/>
      </dsp:nvSpPr>
      <dsp:spPr>
        <a:xfrm>
          <a:off x="946457" y="1438882"/>
          <a:ext cx="378261" cy="328308"/>
        </a:xfrm>
        <a:prstGeom prst="ellipse">
          <a:avLst/>
        </a:prstGeom>
        <a:no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8A31FFB6-DCE9-4236-A681-A0B908A63130}">
      <dsp:nvSpPr>
        <dsp:cNvPr id="0" name=""/>
        <dsp:cNvSpPr/>
      </dsp:nvSpPr>
      <dsp:spPr>
        <a:xfrm>
          <a:off x="1513849" y="1222884"/>
          <a:ext cx="1134784" cy="756523"/>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l"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Skills</a:t>
          </a:r>
        </a:p>
      </dsp:txBody>
      <dsp:txXfrm>
        <a:off x="1513849" y="1222884"/>
        <a:ext cx="1134784" cy="756523"/>
      </dsp:txXfrm>
    </dsp:sp>
    <dsp:sp modelId="{22B0BBE6-A504-434E-BC74-5EDF8F39C10A}">
      <dsp:nvSpPr>
        <dsp:cNvPr id="0" name=""/>
        <dsp:cNvSpPr/>
      </dsp:nvSpPr>
      <dsp:spPr>
        <a:xfrm>
          <a:off x="803" y="2431819"/>
          <a:ext cx="378261" cy="328308"/>
        </a:xfrm>
        <a:prstGeom prst="ellipse">
          <a:avLst/>
        </a:prstGeom>
        <a:no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AF6A8CAD-5798-4A63-B9CA-A03D6A0D8ED1}">
      <dsp:nvSpPr>
        <dsp:cNvPr id="0" name=""/>
        <dsp:cNvSpPr/>
      </dsp:nvSpPr>
      <dsp:spPr>
        <a:xfrm>
          <a:off x="377699" y="2304719"/>
          <a:ext cx="1134784" cy="756523"/>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l"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Designing Assessment tools</a:t>
          </a:r>
        </a:p>
      </dsp:txBody>
      <dsp:txXfrm>
        <a:off x="377699" y="2304719"/>
        <a:ext cx="1134784" cy="756523"/>
      </dsp:txXfrm>
    </dsp:sp>
    <dsp:sp modelId="{92290045-641F-4C6E-8EA8-7E0C9B025A1F}">
      <dsp:nvSpPr>
        <dsp:cNvPr id="0" name=""/>
        <dsp:cNvSpPr/>
      </dsp:nvSpPr>
      <dsp:spPr>
        <a:xfrm>
          <a:off x="1892111" y="2431819"/>
          <a:ext cx="378261" cy="328308"/>
        </a:xfrm>
        <a:prstGeom prst="ellipse">
          <a:avLst/>
        </a:prstGeom>
        <a:no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D2E7B467-370C-44F8-8414-294AA163CEF1}">
      <dsp:nvSpPr>
        <dsp:cNvPr id="0" name=""/>
        <dsp:cNvSpPr/>
      </dsp:nvSpPr>
      <dsp:spPr>
        <a:xfrm>
          <a:off x="2288049" y="2336471"/>
          <a:ext cx="1134784" cy="756523"/>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l"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Reflective practices</a:t>
          </a:r>
        </a:p>
      </dsp:txBody>
      <dsp:txXfrm>
        <a:off x="2288049" y="2336471"/>
        <a:ext cx="1134784" cy="756523"/>
      </dsp:txXfrm>
    </dsp:sp>
    <dsp:sp modelId="{A55E812A-08FB-438F-A82E-CCB072222743}">
      <dsp:nvSpPr>
        <dsp:cNvPr id="0" name=""/>
        <dsp:cNvSpPr/>
      </dsp:nvSpPr>
      <dsp:spPr>
        <a:xfrm>
          <a:off x="3783419" y="1438882"/>
          <a:ext cx="378261" cy="328308"/>
        </a:xfrm>
        <a:prstGeom prst="ellipse">
          <a:avLst/>
        </a:prstGeom>
        <a:no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EC105C24-A793-4EFD-AEBB-9163DA954F4E}">
      <dsp:nvSpPr>
        <dsp:cNvPr id="0" name=""/>
        <dsp:cNvSpPr/>
      </dsp:nvSpPr>
      <dsp:spPr>
        <a:xfrm>
          <a:off x="4204764" y="1216536"/>
          <a:ext cx="1134784" cy="756523"/>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l"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Knowledge: conepts and perceptions</a:t>
          </a:r>
        </a:p>
      </dsp:txBody>
      <dsp:txXfrm>
        <a:off x="4204764" y="1216536"/>
        <a:ext cx="1134784" cy="756523"/>
      </dsp:txXfrm>
    </dsp:sp>
    <dsp:sp modelId="{939F7E1C-2D1B-44A1-853D-5821ABE6BE5E}">
      <dsp:nvSpPr>
        <dsp:cNvPr id="0" name=""/>
        <dsp:cNvSpPr/>
      </dsp:nvSpPr>
      <dsp:spPr>
        <a:xfrm>
          <a:off x="3783419" y="2431819"/>
          <a:ext cx="378261" cy="328308"/>
        </a:xfrm>
        <a:prstGeom prst="ellipse">
          <a:avLst/>
        </a:prstGeom>
        <a:no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F5542456-79BB-43CD-9D01-FF529E9117F8}">
      <dsp:nvSpPr>
        <dsp:cNvPr id="0" name=""/>
        <dsp:cNvSpPr/>
      </dsp:nvSpPr>
      <dsp:spPr>
        <a:xfrm>
          <a:off x="4236516" y="2279323"/>
          <a:ext cx="1134784" cy="756523"/>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l"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Dispositions: collaboration and feedback</a:t>
          </a:r>
        </a:p>
      </dsp:txBody>
      <dsp:txXfrm>
        <a:off x="4236516" y="2279323"/>
        <a:ext cx="1134784" cy="756523"/>
      </dsp:txXfrm>
    </dsp:sp>
  </dsp:spTree>
</dsp:drawing>
</file>

<file path=word/diagrams/drawing8.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EE22896-CB9B-404C-A522-8D52FD2AE3C2}">
      <dsp:nvSpPr>
        <dsp:cNvPr id="0" name=""/>
        <dsp:cNvSpPr/>
      </dsp:nvSpPr>
      <dsp:spPr>
        <a:xfrm>
          <a:off x="0" y="0"/>
          <a:ext cx="5486400" cy="0"/>
        </a:xfrm>
        <a:prstGeom prst="line">
          <a:avLst/>
        </a:prstGeom>
        <a:solidFill>
          <a:srgbClr val="4472C4">
            <a:hueOff val="0"/>
            <a:satOff val="0"/>
            <a:lumOff val="0"/>
            <a:alphaOff val="0"/>
          </a:srgbClr>
        </a:solidFill>
        <a:ln w="12700" cap="flat" cmpd="sng" algn="ctr">
          <a:solidFill>
            <a:srgbClr val="4472C4">
              <a:hueOff val="0"/>
              <a:satOff val="0"/>
              <a:lumOff val="0"/>
              <a:alphaOff val="0"/>
            </a:srgbClr>
          </a:solidFill>
          <a:prstDash val="solid"/>
          <a:miter lim="800000"/>
        </a:ln>
        <a:effectLst/>
      </dsp:spPr>
      <dsp:style>
        <a:lnRef idx="2">
          <a:scrgbClr r="0" g="0" b="0"/>
        </a:lnRef>
        <a:fillRef idx="1">
          <a:scrgbClr r="0" g="0" b="0"/>
        </a:fillRef>
        <a:effectRef idx="1">
          <a:scrgbClr r="0" g="0" b="0"/>
        </a:effectRef>
        <a:fontRef idx="minor">
          <a:schemeClr val="lt1"/>
        </a:fontRef>
      </dsp:style>
    </dsp:sp>
    <dsp:sp modelId="{EFBC8139-D11C-48CE-A887-4236B1D868BC}">
      <dsp:nvSpPr>
        <dsp:cNvPr id="0" name=""/>
        <dsp:cNvSpPr/>
      </dsp:nvSpPr>
      <dsp:spPr>
        <a:xfrm>
          <a:off x="0" y="0"/>
          <a:ext cx="5486400" cy="130175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52400" tIns="152400" rIns="152400" bIns="152400" numCol="1" spcCol="1270" anchor="t" anchorCtr="0">
          <a:noAutofit/>
        </a:bodyPr>
        <a:lstStyle/>
        <a:p>
          <a:pPr lvl="0" algn="ctr" defTabSz="1778000">
            <a:lnSpc>
              <a:spcPct val="90000"/>
            </a:lnSpc>
            <a:spcBef>
              <a:spcPct val="0"/>
            </a:spcBef>
            <a:spcAft>
              <a:spcPct val="35000"/>
            </a:spcAft>
            <a:buNone/>
          </a:pPr>
          <a:r>
            <a:rPr lang="en-US" sz="4000" b="1"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General Conclusion</a:t>
          </a:r>
        </a:p>
      </dsp:txBody>
      <dsp:txXfrm>
        <a:off x="0" y="0"/>
        <a:ext cx="5486400" cy="1301750"/>
      </dsp:txXfrm>
    </dsp:sp>
  </dsp:spTree>
</dsp:drawing>
</file>

<file path=word/diagrams/layout1.xml><?xml version="1.0" encoding="utf-8"?>
<dgm:layoutDef xmlns:dgm="http://schemas.openxmlformats.org/drawingml/2006/diagram" xmlns:a="http://schemas.openxmlformats.org/drawingml/2006/main" uniqueId="urn:microsoft.com/office/officeart/2008/layout/LinedList">
  <dgm:title val=""/>
  <dgm:desc val=""/>
  <dgm:catLst>
    <dgm:cat type="hierarchy" pri="8000"/>
    <dgm:cat type="list" pri="25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clrData>
  <dgm:layoutNode name="vert0">
    <dgm:varLst>
      <dgm:dir/>
      <dgm:animOne val="branch"/>
      <dgm:animLvl val="lvl"/>
    </dgm:varLst>
    <dgm:choose name="Name0">
      <dgm:if name="Name1" func="var" arg="dir" op="equ" val="norm">
        <dgm:alg type="lin">
          <dgm:param type="linDir" val="fromT"/>
          <dgm:param type="nodeHorzAlign" val="l"/>
        </dgm:alg>
      </dgm:if>
      <dgm:else name="Name2">
        <dgm:alg type="lin">
          <dgm:param type="linDir" val="fromT"/>
          <dgm:param type="nodeHorzAlign" val="r"/>
        </dgm:alg>
      </dgm:else>
    </dgm:choose>
    <dgm:shape xmlns:r="http://schemas.openxmlformats.org/officeDocument/2006/relationships" r:blip="">
      <dgm:adjLst/>
    </dgm:shape>
    <dgm:presOf/>
    <dgm:constrLst>
      <dgm:constr type="w" for="ch" forName="horz1" refType="w"/>
      <dgm:constr type="h" for="ch" forName="horz1" refType="h"/>
      <dgm:constr type="h" for="des" forName="vert1" refType="h"/>
      <dgm:constr type="h" for="des" forName="tx1" refType="h"/>
      <dgm:constr type="h" for="des" forName="horz2" refType="h"/>
      <dgm:constr type="h" for="des" forName="vert2" refType="h"/>
      <dgm:constr type="h" for="des" forName="horz3" refType="h"/>
      <dgm:constr type="h" for="des" forName="vert3" refType="h"/>
      <dgm:constr type="h" for="des" forName="horz4" refType="h"/>
      <dgm:constr type="h" for="des" ptType="node" refType="h"/>
      <dgm:constr type="primFontSz" for="des" forName="tx1" op="equ" val="65"/>
      <dgm:constr type="primFontSz" for="des" forName="tx2" op="equ" val="65"/>
      <dgm:constr type="primFontSz" for="des" forName="tx3" op="equ" val="65"/>
      <dgm:constr type="primFontSz" for="des" forName="tx4" op="equ" val="65"/>
      <dgm:constr type="w" for="des" forName="thickLine" refType="w"/>
      <dgm:constr type="h" for="des" forName="thickLine"/>
      <dgm:constr type="h" for="des" forName="thinLine1"/>
      <dgm:constr type="h" for="des" forName="thinLine2b"/>
      <dgm:constr type="h" for="des" forName="thinLine3"/>
      <dgm:constr type="h" for="des" forName="vertSpace2a" refType="h" fact="0.05"/>
      <dgm:constr type="h" for="des" forName="vertSpace2b" refType="h" refFor="des" refForName="vertSpace2a"/>
    </dgm:constrLst>
    <dgm:forEach name="Name3" axis="ch" ptType="node">
      <dgm:layoutNode name="thickLine" styleLbl="alignNode1">
        <dgm:alg type="sp"/>
        <dgm:shape xmlns:r="http://schemas.openxmlformats.org/officeDocument/2006/relationships" type="line" r:blip="">
          <dgm:adjLst/>
        </dgm:shape>
        <dgm:presOf/>
      </dgm:layoutNode>
      <dgm:layoutNode name="horz1">
        <dgm:choose name="Name4">
          <dgm:if name="Name5" func="var" arg="dir" op="equ" val="norm">
            <dgm:alg type="lin">
              <dgm:param type="linDir" val="fromL"/>
              <dgm:param type="nodeVertAlign" val="t"/>
            </dgm:alg>
          </dgm:if>
          <dgm:else name="Name6">
            <dgm:alg type="lin">
              <dgm:param type="linDir" val="fromR"/>
              <dgm:param type="nodeVertAlign" val="t"/>
            </dgm:alg>
          </dgm:else>
        </dgm:choose>
        <dgm:shape xmlns:r="http://schemas.openxmlformats.org/officeDocument/2006/relationships" r:blip="">
          <dgm:adjLst/>
        </dgm:shape>
        <dgm:presOf/>
        <dgm:choose name="Name7">
          <dgm:if name="Name8" axis="root des" func="maxDepth" op="equ" val="1">
            <dgm:constrLst>
              <dgm:constr type="w" for="ch" forName="tx1" refType="w"/>
            </dgm:constrLst>
          </dgm:if>
          <dgm:if name="Name9" axis="root des" func="maxDepth" op="equ" val="2">
            <dgm:constrLst>
              <dgm:constr type="w" for="ch" forName="tx1" refType="w" fact="0.2"/>
              <dgm:constr type="w" for="des" forName="tx2" refType="w" fact="0.785"/>
              <dgm:constr type="w" for="des" forName="horzSpace2" refType="w" fact="0.015"/>
              <dgm:constr type="w" for="des" forName="thinLine2b" refType="w" fact="0.8"/>
            </dgm:constrLst>
          </dgm:if>
          <dgm:if name="Name10" axis="root des" func="maxDepth" op="equ" val="3">
            <dgm:constrLst>
              <dgm:constr type="w" for="ch" forName="tx1" refType="w" fact="0.2"/>
              <dgm:constr type="w" for="des" forName="tx2" refType="w" fact="0.385"/>
              <dgm:constr type="w" for="des" forName="tx3" refType="w" fact="0.385"/>
              <dgm:constr type="w" for="des" forName="horzSpace2" refType="w" fact="0.015"/>
              <dgm:constr type="w" for="des" forName="horzSpace3" refType="w" fact="0.015"/>
              <dgm:constr type="w" for="des" forName="thinLine2b" refType="w" fact="0.8"/>
              <dgm:constr type="w" for="des" forName="thinLine3" refType="w" fact="0.385"/>
            </dgm:constrLst>
          </dgm:if>
          <dgm:if name="Name11" axis="root des" func="maxDepth" op="gte" val="4">
            <dgm:constrLst>
              <dgm:constr type="w" for="ch" forName="tx1" refType="w" fact="0.2"/>
              <dgm:constr type="w" for="des" forName="tx2" refType="w" fact="0.2516"/>
              <dgm:constr type="w" for="des" forName="tx3" refType="w" fact="0.2516"/>
              <dgm:constr type="w" for="des" forName="tx4" refType="w" fact="0.2516"/>
              <dgm:constr type="w" for="des" forName="horzSpace2" refType="w" fact="0.015"/>
              <dgm:constr type="w" for="des" forName="horzSpace3" refType="w" fact="0.015"/>
              <dgm:constr type="w" for="des" forName="horzSpace4" refType="w" fact="0.015"/>
              <dgm:constr type="w" for="des" forName="thinLine2b" refType="w" fact="0.8"/>
              <dgm:constr type="w" for="des" forName="thinLine3" refType="w" fact="0.5332"/>
            </dgm:constrLst>
          </dgm:if>
          <dgm:else name="Name12"/>
        </dgm:choose>
        <dgm:layoutNode name="tx1" styleLbl="revTx">
          <dgm:alg type="tx">
            <dgm:param type="parTxLTRAlign" val="l"/>
            <dgm:param type="parTxRTLAlign" val="r"/>
            <dgm:param type="txAnchorVert" val="t"/>
          </dgm:alg>
          <dgm:shape xmlns:r="http://schemas.openxmlformats.org/officeDocument/2006/relationships" type="rect" r:blip="">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vert1">
          <dgm:choose name="Name13">
            <dgm:if name="Name14" func="var" arg="dir" op="equ" val="norm">
              <dgm:alg type="lin">
                <dgm:param type="linDir" val="fromT"/>
                <dgm:param type="nodeHorzAlign" val="l"/>
              </dgm:alg>
            </dgm:if>
            <dgm:else name="Name15">
              <dgm:alg type="lin">
                <dgm:param type="linDir" val="fromT"/>
                <dgm:param type="nodeHorzAlign" val="r"/>
              </dgm:alg>
            </dgm:else>
          </dgm:choose>
          <dgm:shape xmlns:r="http://schemas.openxmlformats.org/officeDocument/2006/relationships" r:blip="">
            <dgm:adjLst/>
          </dgm:shape>
          <dgm:presOf/>
          <dgm:forEach name="Name16" axis="ch" ptType="node">
            <dgm:choose name="Name17">
              <dgm:if name="Name18" axis="self" ptType="node" func="pos" op="equ" val="1">
                <dgm:layoutNode name="vertSpace2a">
                  <dgm:alg type="sp"/>
                  <dgm:shape xmlns:r="http://schemas.openxmlformats.org/officeDocument/2006/relationships" r:blip="">
                    <dgm:adjLst/>
                  </dgm:shape>
                  <dgm:presOf/>
                </dgm:layoutNode>
              </dgm:if>
              <dgm:else name="Name19"/>
            </dgm:choose>
            <dgm:layoutNode name="horz2">
              <dgm:choose name="Name20">
                <dgm:if name="Name21" func="var" arg="dir" op="equ" val="norm">
                  <dgm:alg type="lin">
                    <dgm:param type="linDir" val="fromL"/>
                    <dgm:param type="nodeVertAlign" val="t"/>
                  </dgm:alg>
                </dgm:if>
                <dgm:else name="Name22">
                  <dgm:alg type="lin">
                    <dgm:param type="linDir" val="fromR"/>
                    <dgm:param type="nodeVertAlign" val="t"/>
                  </dgm:alg>
                </dgm:else>
              </dgm:choose>
              <dgm:shape xmlns:r="http://schemas.openxmlformats.org/officeDocument/2006/relationships" r:blip="">
                <dgm:adjLst/>
              </dgm:shape>
              <dgm:presOf/>
              <dgm:layoutNode name="horzSpace2">
                <dgm:alg type="sp"/>
                <dgm:shape xmlns:r="http://schemas.openxmlformats.org/officeDocument/2006/relationships" r:blip="">
                  <dgm:adjLst/>
                </dgm:shape>
                <dgm:presOf/>
              </dgm:layoutNode>
              <dgm:layoutNode name="tx2" styleLbl="revTx">
                <dgm:alg type="tx">
                  <dgm:param type="parTxLTRAlign" val="l"/>
                  <dgm:param type="parTxRTLAlign" val="r"/>
                  <dgm:param type="txAnchorVert" val="t"/>
                </dgm:alg>
                <dgm:shape xmlns:r="http://schemas.openxmlformats.org/officeDocument/2006/relationships" type="rect" r:blip="">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vert2">
                <dgm:choose name="Name23">
                  <dgm:if name="Name24" func="var" arg="dir" op="equ" val="norm">
                    <dgm:alg type="lin">
                      <dgm:param type="linDir" val="fromT"/>
                      <dgm:param type="nodeHorzAlign" val="l"/>
                    </dgm:alg>
                  </dgm:if>
                  <dgm:else name="Name25">
                    <dgm:alg type="lin">
                      <dgm:param type="linDir" val="fromT"/>
                      <dgm:param type="nodeHorzAlign" val="r"/>
                    </dgm:alg>
                  </dgm:else>
                </dgm:choose>
                <dgm:shape xmlns:r="http://schemas.openxmlformats.org/officeDocument/2006/relationships" r:blip="">
                  <dgm:adjLst/>
                </dgm:shape>
                <dgm:presOf/>
                <dgm:forEach name="Name26" axis="ch" ptType="node">
                  <dgm:layoutNode name="horz3">
                    <dgm:choose name="Name27">
                      <dgm:if name="Name28" func="var" arg="dir" op="equ" val="norm">
                        <dgm:alg type="lin">
                          <dgm:param type="linDir" val="fromL"/>
                          <dgm:param type="nodeVertAlign" val="t"/>
                        </dgm:alg>
                      </dgm:if>
                      <dgm:else name="Name29">
                        <dgm:alg type="lin">
                          <dgm:param type="linDir" val="fromR"/>
                          <dgm:param type="nodeVertAlign" val="t"/>
                        </dgm:alg>
                      </dgm:else>
                    </dgm:choose>
                    <dgm:shape xmlns:r="http://schemas.openxmlformats.org/officeDocument/2006/relationships" r:blip="">
                      <dgm:adjLst/>
                    </dgm:shape>
                    <dgm:presOf/>
                    <dgm:layoutNode name="horzSpace3">
                      <dgm:alg type="sp"/>
                      <dgm:shape xmlns:r="http://schemas.openxmlformats.org/officeDocument/2006/relationships" r:blip="">
                        <dgm:adjLst/>
                      </dgm:shape>
                      <dgm:presOf/>
                    </dgm:layoutNode>
                    <dgm:layoutNode name="tx3" styleLbl="revTx">
                      <dgm:alg type="tx">
                        <dgm:param type="parTxLTRAlign" val="l"/>
                        <dgm:param type="parTxRTLAlign" val="r"/>
                        <dgm:param type="txAnchorVert" val="t"/>
                      </dgm:alg>
                      <dgm:shape xmlns:r="http://schemas.openxmlformats.org/officeDocument/2006/relationships" type="rect" r:blip="">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vert3">
                      <dgm:choose name="Name30">
                        <dgm:if name="Name31" func="var" arg="dir" op="equ" val="norm">
                          <dgm:alg type="lin">
                            <dgm:param type="linDir" val="fromT"/>
                            <dgm:param type="nodeHorzAlign" val="l"/>
                          </dgm:alg>
                        </dgm:if>
                        <dgm:else name="Name32">
                          <dgm:alg type="lin">
                            <dgm:param type="linDir" val="fromT"/>
                            <dgm:param type="nodeHorzAlign" val="r"/>
                          </dgm:alg>
                        </dgm:else>
                      </dgm:choose>
                      <dgm:shape xmlns:r="http://schemas.openxmlformats.org/officeDocument/2006/relationships" r:blip="">
                        <dgm:adjLst/>
                      </dgm:shape>
                      <dgm:presOf/>
                      <dgm:forEach name="Name33" axis="ch" ptType="node">
                        <dgm:layoutNode name="horz4">
                          <dgm:choose name="Name34">
                            <dgm:if name="Name35" func="var" arg="dir" op="equ" val="norm">
                              <dgm:alg type="lin">
                                <dgm:param type="linDir" val="fromL"/>
                                <dgm:param type="nodeVertAlign" val="t"/>
                              </dgm:alg>
                            </dgm:if>
                            <dgm:else name="Name36">
                              <dgm:alg type="lin">
                                <dgm:param type="linDir" val="fromR"/>
                                <dgm:param type="nodeVertAlign" val="t"/>
                              </dgm:alg>
                            </dgm:else>
                          </dgm:choose>
                          <dgm:shape xmlns:r="http://schemas.openxmlformats.org/officeDocument/2006/relationships" r:blip="">
                            <dgm:adjLst/>
                          </dgm:shape>
                          <dgm:presOf/>
                          <dgm:layoutNode name="horzSpace4">
                            <dgm:alg type="sp"/>
                            <dgm:shape xmlns:r="http://schemas.openxmlformats.org/officeDocument/2006/relationships" r:blip="">
                              <dgm:adjLst/>
                            </dgm:shape>
                            <dgm:presOf/>
                          </dgm:layoutNode>
                          <dgm:layoutNode name="tx4" styleLbl="revTx">
                            <dgm:varLst>
                              <dgm:bulletEnabled val="1"/>
                            </dgm:varLst>
                            <dgm:alg type="tx">
                              <dgm:param type="parTxLTRAlign" val="l"/>
                              <dgm:param type="parTxRTLAlign" val="r"/>
                              <dgm:param type="txAnchorVert" val="t"/>
                            </dgm:alg>
                            <dgm:shape xmlns:r="http://schemas.openxmlformats.org/officeDocument/2006/relationships" type="rect" r:blip="">
                              <dgm:adjLst/>
                            </dgm:shape>
                            <dgm:presOf axis="desOrSelf" ptType="nod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forEach>
                    </dgm:layoutNode>
                  </dgm:layoutNode>
                  <dgm:forEach name="Name37" axis="followSib" ptType="sibTrans" cnt="1">
                    <dgm:layoutNode name="thinLine3" styleLbl="callout">
                      <dgm:alg type="sp"/>
                      <dgm:shape xmlns:r="http://schemas.openxmlformats.org/officeDocument/2006/relationships" type="line" r:blip="">
                        <dgm:adjLst/>
                      </dgm:shape>
                      <dgm:presOf/>
                    </dgm:layoutNode>
                  </dgm:forEach>
                </dgm:forEach>
              </dgm:layoutNode>
            </dgm:layoutNode>
            <dgm:layoutNode name="thinLine2b" styleLbl="callout">
              <dgm:alg type="sp"/>
              <dgm:shape xmlns:r="http://schemas.openxmlformats.org/officeDocument/2006/relationships" type="line" r:blip="">
                <dgm:adjLst/>
              </dgm:shape>
              <dgm:presOf/>
            </dgm:layoutNode>
            <dgm:layoutNode name="vertSpace2b">
              <dgm:alg type="sp"/>
              <dgm:shape xmlns:r="http://schemas.openxmlformats.org/officeDocument/2006/relationships" r:blip="">
                <dgm:adjLst/>
              </dgm:shape>
              <dgm:presOf/>
            </dgm:layoutNode>
          </dgm:forEach>
        </dgm:layoutNode>
      </dgm:layoutNode>
    </dgm:forEach>
  </dgm:layoutNode>
</dgm:layoutDef>
</file>

<file path=word/diagrams/layout2.xml><?xml version="1.0" encoding="utf-8"?>
<dgm:layoutDef xmlns:dgm="http://schemas.openxmlformats.org/drawingml/2006/diagram" xmlns:a="http://schemas.openxmlformats.org/drawingml/2006/main" uniqueId="urn:microsoft.com/office/officeart/2008/layout/LinedList">
  <dgm:title val=""/>
  <dgm:desc val=""/>
  <dgm:catLst>
    <dgm:cat type="hierarchy" pri="8000"/>
    <dgm:cat type="list" pri="25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clrData>
  <dgm:layoutNode name="vert0">
    <dgm:varLst>
      <dgm:dir/>
      <dgm:animOne val="branch"/>
      <dgm:animLvl val="lvl"/>
    </dgm:varLst>
    <dgm:choose name="Name0">
      <dgm:if name="Name1" func="var" arg="dir" op="equ" val="norm">
        <dgm:alg type="lin">
          <dgm:param type="linDir" val="fromT"/>
          <dgm:param type="nodeHorzAlign" val="l"/>
        </dgm:alg>
      </dgm:if>
      <dgm:else name="Name2">
        <dgm:alg type="lin">
          <dgm:param type="linDir" val="fromT"/>
          <dgm:param type="nodeHorzAlign" val="r"/>
        </dgm:alg>
      </dgm:else>
    </dgm:choose>
    <dgm:shape xmlns:r="http://schemas.openxmlformats.org/officeDocument/2006/relationships" r:blip="">
      <dgm:adjLst/>
    </dgm:shape>
    <dgm:presOf/>
    <dgm:constrLst>
      <dgm:constr type="w" for="ch" forName="horz1" refType="w"/>
      <dgm:constr type="h" for="ch" forName="horz1" refType="h"/>
      <dgm:constr type="h" for="des" forName="vert1" refType="h"/>
      <dgm:constr type="h" for="des" forName="tx1" refType="h"/>
      <dgm:constr type="h" for="des" forName="horz2" refType="h"/>
      <dgm:constr type="h" for="des" forName="vert2" refType="h"/>
      <dgm:constr type="h" for="des" forName="horz3" refType="h"/>
      <dgm:constr type="h" for="des" forName="vert3" refType="h"/>
      <dgm:constr type="h" for="des" forName="horz4" refType="h"/>
      <dgm:constr type="h" for="des" ptType="node" refType="h"/>
      <dgm:constr type="primFontSz" for="des" forName="tx1" op="equ" val="65"/>
      <dgm:constr type="primFontSz" for="des" forName="tx2" op="equ" val="65"/>
      <dgm:constr type="primFontSz" for="des" forName="tx3" op="equ" val="65"/>
      <dgm:constr type="primFontSz" for="des" forName="tx4" op="equ" val="65"/>
      <dgm:constr type="w" for="des" forName="thickLine" refType="w"/>
      <dgm:constr type="h" for="des" forName="thickLine"/>
      <dgm:constr type="h" for="des" forName="thinLine1"/>
      <dgm:constr type="h" for="des" forName="thinLine2b"/>
      <dgm:constr type="h" for="des" forName="thinLine3"/>
      <dgm:constr type="h" for="des" forName="vertSpace2a" refType="h" fact="0.05"/>
      <dgm:constr type="h" for="des" forName="vertSpace2b" refType="h" refFor="des" refForName="vertSpace2a"/>
    </dgm:constrLst>
    <dgm:forEach name="Name3" axis="ch" ptType="node">
      <dgm:layoutNode name="thickLine" styleLbl="alignNode1">
        <dgm:alg type="sp"/>
        <dgm:shape xmlns:r="http://schemas.openxmlformats.org/officeDocument/2006/relationships" type="line" r:blip="">
          <dgm:adjLst/>
        </dgm:shape>
        <dgm:presOf/>
      </dgm:layoutNode>
      <dgm:layoutNode name="horz1">
        <dgm:choose name="Name4">
          <dgm:if name="Name5" func="var" arg="dir" op="equ" val="norm">
            <dgm:alg type="lin">
              <dgm:param type="linDir" val="fromL"/>
              <dgm:param type="nodeVertAlign" val="t"/>
            </dgm:alg>
          </dgm:if>
          <dgm:else name="Name6">
            <dgm:alg type="lin">
              <dgm:param type="linDir" val="fromR"/>
              <dgm:param type="nodeVertAlign" val="t"/>
            </dgm:alg>
          </dgm:else>
        </dgm:choose>
        <dgm:shape xmlns:r="http://schemas.openxmlformats.org/officeDocument/2006/relationships" r:blip="">
          <dgm:adjLst/>
        </dgm:shape>
        <dgm:presOf/>
        <dgm:choose name="Name7">
          <dgm:if name="Name8" axis="root des" func="maxDepth" op="equ" val="1">
            <dgm:constrLst>
              <dgm:constr type="w" for="ch" forName="tx1" refType="w"/>
            </dgm:constrLst>
          </dgm:if>
          <dgm:if name="Name9" axis="root des" func="maxDepth" op="equ" val="2">
            <dgm:constrLst>
              <dgm:constr type="w" for="ch" forName="tx1" refType="w" fact="0.2"/>
              <dgm:constr type="w" for="des" forName="tx2" refType="w" fact="0.785"/>
              <dgm:constr type="w" for="des" forName="horzSpace2" refType="w" fact="0.015"/>
              <dgm:constr type="w" for="des" forName="thinLine2b" refType="w" fact="0.8"/>
            </dgm:constrLst>
          </dgm:if>
          <dgm:if name="Name10" axis="root des" func="maxDepth" op="equ" val="3">
            <dgm:constrLst>
              <dgm:constr type="w" for="ch" forName="tx1" refType="w" fact="0.2"/>
              <dgm:constr type="w" for="des" forName="tx2" refType="w" fact="0.385"/>
              <dgm:constr type="w" for="des" forName="tx3" refType="w" fact="0.385"/>
              <dgm:constr type="w" for="des" forName="horzSpace2" refType="w" fact="0.015"/>
              <dgm:constr type="w" for="des" forName="horzSpace3" refType="w" fact="0.015"/>
              <dgm:constr type="w" for="des" forName="thinLine2b" refType="w" fact="0.8"/>
              <dgm:constr type="w" for="des" forName="thinLine3" refType="w" fact="0.385"/>
            </dgm:constrLst>
          </dgm:if>
          <dgm:if name="Name11" axis="root des" func="maxDepth" op="gte" val="4">
            <dgm:constrLst>
              <dgm:constr type="w" for="ch" forName="tx1" refType="w" fact="0.2"/>
              <dgm:constr type="w" for="des" forName="tx2" refType="w" fact="0.2516"/>
              <dgm:constr type="w" for="des" forName="tx3" refType="w" fact="0.2516"/>
              <dgm:constr type="w" for="des" forName="tx4" refType="w" fact="0.2516"/>
              <dgm:constr type="w" for="des" forName="horzSpace2" refType="w" fact="0.015"/>
              <dgm:constr type="w" for="des" forName="horzSpace3" refType="w" fact="0.015"/>
              <dgm:constr type="w" for="des" forName="horzSpace4" refType="w" fact="0.015"/>
              <dgm:constr type="w" for="des" forName="thinLine2b" refType="w" fact="0.8"/>
              <dgm:constr type="w" for="des" forName="thinLine3" refType="w" fact="0.5332"/>
            </dgm:constrLst>
          </dgm:if>
          <dgm:else name="Name12"/>
        </dgm:choose>
        <dgm:layoutNode name="tx1" styleLbl="revTx">
          <dgm:alg type="tx">
            <dgm:param type="parTxLTRAlign" val="l"/>
            <dgm:param type="parTxRTLAlign" val="r"/>
            <dgm:param type="txAnchorVert" val="t"/>
          </dgm:alg>
          <dgm:shape xmlns:r="http://schemas.openxmlformats.org/officeDocument/2006/relationships" type="rect" r:blip="">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vert1">
          <dgm:choose name="Name13">
            <dgm:if name="Name14" func="var" arg="dir" op="equ" val="norm">
              <dgm:alg type="lin">
                <dgm:param type="linDir" val="fromT"/>
                <dgm:param type="nodeHorzAlign" val="l"/>
              </dgm:alg>
            </dgm:if>
            <dgm:else name="Name15">
              <dgm:alg type="lin">
                <dgm:param type="linDir" val="fromT"/>
                <dgm:param type="nodeHorzAlign" val="r"/>
              </dgm:alg>
            </dgm:else>
          </dgm:choose>
          <dgm:shape xmlns:r="http://schemas.openxmlformats.org/officeDocument/2006/relationships" r:blip="">
            <dgm:adjLst/>
          </dgm:shape>
          <dgm:presOf/>
          <dgm:forEach name="Name16" axis="ch" ptType="node">
            <dgm:choose name="Name17">
              <dgm:if name="Name18" axis="self" ptType="node" func="pos" op="equ" val="1">
                <dgm:layoutNode name="vertSpace2a">
                  <dgm:alg type="sp"/>
                  <dgm:shape xmlns:r="http://schemas.openxmlformats.org/officeDocument/2006/relationships" r:blip="">
                    <dgm:adjLst/>
                  </dgm:shape>
                  <dgm:presOf/>
                </dgm:layoutNode>
              </dgm:if>
              <dgm:else name="Name19"/>
            </dgm:choose>
            <dgm:layoutNode name="horz2">
              <dgm:choose name="Name20">
                <dgm:if name="Name21" func="var" arg="dir" op="equ" val="norm">
                  <dgm:alg type="lin">
                    <dgm:param type="linDir" val="fromL"/>
                    <dgm:param type="nodeVertAlign" val="t"/>
                  </dgm:alg>
                </dgm:if>
                <dgm:else name="Name22">
                  <dgm:alg type="lin">
                    <dgm:param type="linDir" val="fromR"/>
                    <dgm:param type="nodeVertAlign" val="t"/>
                  </dgm:alg>
                </dgm:else>
              </dgm:choose>
              <dgm:shape xmlns:r="http://schemas.openxmlformats.org/officeDocument/2006/relationships" r:blip="">
                <dgm:adjLst/>
              </dgm:shape>
              <dgm:presOf/>
              <dgm:layoutNode name="horzSpace2">
                <dgm:alg type="sp"/>
                <dgm:shape xmlns:r="http://schemas.openxmlformats.org/officeDocument/2006/relationships" r:blip="">
                  <dgm:adjLst/>
                </dgm:shape>
                <dgm:presOf/>
              </dgm:layoutNode>
              <dgm:layoutNode name="tx2" styleLbl="revTx">
                <dgm:alg type="tx">
                  <dgm:param type="parTxLTRAlign" val="l"/>
                  <dgm:param type="parTxRTLAlign" val="r"/>
                  <dgm:param type="txAnchorVert" val="t"/>
                </dgm:alg>
                <dgm:shape xmlns:r="http://schemas.openxmlformats.org/officeDocument/2006/relationships" type="rect" r:blip="">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vert2">
                <dgm:choose name="Name23">
                  <dgm:if name="Name24" func="var" arg="dir" op="equ" val="norm">
                    <dgm:alg type="lin">
                      <dgm:param type="linDir" val="fromT"/>
                      <dgm:param type="nodeHorzAlign" val="l"/>
                    </dgm:alg>
                  </dgm:if>
                  <dgm:else name="Name25">
                    <dgm:alg type="lin">
                      <dgm:param type="linDir" val="fromT"/>
                      <dgm:param type="nodeHorzAlign" val="r"/>
                    </dgm:alg>
                  </dgm:else>
                </dgm:choose>
                <dgm:shape xmlns:r="http://schemas.openxmlformats.org/officeDocument/2006/relationships" r:blip="">
                  <dgm:adjLst/>
                </dgm:shape>
                <dgm:presOf/>
                <dgm:forEach name="Name26" axis="ch" ptType="node">
                  <dgm:layoutNode name="horz3">
                    <dgm:choose name="Name27">
                      <dgm:if name="Name28" func="var" arg="dir" op="equ" val="norm">
                        <dgm:alg type="lin">
                          <dgm:param type="linDir" val="fromL"/>
                          <dgm:param type="nodeVertAlign" val="t"/>
                        </dgm:alg>
                      </dgm:if>
                      <dgm:else name="Name29">
                        <dgm:alg type="lin">
                          <dgm:param type="linDir" val="fromR"/>
                          <dgm:param type="nodeVertAlign" val="t"/>
                        </dgm:alg>
                      </dgm:else>
                    </dgm:choose>
                    <dgm:shape xmlns:r="http://schemas.openxmlformats.org/officeDocument/2006/relationships" r:blip="">
                      <dgm:adjLst/>
                    </dgm:shape>
                    <dgm:presOf/>
                    <dgm:layoutNode name="horzSpace3">
                      <dgm:alg type="sp"/>
                      <dgm:shape xmlns:r="http://schemas.openxmlformats.org/officeDocument/2006/relationships" r:blip="">
                        <dgm:adjLst/>
                      </dgm:shape>
                      <dgm:presOf/>
                    </dgm:layoutNode>
                    <dgm:layoutNode name="tx3" styleLbl="revTx">
                      <dgm:alg type="tx">
                        <dgm:param type="parTxLTRAlign" val="l"/>
                        <dgm:param type="parTxRTLAlign" val="r"/>
                        <dgm:param type="txAnchorVert" val="t"/>
                      </dgm:alg>
                      <dgm:shape xmlns:r="http://schemas.openxmlformats.org/officeDocument/2006/relationships" type="rect" r:blip="">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vert3">
                      <dgm:choose name="Name30">
                        <dgm:if name="Name31" func="var" arg="dir" op="equ" val="norm">
                          <dgm:alg type="lin">
                            <dgm:param type="linDir" val="fromT"/>
                            <dgm:param type="nodeHorzAlign" val="l"/>
                          </dgm:alg>
                        </dgm:if>
                        <dgm:else name="Name32">
                          <dgm:alg type="lin">
                            <dgm:param type="linDir" val="fromT"/>
                            <dgm:param type="nodeHorzAlign" val="r"/>
                          </dgm:alg>
                        </dgm:else>
                      </dgm:choose>
                      <dgm:shape xmlns:r="http://schemas.openxmlformats.org/officeDocument/2006/relationships" r:blip="">
                        <dgm:adjLst/>
                      </dgm:shape>
                      <dgm:presOf/>
                      <dgm:forEach name="Name33" axis="ch" ptType="node">
                        <dgm:layoutNode name="horz4">
                          <dgm:choose name="Name34">
                            <dgm:if name="Name35" func="var" arg="dir" op="equ" val="norm">
                              <dgm:alg type="lin">
                                <dgm:param type="linDir" val="fromL"/>
                                <dgm:param type="nodeVertAlign" val="t"/>
                              </dgm:alg>
                            </dgm:if>
                            <dgm:else name="Name36">
                              <dgm:alg type="lin">
                                <dgm:param type="linDir" val="fromR"/>
                                <dgm:param type="nodeVertAlign" val="t"/>
                              </dgm:alg>
                            </dgm:else>
                          </dgm:choose>
                          <dgm:shape xmlns:r="http://schemas.openxmlformats.org/officeDocument/2006/relationships" r:blip="">
                            <dgm:adjLst/>
                          </dgm:shape>
                          <dgm:presOf/>
                          <dgm:layoutNode name="horzSpace4">
                            <dgm:alg type="sp"/>
                            <dgm:shape xmlns:r="http://schemas.openxmlformats.org/officeDocument/2006/relationships" r:blip="">
                              <dgm:adjLst/>
                            </dgm:shape>
                            <dgm:presOf/>
                          </dgm:layoutNode>
                          <dgm:layoutNode name="tx4" styleLbl="revTx">
                            <dgm:varLst>
                              <dgm:bulletEnabled val="1"/>
                            </dgm:varLst>
                            <dgm:alg type="tx">
                              <dgm:param type="parTxLTRAlign" val="l"/>
                              <dgm:param type="parTxRTLAlign" val="r"/>
                              <dgm:param type="txAnchorVert" val="t"/>
                            </dgm:alg>
                            <dgm:shape xmlns:r="http://schemas.openxmlformats.org/officeDocument/2006/relationships" type="rect" r:blip="">
                              <dgm:adjLst/>
                            </dgm:shape>
                            <dgm:presOf axis="desOrSelf" ptType="nod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forEach>
                    </dgm:layoutNode>
                  </dgm:layoutNode>
                  <dgm:forEach name="Name37" axis="followSib" ptType="sibTrans" cnt="1">
                    <dgm:layoutNode name="thinLine3" styleLbl="callout">
                      <dgm:alg type="sp"/>
                      <dgm:shape xmlns:r="http://schemas.openxmlformats.org/officeDocument/2006/relationships" type="line" r:blip="">
                        <dgm:adjLst/>
                      </dgm:shape>
                      <dgm:presOf/>
                    </dgm:layoutNode>
                  </dgm:forEach>
                </dgm:forEach>
              </dgm:layoutNode>
            </dgm:layoutNode>
            <dgm:layoutNode name="thinLine2b" styleLbl="callout">
              <dgm:alg type="sp"/>
              <dgm:shape xmlns:r="http://schemas.openxmlformats.org/officeDocument/2006/relationships" type="line" r:blip="">
                <dgm:adjLst/>
              </dgm:shape>
              <dgm:presOf/>
            </dgm:layoutNode>
            <dgm:layoutNode name="vertSpace2b">
              <dgm:alg type="sp"/>
              <dgm:shape xmlns:r="http://schemas.openxmlformats.org/officeDocument/2006/relationships" r:blip="">
                <dgm:adjLst/>
              </dgm:shape>
              <dgm:presOf/>
            </dgm:layoutNode>
          </dgm:forEach>
        </dgm:layoutNode>
      </dgm:layoutNode>
    </dgm:forEach>
  </dgm:layoutNode>
</dgm:layoutDef>
</file>

<file path=word/diagrams/layout3.xml><?xml version="1.0" encoding="utf-8"?>
<dgm:layoutDef xmlns:dgm="http://schemas.openxmlformats.org/drawingml/2006/diagram" xmlns:a="http://schemas.openxmlformats.org/drawingml/2006/main" uniqueId="urn:microsoft.com/office/officeart/2005/8/layout/cycle2">
  <dgm:title val=""/>
  <dgm:desc val=""/>
  <dgm:catLst>
    <dgm:cat type="cycle" pri="1000"/>
    <dgm:cat type="convert" pri="10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onstrLst>
      <dgm:constr type="w" for="ch" ptType="node" refType="w"/>
      <dgm:constr type="w" for="ch" ptType="sibTrans" refType="w" refFor="ch" refPtType="node" op="equ" fact="0.25"/>
      <dgm:constr type="sibSp" refType="w" refFor="ch" refPtType="node" fact="0.5"/>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lMarg" refType="primFontSz" fact="0.1"/>
          <dgm:constr type="rMarg" refType="primFontSz" fact="0.1"/>
          <dgm:constr type="tMarg" refType="primFontSz" fact="0.1"/>
          <dgm:constr type="bMarg" refType="primFontSz" fact="0.1"/>
        </dgm:constrLst>
        <dgm:ruleLst>
          <dgm:rule type="primFontSz" val="5" fact="NaN" max="NaN"/>
        </dgm:ruleLst>
      </dgm:layoutNode>
      <dgm:choose name="Name9">
        <dgm:if name="Name10" axis="par ch" ptType="doc node" func="cnt" op="gt" val="1">
          <dgm:forEach name="sibTransForEach" axis="followSib" ptType="sibTrans" hideLastTrans="0" cnt="1">
            <dgm:layoutNode name="sibTrans">
              <dgm:choose name="Name11">
                <dgm:if name="Name12" axis="par ch" ptType="doc node" func="cnt" op="lt" val="3">
                  <dgm:alg type="conn">
                    <dgm:param type="begPts" val="radial"/>
                    <dgm:param type="endPts" val="radial"/>
                  </dgm:alg>
                </dgm:if>
                <dgm:else name="Name13">
                  <dgm:alg type="conn">
                    <dgm:param type="begPts" val="auto"/>
                    <dgm:param type="endPts" val="auto"/>
                  </dgm:alg>
                </dgm:else>
              </dgm:choose>
              <dgm:shape xmlns:r="http://schemas.openxmlformats.org/officeDocument/2006/relationships" type="conn" r:blip="">
                <dgm:adjLst/>
              </dgm:shape>
              <dgm:presOf axis="self"/>
              <dgm:constrLst>
                <dgm:constr type="h" refType="w" fact="1.35"/>
                <dgm:constr type="connDist"/>
                <dgm:constr type="w" for="ch" refType="connDist" fact="0.45"/>
                <dgm:constr type="h" for="ch" refType="h"/>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if>
        <dgm:else name="Name14"/>
      </dgm:choose>
    </dgm:forEach>
  </dgm:layoutNode>
</dgm:layoutDef>
</file>

<file path=word/diagrams/layout4.xml><?xml version="1.0" encoding="utf-8"?>
<dgm:layoutDef xmlns:dgm="http://schemas.openxmlformats.org/drawingml/2006/diagram" xmlns:a="http://schemas.openxmlformats.org/drawingml/2006/main" uniqueId="urn:microsoft.com/office/officeart/2005/8/layout/cycle5">
  <dgm:title val=""/>
  <dgm:desc val=""/>
  <dgm:catLst>
    <dgm:cat type="cycle" pri="3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hoose name="Name9">
      <dgm:if name="Name10" func="var" arg="dir" op="equ" val="norm">
        <dgm:constrLst>
          <dgm:constr type="w" for="ch" forName="node" refType="w"/>
          <dgm:constr type="w" for="ch" ptType="sibTrans" refType="w" refFor="ch" refForName="node" op="equ" fact="0.3"/>
          <dgm:constr type="diam" for="ch" ptType="sibTrans" refType="diam" op="equ"/>
          <dgm:constr type="sibSp" refType="w" refFor="ch" refForName="node" op="equ" fact="0.15"/>
          <dgm:constr type="w" for="ch" forName="spNode" refType="sibSp" fact="1.6"/>
          <dgm:constr type="primFontSz" for="ch" forName="node" op="equ" val="65"/>
        </dgm:constrLst>
      </dgm:if>
      <dgm:else name="Name11">
        <dgm:constrLst>
          <dgm:constr type="w" for="ch" forName="node" refType="w"/>
          <dgm:constr type="w" for="ch" ptType="sibTrans" refType="w" refFor="ch" refForName="node" op="equ" fact="0.3"/>
          <dgm:constr type="diam" for="ch" ptType="sibTrans" refType="diam" fact="-1"/>
          <dgm:constr type="diam" for="ch" refType="diam" op="equ" fact="-1"/>
          <dgm:constr type="sibSp" refType="w" refFor="ch" refForName="node" op="equ" fact="0.15"/>
          <dgm:constr type="w" for="ch" forName="spNode" refType="sibSp" fact="1.6"/>
          <dgm:constr type="primFontSz" for="ch" forName="node" op="equ" val="65"/>
        </dgm:constrLst>
      </dgm:else>
    </dgm:choose>
    <dgm:ruleLst/>
    <dgm:forEach name="Name12" axis="ch" ptType="node">
      <dgm:layoutNode name="node">
        <dgm:varLst>
          <dgm:bulletEnabled val="1"/>
        </dgm:varLst>
        <dgm:alg type="tx"/>
        <dgm:shape xmlns:r="http://schemas.openxmlformats.org/officeDocument/2006/relationships" type="roundRect" r:blip="">
          <dgm:adjLst/>
        </dgm:shape>
        <dgm:presOf axis="desOrSelf" ptType="node"/>
        <dgm:constrLst>
          <dgm:constr type="h" refType="w" fact="0.65"/>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3">
        <dgm:if name="Name14" axis="par ch" ptType="doc node" func="cnt" op="gt" val="1">
          <dgm:layoutNode name="spNode">
            <dgm:alg type="sp"/>
            <dgm:shape xmlns:r="http://schemas.openxmlformats.org/officeDocument/2006/relationships" r:blip="">
              <dgm:adjLst/>
            </dgm:shape>
            <dgm:presOf/>
            <dgm:constrLst>
              <dgm:constr type="h" refType="w"/>
            </dgm:constrLst>
            <dgm:ruleLst/>
          </dgm:layoutNode>
          <dgm:forEach name="Name15" axis="followSib" ptType="sibTrans" hideLastTrans="0" cnt="1">
            <dgm:layoutNode name="sibTrans">
              <dgm:alg type="conn">
                <dgm:param type="dim" val="1D"/>
                <dgm:param type="connRout" val="curve"/>
                <dgm:param type="begPts" val="radial"/>
                <dgm:param type="endPts" val="radial"/>
              </dgm:alg>
              <dgm:shape xmlns:r="http://schemas.openxmlformats.org/officeDocument/2006/relationships" type="conn" r:blip="">
                <dgm:adjLst/>
              </dgm:shape>
              <dgm:presOf axis="self"/>
              <dgm:constrLst>
                <dgm:constr type="h" refType="w" fact="0.65"/>
                <dgm:constr type="connDist"/>
                <dgm:constr type="begPad" refType="connDist" fact="0.2"/>
                <dgm:constr type="endPad" refType="connDist" fact="0.2"/>
              </dgm:constrLst>
              <dgm:ruleLst/>
            </dgm:layoutNode>
          </dgm:forEach>
        </dgm:if>
        <dgm:else name="Name16"/>
      </dgm:choose>
    </dgm:forEach>
  </dgm:layoutNode>
</dgm:layoutDef>
</file>

<file path=word/diagrams/layout5.xml><?xml version="1.0" encoding="utf-8"?>
<dgm:layoutDef xmlns:dgm="http://schemas.openxmlformats.org/drawingml/2006/diagram" xmlns:a="http://schemas.openxmlformats.org/drawingml/2006/main" uniqueId="urn:microsoft.com/office/officeart/2008/layout/LinedList">
  <dgm:title val=""/>
  <dgm:desc val=""/>
  <dgm:catLst>
    <dgm:cat type="hierarchy" pri="8000"/>
    <dgm:cat type="list" pri="25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clrData>
  <dgm:layoutNode name="vert0">
    <dgm:varLst>
      <dgm:dir/>
      <dgm:animOne val="branch"/>
      <dgm:animLvl val="lvl"/>
    </dgm:varLst>
    <dgm:choose name="Name0">
      <dgm:if name="Name1" func="var" arg="dir" op="equ" val="norm">
        <dgm:alg type="lin">
          <dgm:param type="linDir" val="fromT"/>
          <dgm:param type="nodeHorzAlign" val="l"/>
        </dgm:alg>
      </dgm:if>
      <dgm:else name="Name2">
        <dgm:alg type="lin">
          <dgm:param type="linDir" val="fromT"/>
          <dgm:param type="nodeHorzAlign" val="r"/>
        </dgm:alg>
      </dgm:else>
    </dgm:choose>
    <dgm:shape xmlns:r="http://schemas.openxmlformats.org/officeDocument/2006/relationships" r:blip="">
      <dgm:adjLst/>
    </dgm:shape>
    <dgm:presOf/>
    <dgm:constrLst>
      <dgm:constr type="w" for="ch" forName="horz1" refType="w"/>
      <dgm:constr type="h" for="ch" forName="horz1" refType="h"/>
      <dgm:constr type="h" for="des" forName="vert1" refType="h"/>
      <dgm:constr type="h" for="des" forName="tx1" refType="h"/>
      <dgm:constr type="h" for="des" forName="horz2" refType="h"/>
      <dgm:constr type="h" for="des" forName="vert2" refType="h"/>
      <dgm:constr type="h" for="des" forName="horz3" refType="h"/>
      <dgm:constr type="h" for="des" forName="vert3" refType="h"/>
      <dgm:constr type="h" for="des" forName="horz4" refType="h"/>
      <dgm:constr type="h" for="des" ptType="node" refType="h"/>
      <dgm:constr type="primFontSz" for="des" forName="tx1" op="equ" val="65"/>
      <dgm:constr type="primFontSz" for="des" forName="tx2" op="equ" val="65"/>
      <dgm:constr type="primFontSz" for="des" forName="tx3" op="equ" val="65"/>
      <dgm:constr type="primFontSz" for="des" forName="tx4" op="equ" val="65"/>
      <dgm:constr type="w" for="des" forName="thickLine" refType="w"/>
      <dgm:constr type="h" for="des" forName="thickLine"/>
      <dgm:constr type="h" for="des" forName="thinLine1"/>
      <dgm:constr type="h" for="des" forName="thinLine2b"/>
      <dgm:constr type="h" for="des" forName="thinLine3"/>
      <dgm:constr type="h" for="des" forName="vertSpace2a" refType="h" fact="0.05"/>
      <dgm:constr type="h" for="des" forName="vertSpace2b" refType="h" refFor="des" refForName="vertSpace2a"/>
    </dgm:constrLst>
    <dgm:forEach name="Name3" axis="ch" ptType="node">
      <dgm:layoutNode name="thickLine" styleLbl="alignNode1">
        <dgm:alg type="sp"/>
        <dgm:shape xmlns:r="http://schemas.openxmlformats.org/officeDocument/2006/relationships" type="line" r:blip="">
          <dgm:adjLst/>
        </dgm:shape>
        <dgm:presOf/>
      </dgm:layoutNode>
      <dgm:layoutNode name="horz1">
        <dgm:choose name="Name4">
          <dgm:if name="Name5" func="var" arg="dir" op="equ" val="norm">
            <dgm:alg type="lin">
              <dgm:param type="linDir" val="fromL"/>
              <dgm:param type="nodeVertAlign" val="t"/>
            </dgm:alg>
          </dgm:if>
          <dgm:else name="Name6">
            <dgm:alg type="lin">
              <dgm:param type="linDir" val="fromR"/>
              <dgm:param type="nodeVertAlign" val="t"/>
            </dgm:alg>
          </dgm:else>
        </dgm:choose>
        <dgm:shape xmlns:r="http://schemas.openxmlformats.org/officeDocument/2006/relationships" r:blip="">
          <dgm:adjLst/>
        </dgm:shape>
        <dgm:presOf/>
        <dgm:choose name="Name7">
          <dgm:if name="Name8" axis="root des" func="maxDepth" op="equ" val="1">
            <dgm:constrLst>
              <dgm:constr type="w" for="ch" forName="tx1" refType="w"/>
            </dgm:constrLst>
          </dgm:if>
          <dgm:if name="Name9" axis="root des" func="maxDepth" op="equ" val="2">
            <dgm:constrLst>
              <dgm:constr type="w" for="ch" forName="tx1" refType="w" fact="0.2"/>
              <dgm:constr type="w" for="des" forName="tx2" refType="w" fact="0.785"/>
              <dgm:constr type="w" for="des" forName="horzSpace2" refType="w" fact="0.015"/>
              <dgm:constr type="w" for="des" forName="thinLine2b" refType="w" fact="0.8"/>
            </dgm:constrLst>
          </dgm:if>
          <dgm:if name="Name10" axis="root des" func="maxDepth" op="equ" val="3">
            <dgm:constrLst>
              <dgm:constr type="w" for="ch" forName="tx1" refType="w" fact="0.2"/>
              <dgm:constr type="w" for="des" forName="tx2" refType="w" fact="0.385"/>
              <dgm:constr type="w" for="des" forName="tx3" refType="w" fact="0.385"/>
              <dgm:constr type="w" for="des" forName="horzSpace2" refType="w" fact="0.015"/>
              <dgm:constr type="w" for="des" forName="horzSpace3" refType="w" fact="0.015"/>
              <dgm:constr type="w" for="des" forName="thinLine2b" refType="w" fact="0.8"/>
              <dgm:constr type="w" for="des" forName="thinLine3" refType="w" fact="0.385"/>
            </dgm:constrLst>
          </dgm:if>
          <dgm:if name="Name11" axis="root des" func="maxDepth" op="gte" val="4">
            <dgm:constrLst>
              <dgm:constr type="w" for="ch" forName="tx1" refType="w" fact="0.2"/>
              <dgm:constr type="w" for="des" forName="tx2" refType="w" fact="0.2516"/>
              <dgm:constr type="w" for="des" forName="tx3" refType="w" fact="0.2516"/>
              <dgm:constr type="w" for="des" forName="tx4" refType="w" fact="0.2516"/>
              <dgm:constr type="w" for="des" forName="horzSpace2" refType="w" fact="0.015"/>
              <dgm:constr type="w" for="des" forName="horzSpace3" refType="w" fact="0.015"/>
              <dgm:constr type="w" for="des" forName="horzSpace4" refType="w" fact="0.015"/>
              <dgm:constr type="w" for="des" forName="thinLine2b" refType="w" fact="0.8"/>
              <dgm:constr type="w" for="des" forName="thinLine3" refType="w" fact="0.5332"/>
            </dgm:constrLst>
          </dgm:if>
          <dgm:else name="Name12"/>
        </dgm:choose>
        <dgm:layoutNode name="tx1" styleLbl="revTx">
          <dgm:alg type="tx">
            <dgm:param type="parTxLTRAlign" val="l"/>
            <dgm:param type="parTxRTLAlign" val="r"/>
            <dgm:param type="txAnchorVert" val="t"/>
          </dgm:alg>
          <dgm:shape xmlns:r="http://schemas.openxmlformats.org/officeDocument/2006/relationships" type="rect" r:blip="">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vert1">
          <dgm:choose name="Name13">
            <dgm:if name="Name14" func="var" arg="dir" op="equ" val="norm">
              <dgm:alg type="lin">
                <dgm:param type="linDir" val="fromT"/>
                <dgm:param type="nodeHorzAlign" val="l"/>
              </dgm:alg>
            </dgm:if>
            <dgm:else name="Name15">
              <dgm:alg type="lin">
                <dgm:param type="linDir" val="fromT"/>
                <dgm:param type="nodeHorzAlign" val="r"/>
              </dgm:alg>
            </dgm:else>
          </dgm:choose>
          <dgm:shape xmlns:r="http://schemas.openxmlformats.org/officeDocument/2006/relationships" r:blip="">
            <dgm:adjLst/>
          </dgm:shape>
          <dgm:presOf/>
          <dgm:forEach name="Name16" axis="ch" ptType="node">
            <dgm:choose name="Name17">
              <dgm:if name="Name18" axis="self" ptType="node" func="pos" op="equ" val="1">
                <dgm:layoutNode name="vertSpace2a">
                  <dgm:alg type="sp"/>
                  <dgm:shape xmlns:r="http://schemas.openxmlformats.org/officeDocument/2006/relationships" r:blip="">
                    <dgm:adjLst/>
                  </dgm:shape>
                  <dgm:presOf/>
                </dgm:layoutNode>
              </dgm:if>
              <dgm:else name="Name19"/>
            </dgm:choose>
            <dgm:layoutNode name="horz2">
              <dgm:choose name="Name20">
                <dgm:if name="Name21" func="var" arg="dir" op="equ" val="norm">
                  <dgm:alg type="lin">
                    <dgm:param type="linDir" val="fromL"/>
                    <dgm:param type="nodeVertAlign" val="t"/>
                  </dgm:alg>
                </dgm:if>
                <dgm:else name="Name22">
                  <dgm:alg type="lin">
                    <dgm:param type="linDir" val="fromR"/>
                    <dgm:param type="nodeVertAlign" val="t"/>
                  </dgm:alg>
                </dgm:else>
              </dgm:choose>
              <dgm:shape xmlns:r="http://schemas.openxmlformats.org/officeDocument/2006/relationships" r:blip="">
                <dgm:adjLst/>
              </dgm:shape>
              <dgm:presOf/>
              <dgm:layoutNode name="horzSpace2">
                <dgm:alg type="sp"/>
                <dgm:shape xmlns:r="http://schemas.openxmlformats.org/officeDocument/2006/relationships" r:blip="">
                  <dgm:adjLst/>
                </dgm:shape>
                <dgm:presOf/>
              </dgm:layoutNode>
              <dgm:layoutNode name="tx2" styleLbl="revTx">
                <dgm:alg type="tx">
                  <dgm:param type="parTxLTRAlign" val="l"/>
                  <dgm:param type="parTxRTLAlign" val="r"/>
                  <dgm:param type="txAnchorVert" val="t"/>
                </dgm:alg>
                <dgm:shape xmlns:r="http://schemas.openxmlformats.org/officeDocument/2006/relationships" type="rect" r:blip="">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vert2">
                <dgm:choose name="Name23">
                  <dgm:if name="Name24" func="var" arg="dir" op="equ" val="norm">
                    <dgm:alg type="lin">
                      <dgm:param type="linDir" val="fromT"/>
                      <dgm:param type="nodeHorzAlign" val="l"/>
                    </dgm:alg>
                  </dgm:if>
                  <dgm:else name="Name25">
                    <dgm:alg type="lin">
                      <dgm:param type="linDir" val="fromT"/>
                      <dgm:param type="nodeHorzAlign" val="r"/>
                    </dgm:alg>
                  </dgm:else>
                </dgm:choose>
                <dgm:shape xmlns:r="http://schemas.openxmlformats.org/officeDocument/2006/relationships" r:blip="">
                  <dgm:adjLst/>
                </dgm:shape>
                <dgm:presOf/>
                <dgm:forEach name="Name26" axis="ch" ptType="node">
                  <dgm:layoutNode name="horz3">
                    <dgm:choose name="Name27">
                      <dgm:if name="Name28" func="var" arg="dir" op="equ" val="norm">
                        <dgm:alg type="lin">
                          <dgm:param type="linDir" val="fromL"/>
                          <dgm:param type="nodeVertAlign" val="t"/>
                        </dgm:alg>
                      </dgm:if>
                      <dgm:else name="Name29">
                        <dgm:alg type="lin">
                          <dgm:param type="linDir" val="fromR"/>
                          <dgm:param type="nodeVertAlign" val="t"/>
                        </dgm:alg>
                      </dgm:else>
                    </dgm:choose>
                    <dgm:shape xmlns:r="http://schemas.openxmlformats.org/officeDocument/2006/relationships" r:blip="">
                      <dgm:adjLst/>
                    </dgm:shape>
                    <dgm:presOf/>
                    <dgm:layoutNode name="horzSpace3">
                      <dgm:alg type="sp"/>
                      <dgm:shape xmlns:r="http://schemas.openxmlformats.org/officeDocument/2006/relationships" r:blip="">
                        <dgm:adjLst/>
                      </dgm:shape>
                      <dgm:presOf/>
                    </dgm:layoutNode>
                    <dgm:layoutNode name="tx3" styleLbl="revTx">
                      <dgm:alg type="tx">
                        <dgm:param type="parTxLTRAlign" val="l"/>
                        <dgm:param type="parTxRTLAlign" val="r"/>
                        <dgm:param type="txAnchorVert" val="t"/>
                      </dgm:alg>
                      <dgm:shape xmlns:r="http://schemas.openxmlformats.org/officeDocument/2006/relationships" type="rect" r:blip="">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vert3">
                      <dgm:choose name="Name30">
                        <dgm:if name="Name31" func="var" arg="dir" op="equ" val="norm">
                          <dgm:alg type="lin">
                            <dgm:param type="linDir" val="fromT"/>
                            <dgm:param type="nodeHorzAlign" val="l"/>
                          </dgm:alg>
                        </dgm:if>
                        <dgm:else name="Name32">
                          <dgm:alg type="lin">
                            <dgm:param type="linDir" val="fromT"/>
                            <dgm:param type="nodeHorzAlign" val="r"/>
                          </dgm:alg>
                        </dgm:else>
                      </dgm:choose>
                      <dgm:shape xmlns:r="http://schemas.openxmlformats.org/officeDocument/2006/relationships" r:blip="">
                        <dgm:adjLst/>
                      </dgm:shape>
                      <dgm:presOf/>
                      <dgm:forEach name="Name33" axis="ch" ptType="node">
                        <dgm:layoutNode name="horz4">
                          <dgm:choose name="Name34">
                            <dgm:if name="Name35" func="var" arg="dir" op="equ" val="norm">
                              <dgm:alg type="lin">
                                <dgm:param type="linDir" val="fromL"/>
                                <dgm:param type="nodeVertAlign" val="t"/>
                              </dgm:alg>
                            </dgm:if>
                            <dgm:else name="Name36">
                              <dgm:alg type="lin">
                                <dgm:param type="linDir" val="fromR"/>
                                <dgm:param type="nodeVertAlign" val="t"/>
                              </dgm:alg>
                            </dgm:else>
                          </dgm:choose>
                          <dgm:shape xmlns:r="http://schemas.openxmlformats.org/officeDocument/2006/relationships" r:blip="">
                            <dgm:adjLst/>
                          </dgm:shape>
                          <dgm:presOf/>
                          <dgm:layoutNode name="horzSpace4">
                            <dgm:alg type="sp"/>
                            <dgm:shape xmlns:r="http://schemas.openxmlformats.org/officeDocument/2006/relationships" r:blip="">
                              <dgm:adjLst/>
                            </dgm:shape>
                            <dgm:presOf/>
                          </dgm:layoutNode>
                          <dgm:layoutNode name="tx4" styleLbl="revTx">
                            <dgm:varLst>
                              <dgm:bulletEnabled val="1"/>
                            </dgm:varLst>
                            <dgm:alg type="tx">
                              <dgm:param type="parTxLTRAlign" val="l"/>
                              <dgm:param type="parTxRTLAlign" val="r"/>
                              <dgm:param type="txAnchorVert" val="t"/>
                            </dgm:alg>
                            <dgm:shape xmlns:r="http://schemas.openxmlformats.org/officeDocument/2006/relationships" type="rect" r:blip="">
                              <dgm:adjLst/>
                            </dgm:shape>
                            <dgm:presOf axis="desOrSelf" ptType="nod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forEach>
                    </dgm:layoutNode>
                  </dgm:layoutNode>
                  <dgm:forEach name="Name37" axis="followSib" ptType="sibTrans" cnt="1">
                    <dgm:layoutNode name="thinLine3" styleLbl="callout">
                      <dgm:alg type="sp"/>
                      <dgm:shape xmlns:r="http://schemas.openxmlformats.org/officeDocument/2006/relationships" type="line" r:blip="">
                        <dgm:adjLst/>
                      </dgm:shape>
                      <dgm:presOf/>
                    </dgm:layoutNode>
                  </dgm:forEach>
                </dgm:forEach>
              </dgm:layoutNode>
            </dgm:layoutNode>
            <dgm:layoutNode name="thinLine2b" styleLbl="callout">
              <dgm:alg type="sp"/>
              <dgm:shape xmlns:r="http://schemas.openxmlformats.org/officeDocument/2006/relationships" type="line" r:blip="">
                <dgm:adjLst/>
              </dgm:shape>
              <dgm:presOf/>
            </dgm:layoutNode>
            <dgm:layoutNode name="vertSpace2b">
              <dgm:alg type="sp"/>
              <dgm:shape xmlns:r="http://schemas.openxmlformats.org/officeDocument/2006/relationships" r:blip="">
                <dgm:adjLst/>
              </dgm:shape>
              <dgm:presOf/>
            </dgm:layoutNode>
          </dgm:forEach>
        </dgm:layoutNode>
      </dgm:layoutNode>
    </dgm:forEach>
  </dgm:layoutNode>
</dgm:layoutDef>
</file>

<file path=word/diagrams/layout6.xml><?xml version="1.0" encoding="utf-8"?>
<dgm:layoutDef xmlns:dgm="http://schemas.openxmlformats.org/drawingml/2006/diagram" xmlns:a="http://schemas.openxmlformats.org/drawingml/2006/main" uniqueId="urn:microsoft.com/office/officeart/2005/8/layout/equation1">
  <dgm:title val=""/>
  <dgm:desc val=""/>
  <dgm:catLst>
    <dgm:cat type="relationship" pri="17000"/>
    <dgm:cat type="process" pri="2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Flow">
    <dgm:varLst>
      <dgm:dir/>
      <dgm:resizeHandles val="exact"/>
    </dgm:varLst>
    <dgm:choose name="Name0">
      <dgm:if name="Name1" func="var" arg="dir" op="equ" val="norm">
        <dgm:alg type="lin">
          <dgm:param type="fallback" val="2D"/>
        </dgm:alg>
      </dgm:if>
      <dgm:else name="Name2">
        <dgm:alg type="lin">
          <dgm:param type="linDir" val="fromR"/>
          <dgm:param type="fallback" val="2D"/>
        </dgm:alg>
      </dgm:else>
    </dgm:choose>
    <dgm:shape xmlns:r="http://schemas.openxmlformats.org/officeDocument/2006/relationships" r:blip="">
      <dgm:adjLst/>
    </dgm:shape>
    <dgm:presOf/>
    <dgm:constrLst>
      <dgm:constr type="w" for="ch" ptType="node" refType="w"/>
      <dgm:constr type="w" for="ch" ptType="sibTrans" refType="w" refFor="ch" refPtType="node" fact="0.58"/>
      <dgm:constr type="primFontSz" for="ch" ptType="node" op="equ" val="65"/>
      <dgm:constr type="primFontSz" for="ch" ptType="sibTrans" op="equ" val="55"/>
      <dgm:constr type="primFontSz" for="ch" ptType="sibTrans" refType="primFontSz" refFor="ch" refPtType="node" op="lte" fact="0.8"/>
      <dgm:constr type="w" for="ch" forName="spacerL" refType="w" refFor="ch" refPtType="sibTrans" fact="0.14"/>
      <dgm:constr type="w" for="ch" forName="spacerR" refType="w" refFor="ch" refPtType="sibTrans" fact="0.14"/>
    </dgm:constrLst>
    <dgm:ruleLst/>
    <dgm:forEach name="nodesForEach" axis="ch" ptType="node">
      <dgm:layoutNode name="node">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sibTransForEach" axis="followSib" ptType="sibTrans" cnt="1">
        <dgm:layoutNode name="spacerL">
          <dgm:alg type="sp"/>
          <dgm:shape xmlns:r="http://schemas.openxmlformats.org/officeDocument/2006/relationships" r:blip="">
            <dgm:adjLst/>
          </dgm:shape>
          <dgm:presOf/>
          <dgm:constrLst/>
          <dgm:ruleLst/>
        </dgm:layoutNode>
        <dgm:layoutNode name="sibTrans">
          <dgm:alg type="tx"/>
          <dgm:choose name="Name3">
            <dgm:if name="Name4" axis="followSib" ptType="sibTrans" func="cnt" op="equ" val="0">
              <dgm:shape xmlns:r="http://schemas.openxmlformats.org/officeDocument/2006/relationships" type="mathEqual" r:blip="">
                <dgm:adjLst/>
              </dgm:shape>
            </dgm:if>
            <dgm:else name="Name5">
              <dgm:shape xmlns:r="http://schemas.openxmlformats.org/officeDocument/2006/relationships" type="mathPlus" r:blip="">
                <dgm:adjLst/>
              </dgm:shape>
            </dgm:else>
          </dgm:choose>
          <dgm:presOf axis="self"/>
          <dgm:constrLst>
            <dgm:constr type="h" refType="w"/>
            <dgm:constr type="lMarg"/>
            <dgm:constr type="rMarg"/>
            <dgm:constr type="tMarg"/>
            <dgm:constr type="bMarg"/>
          </dgm:constrLst>
          <dgm:ruleLst>
            <dgm:rule type="primFontSz" val="5" fact="NaN" max="NaN"/>
          </dgm:ruleLst>
        </dgm:layoutNode>
        <dgm:layoutNode name="spacerR">
          <dgm:alg type="sp"/>
          <dgm:shape xmlns:r="http://schemas.openxmlformats.org/officeDocument/2006/relationships" r:blip="">
            <dgm:adjLst/>
          </dgm:shape>
          <dgm:presOf/>
          <dgm:constrLst/>
          <dgm:ruleLst/>
        </dgm:layoutNode>
      </dgm:forEach>
    </dgm:forEach>
  </dgm:layoutNode>
</dgm:layoutDef>
</file>

<file path=word/diagrams/layout7.xml><?xml version="1.0" encoding="utf-8"?>
<dgm:layoutDef xmlns:dgm="http://schemas.openxmlformats.org/drawingml/2006/diagram" xmlns:a="http://schemas.openxmlformats.org/drawingml/2006/main" uniqueId="urn:microsoft.com/office/officeart/2009/layout/CirclePictureHierarchy">
  <dgm:title val=""/>
  <dgm:desc val=""/>
  <dgm:catLst>
    <dgm:cat type="hierarchy" pri="1750"/>
    <dgm:cat type="picture" pri="23000"/>
    <dgm:cat type="pictureconvert" pri="2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5"/>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h" for="ch" forName="image" refType="h" fact="0.8"/>
              <dgm:constr type="w" for="ch" forName="image" refType="h" refFor="ch" refForName="image"/>
              <dgm:constr type="t" for="ch" forName="image" refType="h" fact="0.1"/>
              <dgm:constr type="l" for="ch" forName="image"/>
              <dgm:constr type="w" for="ch" forName="text" refType="w" fact="0.6"/>
              <dgm:constr type="h" for="ch" forName="text" refType="h" fact="0.8"/>
              <dgm:constr type="t" for="ch" forName="text" refType="w" fact="0.04"/>
              <dgm:constr type="l" for="ch" forName="text" refType="w" fact="0.4"/>
            </dgm:constrLst>
            <dgm:ruleLst/>
            <dgm:layoutNode name="image" styleLbl="node0">
              <dgm:alg type="sp"/>
              <dgm:shape xmlns:r="http://schemas.openxmlformats.org/officeDocument/2006/relationships" type="ellipse" r:blip="" blipPhldr="1">
                <dgm:adjLst/>
              </dgm:shape>
              <dgm:presOf/>
              <dgm:constrLst/>
              <dgm:ruleLst/>
            </dgm:layoutNode>
            <dgm:layoutNode name="text" styleLbl="revTx">
              <dgm:varLst>
                <dgm:chPref val="3"/>
              </dgm:varLst>
              <dgm:alg type="tx">
                <dgm:param type="parTxLTRAlign" val="l"/>
                <dgm:param type="parTxRTLAlign" val="r"/>
              </dgm:alg>
              <dgm:shape xmlns:r="http://schemas.openxmlformats.org/officeDocument/2006/relationships" type="rect" r:blip="">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image"/>
                    <dgm:param type="dstNode" val="image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h" for="ch" forName="image2" refType="h" fact="0.8"/>
                      <dgm:constr type="w" for="ch" forName="image2" refType="h" refFor="ch" refForName="image2"/>
                      <dgm:constr type="t" for="ch" forName="image2" refType="h" fact="0.1"/>
                      <dgm:constr type="l" for="ch" forName="image2"/>
                      <dgm:constr type="w" for="ch" forName="text2" refType="w" fact="0.6"/>
                      <dgm:constr type="h" for="ch" forName="text2" refType="h" fact="0.8"/>
                      <dgm:constr type="t" for="ch" forName="text2" refType="w" fact="0.04"/>
                      <dgm:constr type="l" for="ch" forName="text2" refType="w" fact="0.4"/>
                    </dgm:constrLst>
                    <dgm:ruleLst/>
                    <dgm:layoutNode name="image2">
                      <dgm:alg type="sp"/>
                      <dgm:shape xmlns:r="http://schemas.openxmlformats.org/officeDocument/2006/relationships" type="ellipse" r:blip="" blipPhldr="1">
                        <dgm:adjLst/>
                      </dgm:shape>
                      <dgm:presOf/>
                      <dgm:constrLst/>
                      <dgm:ruleLst/>
                    </dgm:layoutNode>
                    <dgm:layoutNode name="text2" styleLbl="revTx">
                      <dgm:varLst>
                        <dgm:chPref val="3"/>
                      </dgm:varLst>
                      <dgm:alg type="tx">
                        <dgm:param type="parTxLTRAlign" val="l"/>
                        <dgm:param type="parTxRTLAlign" val="r"/>
                      </dgm:alg>
                      <dgm:shape xmlns:r="http://schemas.openxmlformats.org/officeDocument/2006/relationships" type="rect" r:blip="">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image2"/>
                            <dgm:param type="dstNode" val="image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h" for="ch" forName="image3" refType="h" fact="0.8"/>
                              <dgm:constr type="w" for="ch" forName="image3" refType="h" refFor="ch" refForName="image3"/>
                              <dgm:constr type="t" for="ch" forName="image3" refType="h" fact="0.1"/>
                              <dgm:constr type="l" for="ch" forName="image3"/>
                              <dgm:constr type="w" for="ch" forName="text3" refType="w" fact="0.6"/>
                              <dgm:constr type="h" for="ch" forName="text3" refType="h" fact="0.8"/>
                              <dgm:constr type="t" for="ch" forName="text3" refType="w" fact="0.04"/>
                              <dgm:constr type="l" for="ch" forName="text3" refType="w" fact="0.4"/>
                            </dgm:constrLst>
                            <dgm:ruleLst/>
                            <dgm:layoutNode name="image3">
                              <dgm:alg type="sp"/>
                              <dgm:shape xmlns:r="http://schemas.openxmlformats.org/officeDocument/2006/relationships" type="ellipse" r:blip="" blipPhldr="1">
                                <dgm:adjLst/>
                              </dgm:shape>
                              <dgm:presOf/>
                              <dgm:constrLst/>
                              <dgm:ruleLst/>
                            </dgm:layoutNode>
                            <dgm:layoutNode name="text3" styleLbl="revTx">
                              <dgm:varLst>
                                <dgm:chPref val="3"/>
                              </dgm:varLst>
                              <dgm:alg type="tx">
                                <dgm:param type="parTxLTRAlign" val="l"/>
                                <dgm:param type="parTxRTLAlign" val="r"/>
                              </dgm:alg>
                              <dgm:shape xmlns:r="http://schemas.openxmlformats.org/officeDocument/2006/relationships" type="rect" r:blip="">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image3"/>
                                        <dgm:param type="dstNode" val="image4"/>
                                      </dgm:alg>
                                    </dgm:if>
                                    <dgm:else name="Name26">
                                      <dgm:alg type="conn">
                                        <dgm:param type="dim" val="1D"/>
                                        <dgm:param type="endSty" val="noArr"/>
                                        <dgm:param type="connRout" val="bend"/>
                                        <dgm:param type="bendPt" val="end"/>
                                        <dgm:param type="begPts" val="bCtr"/>
                                        <dgm:param type="endPts" val="tCtr"/>
                                        <dgm:param type="srcNode" val="image4"/>
                                        <dgm:param type="dstNode" val="image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h" for="ch" forName="image4" refType="h" fact="0.8"/>
                                      <dgm:constr type="w" for="ch" forName="image4" refType="h" refFor="ch" refForName="image4"/>
                                      <dgm:constr type="t" for="ch" forName="image4" refType="h" fact="0.1"/>
                                      <dgm:constr type="l" for="ch" forName="image4"/>
                                      <dgm:constr type="w" for="ch" forName="text4" refType="w" fact="0.6"/>
                                      <dgm:constr type="h" for="ch" forName="text4" refType="h" fact="0.8"/>
                                      <dgm:constr type="t" for="ch" forName="text4" refType="w" fact="0.04"/>
                                      <dgm:constr type="l" for="ch" forName="text4" refType="w" fact="0.4"/>
                                    </dgm:constrLst>
                                    <dgm:ruleLst/>
                                    <dgm:layoutNode name="image4">
                                      <dgm:alg type="sp"/>
                                      <dgm:shape xmlns:r="http://schemas.openxmlformats.org/officeDocument/2006/relationships" type="ellipse" r:blip="" blipPhldr="1">
                                        <dgm:adjLst/>
                                      </dgm:shape>
                                      <dgm:presOf/>
                                      <dgm:constrLst/>
                                      <dgm:ruleLst/>
                                    </dgm:layoutNode>
                                    <dgm:layoutNode name="text4" styleLbl="revTx">
                                      <dgm:varLst>
                                        <dgm:chPref val="3"/>
                                      </dgm:varLst>
                                      <dgm:alg type="tx">
                                        <dgm:param type="parTxLTRAlign" val="l"/>
                                        <dgm:param type="parTxRTLAlign" val="r"/>
                                      </dgm:alg>
                                      <dgm:shape xmlns:r="http://schemas.openxmlformats.org/officeDocument/2006/relationships" type="rect" r:blip="">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layout8.xml><?xml version="1.0" encoding="utf-8"?>
<dgm:layoutDef xmlns:dgm="http://schemas.openxmlformats.org/drawingml/2006/diagram" xmlns:a="http://schemas.openxmlformats.org/drawingml/2006/main" uniqueId="urn:microsoft.com/office/officeart/2008/layout/LinedList">
  <dgm:title val=""/>
  <dgm:desc val=""/>
  <dgm:catLst>
    <dgm:cat type="hierarchy" pri="8000"/>
    <dgm:cat type="list" pri="25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clrData>
  <dgm:layoutNode name="vert0">
    <dgm:varLst>
      <dgm:dir/>
      <dgm:animOne val="branch"/>
      <dgm:animLvl val="lvl"/>
    </dgm:varLst>
    <dgm:choose name="Name0">
      <dgm:if name="Name1" func="var" arg="dir" op="equ" val="norm">
        <dgm:alg type="lin">
          <dgm:param type="linDir" val="fromT"/>
          <dgm:param type="nodeHorzAlign" val="l"/>
        </dgm:alg>
      </dgm:if>
      <dgm:else name="Name2">
        <dgm:alg type="lin">
          <dgm:param type="linDir" val="fromT"/>
          <dgm:param type="nodeHorzAlign" val="r"/>
        </dgm:alg>
      </dgm:else>
    </dgm:choose>
    <dgm:shape xmlns:r="http://schemas.openxmlformats.org/officeDocument/2006/relationships" r:blip="">
      <dgm:adjLst/>
    </dgm:shape>
    <dgm:presOf/>
    <dgm:constrLst>
      <dgm:constr type="w" for="ch" forName="horz1" refType="w"/>
      <dgm:constr type="h" for="ch" forName="horz1" refType="h"/>
      <dgm:constr type="h" for="des" forName="vert1" refType="h"/>
      <dgm:constr type="h" for="des" forName="tx1" refType="h"/>
      <dgm:constr type="h" for="des" forName="horz2" refType="h"/>
      <dgm:constr type="h" for="des" forName="vert2" refType="h"/>
      <dgm:constr type="h" for="des" forName="horz3" refType="h"/>
      <dgm:constr type="h" for="des" forName="vert3" refType="h"/>
      <dgm:constr type="h" for="des" forName="horz4" refType="h"/>
      <dgm:constr type="h" for="des" ptType="node" refType="h"/>
      <dgm:constr type="primFontSz" for="des" forName="tx1" op="equ" val="65"/>
      <dgm:constr type="primFontSz" for="des" forName="tx2" op="equ" val="65"/>
      <dgm:constr type="primFontSz" for="des" forName="tx3" op="equ" val="65"/>
      <dgm:constr type="primFontSz" for="des" forName="tx4" op="equ" val="65"/>
      <dgm:constr type="w" for="des" forName="thickLine" refType="w"/>
      <dgm:constr type="h" for="des" forName="thickLine"/>
      <dgm:constr type="h" for="des" forName="thinLine1"/>
      <dgm:constr type="h" for="des" forName="thinLine2b"/>
      <dgm:constr type="h" for="des" forName="thinLine3"/>
      <dgm:constr type="h" for="des" forName="vertSpace2a" refType="h" fact="0.05"/>
      <dgm:constr type="h" for="des" forName="vertSpace2b" refType="h" refFor="des" refForName="vertSpace2a"/>
    </dgm:constrLst>
    <dgm:forEach name="Name3" axis="ch" ptType="node">
      <dgm:layoutNode name="thickLine" styleLbl="alignNode1">
        <dgm:alg type="sp"/>
        <dgm:shape xmlns:r="http://schemas.openxmlformats.org/officeDocument/2006/relationships" type="line" r:blip="">
          <dgm:adjLst/>
        </dgm:shape>
        <dgm:presOf/>
      </dgm:layoutNode>
      <dgm:layoutNode name="horz1">
        <dgm:choose name="Name4">
          <dgm:if name="Name5" func="var" arg="dir" op="equ" val="norm">
            <dgm:alg type="lin">
              <dgm:param type="linDir" val="fromL"/>
              <dgm:param type="nodeVertAlign" val="t"/>
            </dgm:alg>
          </dgm:if>
          <dgm:else name="Name6">
            <dgm:alg type="lin">
              <dgm:param type="linDir" val="fromR"/>
              <dgm:param type="nodeVertAlign" val="t"/>
            </dgm:alg>
          </dgm:else>
        </dgm:choose>
        <dgm:shape xmlns:r="http://schemas.openxmlformats.org/officeDocument/2006/relationships" r:blip="">
          <dgm:adjLst/>
        </dgm:shape>
        <dgm:presOf/>
        <dgm:choose name="Name7">
          <dgm:if name="Name8" axis="root des" func="maxDepth" op="equ" val="1">
            <dgm:constrLst>
              <dgm:constr type="w" for="ch" forName="tx1" refType="w"/>
            </dgm:constrLst>
          </dgm:if>
          <dgm:if name="Name9" axis="root des" func="maxDepth" op="equ" val="2">
            <dgm:constrLst>
              <dgm:constr type="w" for="ch" forName="tx1" refType="w" fact="0.2"/>
              <dgm:constr type="w" for="des" forName="tx2" refType="w" fact="0.785"/>
              <dgm:constr type="w" for="des" forName="horzSpace2" refType="w" fact="0.015"/>
              <dgm:constr type="w" for="des" forName="thinLine2b" refType="w" fact="0.8"/>
            </dgm:constrLst>
          </dgm:if>
          <dgm:if name="Name10" axis="root des" func="maxDepth" op="equ" val="3">
            <dgm:constrLst>
              <dgm:constr type="w" for="ch" forName="tx1" refType="w" fact="0.2"/>
              <dgm:constr type="w" for="des" forName="tx2" refType="w" fact="0.385"/>
              <dgm:constr type="w" for="des" forName="tx3" refType="w" fact="0.385"/>
              <dgm:constr type="w" for="des" forName="horzSpace2" refType="w" fact="0.015"/>
              <dgm:constr type="w" for="des" forName="horzSpace3" refType="w" fact="0.015"/>
              <dgm:constr type="w" for="des" forName="thinLine2b" refType="w" fact="0.8"/>
              <dgm:constr type="w" for="des" forName="thinLine3" refType="w" fact="0.385"/>
            </dgm:constrLst>
          </dgm:if>
          <dgm:if name="Name11" axis="root des" func="maxDepth" op="gte" val="4">
            <dgm:constrLst>
              <dgm:constr type="w" for="ch" forName="tx1" refType="w" fact="0.2"/>
              <dgm:constr type="w" for="des" forName="tx2" refType="w" fact="0.2516"/>
              <dgm:constr type="w" for="des" forName="tx3" refType="w" fact="0.2516"/>
              <dgm:constr type="w" for="des" forName="tx4" refType="w" fact="0.2516"/>
              <dgm:constr type="w" for="des" forName="horzSpace2" refType="w" fact="0.015"/>
              <dgm:constr type="w" for="des" forName="horzSpace3" refType="w" fact="0.015"/>
              <dgm:constr type="w" for="des" forName="horzSpace4" refType="w" fact="0.015"/>
              <dgm:constr type="w" for="des" forName="thinLine2b" refType="w" fact="0.8"/>
              <dgm:constr type="w" for="des" forName="thinLine3" refType="w" fact="0.5332"/>
            </dgm:constrLst>
          </dgm:if>
          <dgm:else name="Name12"/>
        </dgm:choose>
        <dgm:layoutNode name="tx1" styleLbl="revTx">
          <dgm:alg type="tx">
            <dgm:param type="parTxLTRAlign" val="l"/>
            <dgm:param type="parTxRTLAlign" val="r"/>
            <dgm:param type="txAnchorVert" val="t"/>
          </dgm:alg>
          <dgm:shape xmlns:r="http://schemas.openxmlformats.org/officeDocument/2006/relationships" type="rect" r:blip="">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vert1">
          <dgm:choose name="Name13">
            <dgm:if name="Name14" func="var" arg="dir" op="equ" val="norm">
              <dgm:alg type="lin">
                <dgm:param type="linDir" val="fromT"/>
                <dgm:param type="nodeHorzAlign" val="l"/>
              </dgm:alg>
            </dgm:if>
            <dgm:else name="Name15">
              <dgm:alg type="lin">
                <dgm:param type="linDir" val="fromT"/>
                <dgm:param type="nodeHorzAlign" val="r"/>
              </dgm:alg>
            </dgm:else>
          </dgm:choose>
          <dgm:shape xmlns:r="http://schemas.openxmlformats.org/officeDocument/2006/relationships" r:blip="">
            <dgm:adjLst/>
          </dgm:shape>
          <dgm:presOf/>
          <dgm:forEach name="Name16" axis="ch" ptType="node">
            <dgm:choose name="Name17">
              <dgm:if name="Name18" axis="self" ptType="node" func="pos" op="equ" val="1">
                <dgm:layoutNode name="vertSpace2a">
                  <dgm:alg type="sp"/>
                  <dgm:shape xmlns:r="http://schemas.openxmlformats.org/officeDocument/2006/relationships" r:blip="">
                    <dgm:adjLst/>
                  </dgm:shape>
                  <dgm:presOf/>
                </dgm:layoutNode>
              </dgm:if>
              <dgm:else name="Name19"/>
            </dgm:choose>
            <dgm:layoutNode name="horz2">
              <dgm:choose name="Name20">
                <dgm:if name="Name21" func="var" arg="dir" op="equ" val="norm">
                  <dgm:alg type="lin">
                    <dgm:param type="linDir" val="fromL"/>
                    <dgm:param type="nodeVertAlign" val="t"/>
                  </dgm:alg>
                </dgm:if>
                <dgm:else name="Name22">
                  <dgm:alg type="lin">
                    <dgm:param type="linDir" val="fromR"/>
                    <dgm:param type="nodeVertAlign" val="t"/>
                  </dgm:alg>
                </dgm:else>
              </dgm:choose>
              <dgm:shape xmlns:r="http://schemas.openxmlformats.org/officeDocument/2006/relationships" r:blip="">
                <dgm:adjLst/>
              </dgm:shape>
              <dgm:presOf/>
              <dgm:layoutNode name="horzSpace2">
                <dgm:alg type="sp"/>
                <dgm:shape xmlns:r="http://schemas.openxmlformats.org/officeDocument/2006/relationships" r:blip="">
                  <dgm:adjLst/>
                </dgm:shape>
                <dgm:presOf/>
              </dgm:layoutNode>
              <dgm:layoutNode name="tx2" styleLbl="revTx">
                <dgm:alg type="tx">
                  <dgm:param type="parTxLTRAlign" val="l"/>
                  <dgm:param type="parTxRTLAlign" val="r"/>
                  <dgm:param type="txAnchorVert" val="t"/>
                </dgm:alg>
                <dgm:shape xmlns:r="http://schemas.openxmlformats.org/officeDocument/2006/relationships" type="rect" r:blip="">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vert2">
                <dgm:choose name="Name23">
                  <dgm:if name="Name24" func="var" arg="dir" op="equ" val="norm">
                    <dgm:alg type="lin">
                      <dgm:param type="linDir" val="fromT"/>
                      <dgm:param type="nodeHorzAlign" val="l"/>
                    </dgm:alg>
                  </dgm:if>
                  <dgm:else name="Name25">
                    <dgm:alg type="lin">
                      <dgm:param type="linDir" val="fromT"/>
                      <dgm:param type="nodeHorzAlign" val="r"/>
                    </dgm:alg>
                  </dgm:else>
                </dgm:choose>
                <dgm:shape xmlns:r="http://schemas.openxmlformats.org/officeDocument/2006/relationships" r:blip="">
                  <dgm:adjLst/>
                </dgm:shape>
                <dgm:presOf/>
                <dgm:forEach name="Name26" axis="ch" ptType="node">
                  <dgm:layoutNode name="horz3">
                    <dgm:choose name="Name27">
                      <dgm:if name="Name28" func="var" arg="dir" op="equ" val="norm">
                        <dgm:alg type="lin">
                          <dgm:param type="linDir" val="fromL"/>
                          <dgm:param type="nodeVertAlign" val="t"/>
                        </dgm:alg>
                      </dgm:if>
                      <dgm:else name="Name29">
                        <dgm:alg type="lin">
                          <dgm:param type="linDir" val="fromR"/>
                          <dgm:param type="nodeVertAlign" val="t"/>
                        </dgm:alg>
                      </dgm:else>
                    </dgm:choose>
                    <dgm:shape xmlns:r="http://schemas.openxmlformats.org/officeDocument/2006/relationships" r:blip="">
                      <dgm:adjLst/>
                    </dgm:shape>
                    <dgm:presOf/>
                    <dgm:layoutNode name="horzSpace3">
                      <dgm:alg type="sp"/>
                      <dgm:shape xmlns:r="http://schemas.openxmlformats.org/officeDocument/2006/relationships" r:blip="">
                        <dgm:adjLst/>
                      </dgm:shape>
                      <dgm:presOf/>
                    </dgm:layoutNode>
                    <dgm:layoutNode name="tx3" styleLbl="revTx">
                      <dgm:alg type="tx">
                        <dgm:param type="parTxLTRAlign" val="l"/>
                        <dgm:param type="parTxRTLAlign" val="r"/>
                        <dgm:param type="txAnchorVert" val="t"/>
                      </dgm:alg>
                      <dgm:shape xmlns:r="http://schemas.openxmlformats.org/officeDocument/2006/relationships" type="rect" r:blip="">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vert3">
                      <dgm:choose name="Name30">
                        <dgm:if name="Name31" func="var" arg="dir" op="equ" val="norm">
                          <dgm:alg type="lin">
                            <dgm:param type="linDir" val="fromT"/>
                            <dgm:param type="nodeHorzAlign" val="l"/>
                          </dgm:alg>
                        </dgm:if>
                        <dgm:else name="Name32">
                          <dgm:alg type="lin">
                            <dgm:param type="linDir" val="fromT"/>
                            <dgm:param type="nodeHorzAlign" val="r"/>
                          </dgm:alg>
                        </dgm:else>
                      </dgm:choose>
                      <dgm:shape xmlns:r="http://schemas.openxmlformats.org/officeDocument/2006/relationships" r:blip="">
                        <dgm:adjLst/>
                      </dgm:shape>
                      <dgm:presOf/>
                      <dgm:forEach name="Name33" axis="ch" ptType="node">
                        <dgm:layoutNode name="horz4">
                          <dgm:choose name="Name34">
                            <dgm:if name="Name35" func="var" arg="dir" op="equ" val="norm">
                              <dgm:alg type="lin">
                                <dgm:param type="linDir" val="fromL"/>
                                <dgm:param type="nodeVertAlign" val="t"/>
                              </dgm:alg>
                            </dgm:if>
                            <dgm:else name="Name36">
                              <dgm:alg type="lin">
                                <dgm:param type="linDir" val="fromR"/>
                                <dgm:param type="nodeVertAlign" val="t"/>
                              </dgm:alg>
                            </dgm:else>
                          </dgm:choose>
                          <dgm:shape xmlns:r="http://schemas.openxmlformats.org/officeDocument/2006/relationships" r:blip="">
                            <dgm:adjLst/>
                          </dgm:shape>
                          <dgm:presOf/>
                          <dgm:layoutNode name="horzSpace4">
                            <dgm:alg type="sp"/>
                            <dgm:shape xmlns:r="http://schemas.openxmlformats.org/officeDocument/2006/relationships" r:blip="">
                              <dgm:adjLst/>
                            </dgm:shape>
                            <dgm:presOf/>
                          </dgm:layoutNode>
                          <dgm:layoutNode name="tx4" styleLbl="revTx">
                            <dgm:varLst>
                              <dgm:bulletEnabled val="1"/>
                            </dgm:varLst>
                            <dgm:alg type="tx">
                              <dgm:param type="parTxLTRAlign" val="l"/>
                              <dgm:param type="parTxRTLAlign" val="r"/>
                              <dgm:param type="txAnchorVert" val="t"/>
                            </dgm:alg>
                            <dgm:shape xmlns:r="http://schemas.openxmlformats.org/officeDocument/2006/relationships" type="rect" r:blip="">
                              <dgm:adjLst/>
                            </dgm:shape>
                            <dgm:presOf axis="desOrSelf" ptType="nod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forEach>
                    </dgm:layoutNode>
                  </dgm:layoutNode>
                  <dgm:forEach name="Name37" axis="followSib" ptType="sibTrans" cnt="1">
                    <dgm:layoutNode name="thinLine3" styleLbl="callout">
                      <dgm:alg type="sp"/>
                      <dgm:shape xmlns:r="http://schemas.openxmlformats.org/officeDocument/2006/relationships" type="line" r:blip="">
                        <dgm:adjLst/>
                      </dgm:shape>
                      <dgm:presOf/>
                    </dgm:layoutNode>
                  </dgm:forEach>
                </dgm:forEach>
              </dgm:layoutNode>
            </dgm:layoutNode>
            <dgm:layoutNode name="thinLine2b" styleLbl="callout">
              <dgm:alg type="sp"/>
              <dgm:shape xmlns:r="http://schemas.openxmlformats.org/officeDocument/2006/relationships" type="line" r:blip="">
                <dgm:adjLst/>
              </dgm:shape>
              <dgm:presOf/>
            </dgm:layoutNode>
            <dgm:layoutNode name="vertSpace2b">
              <dgm:alg type="sp"/>
              <dgm:shape xmlns:r="http://schemas.openxmlformats.org/officeDocument/2006/relationships" r:blip="">
                <dgm:adjLst/>
              </dgm:shape>
              <dgm:presOf/>
            </dgm:layoutNode>
          </dgm:forEach>
        </dgm:layoutNode>
      </dgm:layoutNod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8.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0.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QUjswU7XFJIBso2jIA2UyXFbB7g==">CgMxLjA4AHIhMVplckxjdGNQUkw4ZHRMZ1VCcnMyM2pjZU8xckRqUm5Q</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b:Source>
    <b:Tag>Bir97</b:Tag>
    <b:SourceType>JournalArticle</b:SourceType>
    <b:Guid>{F1FBC3A6-1AD1-48D7-9373-78EA2936DD6C}</b:Guid>
    <b:Author>
      <b:Author>
        <b:NameList>
          <b:Person>
            <b:Last>Birenbaum</b:Last>
            <b:First>M</b:First>
          </b:Person>
        </b:NameList>
      </b:Author>
    </b:Author>
    <b:Title>Assessment preferences and their relationship to learning strategies and orientations</b:Title>
    <b:JournalName>Higher Education</b:JournalName>
    <b:Year>1997</b:Year>
    <b:Pages>71-84</b:Pages>
    <b:RefOrder>1</b:RefOrder>
  </b:Source>
  <b:Source>
    <b:Tag>Tos18</b:Tag>
    <b:SourceType>JournalArticle</b:SourceType>
    <b:Guid>{4F78C49A-5585-4DA9-8B87-104DA530C0D5}</b:Guid>
    <b:Title>Importance of Assessment in ELT</b:Title>
    <b:Year>2018</b:Year>
    <b:Author>
      <b:Author>
        <b:NameList>
          <b:Person>
            <b:Last>Tosuncuoglu</b:Last>
            <b:First>Irfan</b:First>
          </b:Person>
        </b:NameList>
      </b:Author>
    </b:Author>
    <b:JournalName>Journal of Education and Training Studies</b:JournalName>
    <b:Pages>6-9</b:Pages>
    <b:LCID>en-US</b:LCID>
    <b:RefOrder>2</b:RefOrder>
  </b:Source>
  <b:Source>
    <b:Tag>Sue11</b:Tag>
    <b:SourceType>JournalArticle</b:SourceType>
    <b:Guid>{CF213177-0104-4B9A-9DFD-668EDA22D1D5}</b:Guid>
    <b:Author>
      <b:Author>
        <b:NameList>
          <b:Person>
            <b:Last>Swaffield</b:Last>
            <b:First>Sue</b:First>
          </b:Person>
        </b:NameList>
      </b:Author>
    </b:Author>
    <b:Title>Getting to the heart of authentic Assessment for Learning</b:Title>
    <b:JournalName>Assessment in Education: Principles, Policy &amp; PracticeAqua</b:JournalName>
    <b:Year>2011</b:Year>
    <b:Pages>433–449</b:Pages>
    <b:RefOrder>3</b:RefOrder>
  </b:Source>
  <b:Source>
    <b:Tag>Jon17</b:Tag>
    <b:SourceType>JournalArticle</b:SourceType>
    <b:Guid>{A5FC519B-3488-4FF2-B119-CD9AF2118BF0}</b:Guid>
    <b:Title>Best practices in summative assessment</b:Title>
    <b:Year>2017</b:Year>
    <b:Author>
      <b:Author>
        <b:NameList>
          <b:Person>
            <b:Last>Kibble</b:Last>
            <b:First>Jonathan</b:First>
          </b:Person>
        </b:NameList>
      </b:Author>
    </b:Author>
    <b:Pages>110-119</b:Pages>
    <b:RefOrder>4</b:RefOrder>
  </b:Source>
  <b:Source>
    <b:Tag>Bla74</b:Tag>
    <b:SourceType>JournalArticle</b:SourceType>
    <b:Guid>{CF03C778-8B5F-418D-BEE6-18D3D0C788E9}</b:Guid>
    <b:Author>
      <b:Author>
        <b:Corporate>Black  &amp; Wiliam</b:Corporate>
      </b:Author>
    </b:Author>
    <b:Title>Assessment and classroom learning. Assessment in Education: principles, policy &amp; practice</b:Title>
    <b:Year>1998</b:Year>
    <b:Pages>7-74</b:Pages>
    <b:RefOrder>5</b:RefOrder>
  </b:Source>
  <b:Source>
    <b:Tag>Sei19</b:Tag>
    <b:SourceType>Book</b:SourceType>
    <b:Guid>{1E824FA7-6914-4303-B6DE-82E199175EE6}</b:Guid>
    <b:Title>Teacher-made assessment strategies. Educational Psychology.</b:Title>
    <b:Year>2019</b:Year>
    <b:Author>
      <b:Author>
        <b:Corporate>Seifert &amp; Sutton</b:Corporate>
      </b:Author>
    </b:Author>
    <b:Publisher>Pressbooks</b:Publisher>
    <b:RefOrder>6</b:RefOrder>
  </b:Source>
  <b:Source>
    <b:Tag>Placeholder1</b:Tag>
    <b:SourceType>JournalArticle</b:SourceType>
    <b:Guid>{43DB35FC-5C48-4F5C-8D0C-61638B6701F4}</b:Guid>
    <b:Title>The Conundrum of Classroom Writing Assessment</b:Title>
    <b:Year>2006</b:Year>
    <b:Author>
      <b:Author>
        <b:Corporate>Engemann, J., &amp; Gallagher, T. </b:Corporate>
      </b:Author>
    </b:Author>
    <b:RefOrder>7</b:RefOrder>
  </b:Source>
  <b:Source>
    <b:Tag>Sta85</b:Tag>
    <b:SourceType>JournalArticle</b:SourceType>
    <b:Guid>{EEB9244D-9526-474A-A2CD-000F787D1D09}</b:Guid>
    <b:Author>
      <b:Author>
        <b:NameList>
          <b:Person>
            <b:Last>Deno</b:Last>
            <b:First>Stanley</b:First>
          </b:Person>
        </b:NameList>
      </b:Author>
    </b:Author>
    <b:Title>Curriculum based Measurment</b:Title>
    <b:Year>1985</b:Year>
    <b:Pages>41</b:Pages>
    <b:RefOrder>8</b:RefOrder>
  </b:Source>
  <b:Source>
    <b:Tag>Pau98</b:Tag>
    <b:SourceType>JournalArticle</b:SourceType>
    <b:Guid>{CF2D7284-763A-409C-8938-574718F47E5A}</b:Guid>
    <b:Author>
      <b:Author>
        <b:Corporate>Black &amp; Wiliam</b:Corporate>
      </b:Author>
    </b:Author>
    <b:Title>Assessment and Classroom Learning</b:Title>
    <b:Year>1998</b:Year>
    <b:RefOrder>9</b:RefOrder>
  </b:Source>
  <b:Source>
    <b:Tag>Col00</b:Tag>
    <b:SourceType>Book</b:SourceType>
    <b:Guid>{87E59584-2138-4BE0-B149-47E2C0AEAD0E}</b:Guid>
    <b:Title>Portfolios across the curriculum and beyond.</b:Title>
    <b:Year>2000</b:Year>
    <b:Author>
      <b:Author>
        <b:NameList>
          <b:Person>
            <b:Last>Cole</b:Last>
            <b:First>Donna</b:First>
            <b:Middle>J.</b:Middle>
          </b:Person>
        </b:NameList>
      </b:Author>
    </b:Author>
    <b:Publisher>Corwin Press.</b:Publisher>
    <b:RefOrder>11</b:RefOrder>
  </b:Source>
  <b:Source>
    <b:Tag>Jud95</b:Tag>
    <b:SourceType>JournalArticle</b:SourceType>
    <b:Guid>{4674001B-76A7-49D4-89E5-4BA85F98B8B0}</b:Guid>
    <b:Author>
      <b:Author>
        <b:NameList>
          <b:Person>
            <b:Last>Arter</b:Last>
          </b:Person>
        </b:NameList>
      </b:Author>
    </b:Author>
    <b:Title>Portfolios for Assessment and Instruction. ERIC Digest.</b:Title>
    <b:Year>1995</b:Year>
    <b:JournalName>ERIC</b:JournalName>
    <b:RefOrder>12</b:RefOrder>
  </b:Source>
  <b:Source>
    <b:Tag>Güm19</b:Tag>
    <b:SourceType>JournalArticle</b:SourceType>
    <b:Guid>{F98B8030-70D5-40D6-8978-DE1A0EAB2910}</b:Guid>
    <b:Title>19.	The effect of portfolio keeping on young learners’ writing achievement and their motivation towards writing skills in english as a foreign language</b:Title>
    <b:Year>2019</b:Year>
    <b:Author>
      <b:Author>
        <b:NameList>
          <b:Person>
            <b:Last>GÜMÜŞ</b:Last>
            <b:First>Sevde</b:First>
            <b:Middle>Nur</b:Middle>
          </b:Person>
        </b:NameList>
      </b:Author>
    </b:Author>
    <b:RefOrder>13</b:RefOrder>
  </b:Source>
  <b:Source>
    <b:Tag>Rob</b:Tag>
    <b:SourceType>JournalArticle</b:SourceType>
    <b:Guid>{6B708221-4F16-4B36-B139-BF6CBF613F33}</b:Guid>
    <b:Author>
      <b:Author>
        <b:NameList>
          <b:Person>
            <b:Last>Calfee</b:Last>
            <b:First>R.</b:First>
            <b:Middle>C., &amp; Perfumo, P.</b:Middle>
          </b:Person>
        </b:NameList>
      </b:Author>
    </b:Author>
    <b:Title>A national survey of writing portfolio practice: What we learned and what it means.</b:Title>
    <b:Year>2012</b:Year>
    <b:RefOrder>14</b:RefOrder>
  </b:Source>
  <b:Source>
    <b:Tag>Joh12</b:Tag>
    <b:SourceType>JournalArticle</b:SourceType>
    <b:Guid>{0A6734A5-90EC-44BA-9674-E1F4A45FDD3A}</b:Guid>
    <b:Author>
      <b:Author>
        <b:NameList>
          <b:Person>
            <b:Last>Hattie</b:Last>
            <b:First>John</b:First>
          </b:Person>
        </b:NameList>
      </b:Author>
    </b:Author>
    <b:Title>Visible Learning for Teachers:Maximizing Impact on Learning</b:Title>
    <b:Year>2012</b:Year>
    <b:RefOrder>15</b:RefOrder>
  </b:Source>
  <b:Source>
    <b:Tag>Ric99</b:Tag>
    <b:SourceType>JournalArticle</b:SourceType>
    <b:Guid>{F82D31FA-0355-4927-A646-AEEEBF358C87}</b:Guid>
    <b:Author>
      <b:Author>
        <b:NameList>
          <b:Person>
            <b:Last>Stiggins</b:Last>
            <b:First>Richard</b:First>
            <b:Middle>J.</b:Middle>
          </b:Person>
        </b:NameList>
      </b:Author>
    </b:Author>
    <b:Title>Assessment, Student Confidence, and School Success</b:Title>
    <b:Year>1999</b:Year>
    <b:RefOrder>16</b:RefOrder>
  </b:Source>
  <b:Source>
    <b:Tag>193</b:Tag>
    <b:SourceType>JournalArticle</b:SourceType>
    <b:Guid>{B3C684DE-FC4B-4F04-B72C-C3FFE3DD604F}</b:Guid>
    <b:Pages>p.193</b:Pages>
    <b:Author>
      <b:Author>
        <b:NameList>
          <b:Person>
            <b:Last>Stiggins</b:Last>
          </b:Person>
        </b:NameList>
      </b:Author>
    </b:Author>
    <b:RefOrder>17</b:RefOrder>
  </b:Source>
  <b:Source>
    <b:Tag>Placeholder2</b:Tag>
    <b:SourceType>Book</b:SourceType>
    <b:Guid>{8958BE40-0418-4C82-B22B-21F1AB7AC808}</b:Guid>
    <b:Title>The Truth About Testing: An Educator's Call to Action</b:Title>
    <b:Author>
      <b:Author>
        <b:NameList>
          <b:Person>
            <b:Last>Popham</b:Last>
          </b:Person>
        </b:NameList>
      </b:Author>
    </b:Author>
    <b:Year>2001</b:Year>
    <b:RefOrder>18</b:RefOrder>
  </b:Source>
  <b:Source>
    <b:Tag>Pop01</b:Tag>
    <b:SourceType>JournalArticle</b:SourceType>
    <b:Guid>{9CF29F04-FC8D-4885-BAA8-74225275B6F8}</b:Guid>
    <b:Author>
      <b:Author>
        <b:NameList>
          <b:Person>
            <b:Last>Popham</b:Last>
          </b:Person>
        </b:NameList>
      </b:Author>
    </b:Author>
    <b:Title>The truth about testing: An educator's call to action. ASCD.</b:Title>
    <b:Year>2001</b:Year>
    <b:RefOrder>19</b:RefOrder>
  </b:Source>
  <b:Source>
    <b:Tag>Eti99</b:Tag>
    <b:SourceType>Book</b:SourceType>
    <b:Guid>{E5936A5A-04BE-4F7C-BE98-EFC21478CB18}</b:Guid>
    <b:Author>
      <b:Author>
        <b:NameList>
          <b:Person>
            <b:Last>Wenger</b:Last>
            <b:First>Etienne</b:First>
          </b:Person>
        </b:NameList>
      </b:Author>
    </b:Author>
    <b:Title>Communities of practice  </b:Title>
    <b:Year>1999</b:Year>
    <b:RefOrder>20</b:RefOrder>
  </b:Source>
  <b:Source>
    <b:Tag>Tul19</b:Tag>
    <b:SourceType>JournalArticle</b:SourceType>
    <b:Guid>{D4F275E0-203F-41B2-846D-0563DA3BB98D}</b:Guid>
    <b:Title>Four Shades of Feedback: The Effects of Feedback in Practice Teaching on Self-Reflection and Self-Regulation</b:Title>
    <b:Year>2019</b:Year>
    <b:Author>
      <b:Author>
        <b:NameList>
          <b:Person>
            <b:Last>Tulgar</b:Last>
            <b:First>Ayşegül</b:First>
            <b:Middle>Takkaç</b:Middle>
          </b:Person>
        </b:NameList>
      </b:Author>
    </b:Author>
    <b:RefOrder>42</b:RefOrder>
  </b:Source>
  <b:Source>
    <b:Tag>The</b:Tag>
    <b:SourceType>JournalArticle</b:SourceType>
    <b:Guid>{E6F1C1E6-46B2-421E-9AAE-CAEEC12C1D52}</b:Guid>
    <b:Title>The Criteria of Constructive Feedback: The Feedback that counts</b:Title>
    <b:Author>
      <b:Author>
        <b:Corporate>Omer, A., &amp; Abdularhim, M</b:Corporate>
      </b:Author>
    </b:Author>
    <b:Year>2017</b:Year>
    <b:RefOrder>21</b:RefOrder>
  </b:Source>
  <b:Source>
    <b:Tag>Pea</b:Tag>
    <b:SourceType>Book</b:SourceType>
    <b:Guid>{06031CCC-2F80-4231-B71B-A18A20D89441}</b:Guid>
    <b:Author>
      <b:Author>
        <b:NameList>
          <b:Person>
            <b:Last>Pearce</b:Last>
            <b:First>De</b:First>
            <b:Middle>Ruth</b:Middle>
          </b:Person>
        </b:NameList>
      </b:Author>
    </b:Author>
    <b:Title>Profiles and Portfolios of Evidence</b:Title>
    <b:Year>2003</b:Year>
    <b:RefOrder>22</b:RefOrder>
  </b:Source>
  <b:Source>
    <b:Tag>DeR03</b:Tag>
    <b:SourceType>Book</b:SourceType>
    <b:Guid>{217813DC-3461-461E-8590-9B1B4E71A12F}</b:Guid>
    <b:Author>
      <b:Author>
        <b:NameList>
          <b:Person>
            <b:Last>Pearce</b:Last>
            <b:First>De</b:First>
            <b:Middle>Ruth</b:Middle>
          </b:Person>
        </b:NameList>
      </b:Author>
    </b:Author>
    <b:Title>Profiles and Portfolios of Evidence</b:Title>
    <b:Year>2003</b:Year>
    <b:RefOrder>23</b:RefOrder>
  </b:Source>
  <b:Source>
    <b:Tag>DeR</b:Tag>
    <b:SourceType>Book</b:SourceType>
    <b:Guid>{4C07C1B5-C831-4F64-9402-B811F760E96D}</b:Guid>
    <b:Author>
      <b:Author>
        <b:NameList>
          <b:Person>
            <b:Last>Kaufman et al.</b:Last>
          </b:Person>
        </b:NameList>
      </b:Author>
    </b:Author>
    <b:Title>Needs Assessment: Concept and Application</b:Title>
    <b:Year>1979</b:Year>
    <b:RefOrder>24</b:RefOrder>
  </b:Source>
  <b:Source>
    <b:Tag>Ken05</b:Tag>
    <b:SourceType>JournalArticle</b:SourceType>
    <b:Guid>{F2748198-796C-4147-B444-A8E7D6630756}</b:Guid>
    <b:Title>Models of continuing professional development: A framework for analysis. Journal of in-service education</b:Title>
    <b:Year>2005</b:Year>
    <b:Author>
      <b:Author>
        <b:NameList>
          <b:Person>
            <b:Last>Kennedy</b:Last>
            <b:First>A.</b:First>
          </b:Person>
        </b:NameList>
      </b:Author>
    </b:Author>
    <b:Pages>31(2), 235-250.</b:Pages>
    <b:RefOrder>25</b:RefOrder>
  </b:Source>
  <b:Source>
    <b:Tag>AIL05</b:Tag>
    <b:SourceType>JournalArticle</b:SourceType>
    <b:Guid>{4CD47705-4FB7-4563-B702-16E46858C8D9}</b:Guid>
    <b:Author>
      <b:Author>
        <b:NameList>
          <b:Person>
            <b:Last>Kennedy</b:Last>
          </b:Person>
        </b:NameList>
      </b:Author>
    </b:Author>
    <b:Title>Models of Continuing Professional Development:a framework for analysis</b:Title>
    <b:JournalName>Journal of In-service Education</b:JournalName>
    <b:Year>2005</b:Year>
    <b:RefOrder>26</b:RefOrder>
  </b:Source>
  <b:Source>
    <b:Tag>Tri87</b:Tag>
    <b:SourceType>Book</b:SourceType>
    <b:Guid>{F07934B5-96FC-422F-B134-C3AF1951DB49}</b:Guid>
    <b:Title>Action research and professional development. Better teachers for better schools</b:Title>
    <b:Year>1987</b:Year>
    <b:Author>
      <b:Author>
        <b:NameList>
          <b:Person>
            <b:Last>Tripp</b:Last>
            <b:First>D.</b:First>
          </b:Person>
        </b:NameList>
      </b:Author>
    </b:Author>
    <b:RefOrder>27</b:RefOrder>
  </b:Source>
  <b:Source>
    <b:Tag>Phi13</b:Tag>
    <b:SourceType>JournalArticle</b:SourceType>
    <b:Guid>{AAF13E98-05B1-4704-B49D-5CBEA976F0B1}</b:Guid>
    <b:Title>The conTribuTion of research To Teachers’ professional Learning and Development</b:Title>
    <b:Year>2013</b:Year>
    <b:Author>
      <b:Author>
        <b:NameList>
          <b:Person>
            <b:Last>Cordingley</b:Last>
            <b:First>Philippa</b:First>
          </b:Person>
        </b:NameList>
      </b:Author>
    </b:Author>
    <b:RefOrder>29</b:RefOrder>
  </b:Source>
  <b:Source>
    <b:Tag>Tho00</b:Tag>
    <b:SourceType>Book</b:SourceType>
    <b:Guid>{A77D2E55-10F5-4A09-B110-3402CAE2269B}</b:Guid>
    <b:Title>Evaluating Professional Development, Volume 1</b:Title>
    <b:Year>2000</b:Year>
    <b:Author>
      <b:Author>
        <b:NameList>
          <b:Person>
            <b:Last>Guskey</b:Last>
            <b:First>Thomas</b:First>
            <b:Middle>R.</b:Middle>
          </b:Person>
        </b:NameList>
      </b:Author>
    </b:Author>
    <b:RefOrder>30</b:RefOrder>
  </b:Source>
  <b:Source>
    <b:Tag>Placeholder3</b:Tag>
    <b:SourceType>Book</b:SourceType>
    <b:Guid>{B81E7CD6-9B4B-4493-B72D-C1D6AA18B94B}</b:Guid>
    <b:Author>
      <b:Author>
        <b:Corporate>Darling-Hammond &amp; Bransford</b:Corporate>
      </b:Author>
    </b:Author>
    <b:Title>Preparing Teachers for a Changing World: What Teachers Should Learn and Be Able to Do</b:Title>
    <b:Year>2007</b:Year>
    <b:RefOrder>31</b:RefOrder>
  </b:Source>
  <b:Source>
    <b:Tag>Dav10</b:Tag>
    <b:SourceType>JournalArticle</b:SourceType>
    <b:Guid>{68928359-4F39-461F-9447-5B30D7750D79}</b:Guid>
    <b:Title>An Empirical Validation of Guskey's Professional Development Evaluation Model Using Six Years of Student and Teacher Level</b:Title>
    <b:Year>2010</b:Year>
    <b:Author>
      <b:Author>
        <b:NameList>
          <b:Person>
            <b:Last>Newman</b:Last>
            <b:First>David</b:First>
            <b:Middle>O.</b:Middle>
          </b:Person>
        </b:NameList>
      </b:Author>
    </b:Author>
    <b:RefOrder>32</b:RefOrder>
  </b:Source>
  <b:Source>
    <b:Tag>Hay98</b:Tag>
    <b:SourceType>JournalArticle</b:SourceType>
    <b:Guid>{5F6DCFEC-4B6B-4898-BE3D-DA3940797C28}</b:Guid>
    <b:Author>
      <b:Author>
        <b:Corporate>Hayashi., et al </b:Corporate>
      </b:Author>
    </b:Author>
    <b:Title>Group Learning Environment Linking Synchronous and Asynchronous Learning.</b:Title>
    <b:Year>1998</b:Year>
    <b:RefOrder>33</b:RefOrder>
  </b:Source>
  <b:Source>
    <b:Tag>McC02</b:Tag>
    <b:SourceType>JournalArticle</b:SourceType>
    <b:Guid>{755E1B2E-E233-4C65-8E65-A81AA064EFB9}</b:Guid>
    <b:Author>
      <b:Author>
        <b:NameList>
          <b:Person>
            <b:Last>McConnell</b:Last>
            <b:First>D.</b:First>
          </b:Person>
        </b:NameList>
      </b:Author>
    </b:Author>
    <b:Title>The experience of collaborative assessment in e-learning. Studies in continuing education,.</b:Title>
    <b:Year>2002</b:Year>
    <b:Pages> 24(1), 73-92</b:Pages>
    <b:RefOrder>34</b:RefOrder>
  </b:Source>
  <b:Source>
    <b:Tag>Che09</b:Tag>
    <b:SourceType>JournalArticle</b:SourceType>
    <b:Guid>{E6EF3E41-395B-4295-9419-EAB140CF46FE}</b:Guid>
    <b:Author>
      <b:Author>
        <b:Corporate>Chen., et al</b:Corporate>
      </b:Author>
    </b:Author>
    <b:Title>The use of online synchronous discussion for web-based professional development for teachers.</b:Title>
    <b:Year>2009</b:Year>
    <b:RefOrder>35</b:RefOrder>
  </b:Source>
  <b:Source>
    <b:Tag>McC06</b:Tag>
    <b:SourceType>Book</b:SourceType>
    <b:Guid>{326DD85D-C116-45DB-8DA9-355DABCAEDF0}</b:Guid>
    <b:Title> EBOOK: E-learning groups and communities. McGraw-Hill Education (UK).</b:Title>
    <b:Year>2006</b:Year>
    <b:Author>
      <b:Author>
        <b:NameList>
          <b:Person>
            <b:Last>McConnell</b:Last>
            <b:First>D.</b:First>
          </b:Person>
        </b:NameList>
      </b:Author>
    </b:Author>
    <b:RefOrder>36</b:RefOrder>
  </b:Source>
  <b:Source>
    <b:Tag>Chr03</b:Tag>
    <b:SourceType>Book</b:SourceType>
    <b:Guid>{E8D5A8BE-F2CA-491F-9C46-67B595743687}</b:Guid>
    <b:Author>
      <b:Author>
        <b:NameList>
          <b:Person>
            <b:Last>Borowski</b:Last>
            <b:First>Christine</b:First>
          </b:Person>
        </b:NameList>
      </b:Author>
    </b:Author>
    <b:Title>A HOLISTIC APPROACH TO TEACHER EDUCATION</b:Title>
    <b:Year>2003</b:Year>
    <b:RefOrder>37</b:RefOrder>
  </b:Source>
  <b:Source>
    <b:Tag>Chr031</b:Tag>
    <b:SourceType>Book</b:SourceType>
    <b:Guid>{D186B165-A44C-4CDB-AF3F-219DC8A0F90A}</b:Guid>
    <b:Author>
      <b:Author>
        <b:NameList>
          <b:Person>
            <b:Last>Borowski</b:Last>
            <b:First>Christine</b:First>
          </b:Person>
        </b:NameList>
      </b:Author>
    </b:Author>
    <b:Title>A HOLISTIC APPROACH TO TEACHER EDUCATION</b:Title>
    <b:Year>2003</b:Year>
    <b:RefOrder>38</b:RefOrder>
  </b:Source>
  <b:Source>
    <b:Tag>Sch99</b:Tag>
    <b:SourceType>Book</b:SourceType>
    <b:Guid>{55875D91-B12B-4C16-B994-EB6DEB2E44B0}</b:Guid>
    <b:Author>
      <b:Author>
        <b:NameList>
          <b:Person>
            <b:Last>Schmoker</b:Last>
            <b:First>M.</b:First>
            <b:Middle>J., &amp; Schmoker, M</b:Middle>
          </b:Person>
        </b:NameList>
      </b:Author>
    </b:Author>
    <b:Title>Results: The key to continuous school improvement. ASCD.</b:Title>
    <b:Year>1999</b:Year>
    <b:RefOrder>39</b:RefOrder>
  </b:Source>
  <b:Source>
    <b:Tag>Kot04</b:Tag>
    <b:SourceType>Book</b:SourceType>
    <b:Guid>{C09E8A3C-785B-45C7-BE3E-5C689767FA38}</b:Guid>
    <b:Author>
      <b:Author>
        <b:NameList>
          <b:Person>
            <b:Last>Kothari</b:Last>
          </b:Person>
        </b:NameList>
      </b:Author>
    </b:Author>
    <b:Title>PERSPECTIVES ON CONDUCTING AND REPORTING RESEARCH IN THE HUMANITIES</b:Title>
    <b:Year>2004</b:Year>
    <b:RefOrder>40</b:RefOrder>
  </b:Source>
  <b:Source>
    <b:Tag>CRK85</b:Tag>
    <b:SourceType>Book</b:SourceType>
    <b:Guid>{350B084A-BD26-4124-A8F2-3BE2A1B88C24}</b:Guid>
    <b:Author>
      <b:Author>
        <b:NameList>
          <b:Person>
            <b:Last>C.R.Kothari</b:Last>
          </b:Person>
        </b:NameList>
      </b:Author>
    </b:Author>
    <b:Title>Research Methodology Methods and Techniques Second Revised Edition</b:Title>
    <b:Year>2004</b:Year>
    <b:RefOrder>41</b:RefOrder>
  </b:Source>
  <b:Source xmlns:b="http://schemas.openxmlformats.org/officeDocument/2006/bibliography">
    <b:Tag>Pop99</b:Tag>
    <b:SourceType>JournalArticle</b:SourceType>
    <b:Guid>{6E0CB24B-792D-47E1-90D5-CC16F0DC0923}</b:Guid>
    <b:Author>
      <b:Author>
        <b:NameList>
          <b:Person>
            <b:Last>Popham</b:Last>
          </b:Person>
        </b:NameList>
      </b:Author>
    </b:Author>
    <b:Title>Why standardized tests don't measure educational quality. Educational leadership,</b:Title>
    <b:Year>1999</b:Year>
    <b:Pages>56, 8-16.</b:Pages>
    <b:RefOrder>10</b:RefOrder>
  </b:Source>
  <b:Source>
    <b:Tag>Lin09</b:Tag>
    <b:SourceType>Book</b:SourceType>
    <b:Guid>{8DB848A9-4E21-40A3-A3EF-1D2A206B0DC4}</b:Guid>
    <b:Author>
      <b:Author>
        <b:Corporate>Lindberg et al.</b:Corporate>
      </b:Author>
    </b:Author>
    <b:Title>Online Learning Communities and Teacher Professional Development: Methods ...</b:Title>
    <b:Year>2009</b:Year>
    <b:RefOrder>28</b:RefOrder>
  </b:Source>
</b:Sources>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73212C53-F593-404F-9C2C-EBA5BF2335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121</Pages>
  <Words>31225</Words>
  <Characters>171742</Characters>
  <Application>Microsoft Office Word</Application>
  <DocSecurity>0</DocSecurity>
  <Lines>1431</Lines>
  <Paragraphs>405</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
      <vt:lpstr/>
    </vt:vector>
  </TitlesOfParts>
  <Company/>
  <LinksUpToDate>false</LinksUpToDate>
  <CharactersWithSpaces>202562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PEDAGOGIE</dc:creator>
  <cp:lastModifiedBy>hamza</cp:lastModifiedBy>
  <cp:revision>6</cp:revision>
  <cp:lastPrinted>2025-06-25T23:00:00Z</cp:lastPrinted>
  <dcterms:created xsi:type="dcterms:W3CDTF">2025-06-25T22:50:00Z</dcterms:created>
  <dcterms:modified xsi:type="dcterms:W3CDTF">2025-06-29T09:22:00Z</dcterms:modified>
</cp:coreProperties>
</file>