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D6" w:rsidRPr="004F05D6" w:rsidRDefault="004F05D6" w:rsidP="00721327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</w:t>
      </w:r>
      <w:r w:rsidR="006D494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الخا</w:t>
      </w:r>
      <w:r w:rsidRPr="004F05D6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تمة  </w:t>
      </w:r>
    </w:p>
    <w:p w:rsidR="00400987" w:rsidRPr="007966D1" w:rsidRDefault="004F05D6" w:rsidP="00721327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</w:t>
      </w:r>
      <w:r w:rsidR="00BE7660" w:rsidRPr="007966D1">
        <w:rPr>
          <w:rFonts w:ascii="Traditional Arabic" w:hAnsi="Traditional Arabic" w:cs="Traditional Arabic"/>
          <w:sz w:val="32"/>
          <w:szCs w:val="32"/>
          <w:rtl/>
        </w:rPr>
        <w:t>من خلال دراستنا لهذا الموضوع والمتمثل في</w:t>
      </w:r>
      <w:r w:rsidR="004137B2">
        <w:rPr>
          <w:rFonts w:ascii="Traditional Arabic" w:hAnsi="Traditional Arabic" w:cs="Traditional Arabic" w:hint="cs"/>
          <w:sz w:val="32"/>
          <w:szCs w:val="32"/>
          <w:rtl/>
        </w:rPr>
        <w:t xml:space="preserve"> مؤشرات قياس الأداء المالي و أثره على أداء المؤسسة الاقتصادية</w:t>
      </w:r>
      <w:r w:rsidR="00BE7660" w:rsidRPr="007966D1">
        <w:rPr>
          <w:rFonts w:ascii="Traditional Arabic" w:hAnsi="Traditional Arabic" w:cs="Traditional Arabic"/>
          <w:sz w:val="32"/>
          <w:szCs w:val="32"/>
          <w:rtl/>
        </w:rPr>
        <w:t xml:space="preserve"> يمكن القول بأن مفهوم الأداء الجوهري يكمن في قدرة المؤسسة على تحقيق النتائج بأدنى التكاليف</w:t>
      </w:r>
      <w:r w:rsidR="007966D1">
        <w:rPr>
          <w:rFonts w:ascii="Traditional Arabic" w:hAnsi="Traditional Arabic" w:cs="Traditional Arabic"/>
          <w:sz w:val="32"/>
          <w:szCs w:val="32"/>
          <w:rtl/>
        </w:rPr>
        <w:t>،</w:t>
      </w:r>
      <w:r w:rsidR="00BE7660" w:rsidRPr="007966D1">
        <w:rPr>
          <w:rFonts w:ascii="Traditional Arabic" w:hAnsi="Traditional Arabic" w:cs="Traditional Arabic"/>
          <w:sz w:val="32"/>
          <w:szCs w:val="32"/>
          <w:rtl/>
        </w:rPr>
        <w:t xml:space="preserve"> وتتحدد أنواعه بتحديد معيار التقسيم</w:t>
      </w:r>
      <w:r w:rsidR="007966D1">
        <w:rPr>
          <w:rFonts w:ascii="Traditional Arabic" w:hAnsi="Traditional Arabic" w:cs="Traditional Arabic"/>
          <w:sz w:val="32"/>
          <w:szCs w:val="32"/>
          <w:rtl/>
        </w:rPr>
        <w:t>،</w:t>
      </w:r>
      <w:r w:rsidR="00BE7660" w:rsidRPr="007966D1">
        <w:rPr>
          <w:rFonts w:ascii="Traditional Arabic" w:hAnsi="Traditional Arabic" w:cs="Traditional Arabic"/>
          <w:sz w:val="32"/>
          <w:szCs w:val="32"/>
          <w:rtl/>
        </w:rPr>
        <w:t xml:space="preserve"> حيث يمكن إجمال هذه المعايير في المجموعة التالية: معيار المصدر</w:t>
      </w:r>
      <w:r w:rsidR="007966D1">
        <w:rPr>
          <w:rFonts w:ascii="Traditional Arabic" w:hAnsi="Traditional Arabic" w:cs="Traditional Arabic"/>
          <w:sz w:val="32"/>
          <w:szCs w:val="32"/>
          <w:rtl/>
        </w:rPr>
        <w:t>،</w:t>
      </w:r>
      <w:r w:rsidR="00BE7660" w:rsidRPr="007966D1">
        <w:rPr>
          <w:rFonts w:ascii="Traditional Arabic" w:hAnsi="Traditional Arabic" w:cs="Traditional Arabic"/>
          <w:sz w:val="32"/>
          <w:szCs w:val="32"/>
          <w:rtl/>
        </w:rPr>
        <w:t xml:space="preserve"> معيار الشمولية</w:t>
      </w:r>
      <w:r w:rsidR="007966D1">
        <w:rPr>
          <w:rFonts w:ascii="Traditional Arabic" w:hAnsi="Traditional Arabic" w:cs="Traditional Arabic"/>
          <w:sz w:val="32"/>
          <w:szCs w:val="32"/>
          <w:rtl/>
        </w:rPr>
        <w:t>،</w:t>
      </w:r>
      <w:r w:rsidR="00BE7660" w:rsidRPr="007966D1">
        <w:rPr>
          <w:rFonts w:ascii="Traditional Arabic" w:hAnsi="Traditional Arabic" w:cs="Traditional Arabic"/>
          <w:sz w:val="32"/>
          <w:szCs w:val="32"/>
          <w:rtl/>
        </w:rPr>
        <w:t xml:space="preserve"> المعيار الوظيفي</w:t>
      </w:r>
      <w:r w:rsidR="007966D1">
        <w:rPr>
          <w:rFonts w:ascii="Traditional Arabic" w:hAnsi="Traditional Arabic" w:cs="Traditional Arabic"/>
          <w:sz w:val="32"/>
          <w:szCs w:val="32"/>
          <w:rtl/>
        </w:rPr>
        <w:t>،</w:t>
      </w:r>
      <w:r w:rsidR="00BE7660" w:rsidRPr="007966D1">
        <w:rPr>
          <w:rFonts w:ascii="Traditional Arabic" w:hAnsi="Traditional Arabic" w:cs="Traditional Arabic"/>
          <w:sz w:val="32"/>
          <w:szCs w:val="32"/>
          <w:rtl/>
        </w:rPr>
        <w:t xml:space="preserve"> معيار الطبيعة.</w:t>
      </w:r>
    </w:p>
    <w:p w:rsidR="00BE7660" w:rsidRPr="007966D1" w:rsidRDefault="004F05D6" w:rsidP="00721327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</w:t>
      </w:r>
      <w:r w:rsidR="00BE7660" w:rsidRPr="007966D1">
        <w:rPr>
          <w:rFonts w:ascii="Traditional Arabic" w:hAnsi="Traditional Arabic" w:cs="Traditional Arabic"/>
          <w:sz w:val="32"/>
          <w:szCs w:val="32"/>
          <w:rtl/>
        </w:rPr>
        <w:t>تتمثل عملية تقييم أداء المؤسسة الاقتصادية في تقييم أنشطتها في ضوء ما توصلت إليه من نتائج في نهاية فترة من الزمن</w:t>
      </w:r>
      <w:r w:rsidR="007966D1">
        <w:rPr>
          <w:rFonts w:ascii="Traditional Arabic" w:hAnsi="Traditional Arabic" w:cs="Traditional Arabic"/>
          <w:sz w:val="32"/>
          <w:szCs w:val="32"/>
          <w:rtl/>
        </w:rPr>
        <w:t>،</w:t>
      </w:r>
      <w:r w:rsidR="00BE7660" w:rsidRPr="007966D1">
        <w:rPr>
          <w:rFonts w:ascii="Traditional Arabic" w:hAnsi="Traditional Arabic" w:cs="Traditional Arabic"/>
          <w:sz w:val="32"/>
          <w:szCs w:val="32"/>
          <w:rtl/>
        </w:rPr>
        <w:t xml:space="preserve"> وتهدف هذه العملية إلى التحقق من بلوغ الأهداف المخططة.</w:t>
      </w:r>
    </w:p>
    <w:p w:rsidR="00BE7660" w:rsidRPr="007966D1" w:rsidRDefault="004F05D6" w:rsidP="00721327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</w:t>
      </w:r>
      <w:r w:rsidR="00BE7660" w:rsidRPr="007966D1">
        <w:rPr>
          <w:rFonts w:ascii="Traditional Arabic" w:hAnsi="Traditional Arabic" w:cs="Traditional Arabic"/>
          <w:sz w:val="32"/>
          <w:szCs w:val="32"/>
          <w:rtl/>
        </w:rPr>
        <w:t>كما لا يمكن أن تقوم قائمة للتقييم الجيد للأدا</w:t>
      </w:r>
      <w:r w:rsidR="00F044A5" w:rsidRPr="007966D1">
        <w:rPr>
          <w:rFonts w:ascii="Traditional Arabic" w:hAnsi="Traditional Arabic" w:cs="Traditional Arabic"/>
          <w:sz w:val="32"/>
          <w:szCs w:val="32"/>
          <w:rtl/>
        </w:rPr>
        <w:t xml:space="preserve">ء إذا لم يحسن المسيرين إختيار </w:t>
      </w:r>
      <w:r w:rsidR="004137B2" w:rsidRPr="007966D1">
        <w:rPr>
          <w:rFonts w:ascii="Traditional Arabic" w:hAnsi="Traditional Arabic" w:cs="Traditional Arabic" w:hint="cs"/>
          <w:sz w:val="32"/>
          <w:szCs w:val="32"/>
          <w:rtl/>
        </w:rPr>
        <w:t>وانتقاء</w:t>
      </w:r>
      <w:r w:rsidR="00BE7660" w:rsidRPr="007966D1">
        <w:rPr>
          <w:rFonts w:ascii="Traditional Arabic" w:hAnsi="Traditional Arabic" w:cs="Traditional Arabic"/>
          <w:sz w:val="32"/>
          <w:szCs w:val="32"/>
          <w:rtl/>
        </w:rPr>
        <w:t xml:space="preserve"> المعايير و المؤشرات التي تعكس أداء المؤسسة</w:t>
      </w:r>
      <w:r w:rsidR="007966D1">
        <w:rPr>
          <w:rFonts w:ascii="Traditional Arabic" w:hAnsi="Traditional Arabic" w:cs="Traditional Arabic"/>
          <w:sz w:val="32"/>
          <w:szCs w:val="32"/>
          <w:rtl/>
        </w:rPr>
        <w:t>،</w:t>
      </w:r>
      <w:r w:rsidR="00DF4083" w:rsidRPr="007966D1">
        <w:rPr>
          <w:rFonts w:ascii="Traditional Arabic" w:hAnsi="Traditional Arabic" w:cs="Traditional Arabic"/>
          <w:sz w:val="32"/>
          <w:szCs w:val="32"/>
          <w:rtl/>
        </w:rPr>
        <w:t xml:space="preserve"> ومن بين جملة المؤشرات</w:t>
      </w:r>
      <w:r w:rsidR="00B90E3F" w:rsidRPr="007966D1">
        <w:rPr>
          <w:rFonts w:ascii="Traditional Arabic" w:hAnsi="Traditional Arabic" w:cs="Traditional Arabic"/>
          <w:sz w:val="32"/>
          <w:szCs w:val="32"/>
          <w:rtl/>
        </w:rPr>
        <w:t xml:space="preserve"> نجد:</w:t>
      </w:r>
    </w:p>
    <w:p w:rsidR="00B90E3F" w:rsidRPr="007966D1" w:rsidRDefault="00B90E3F" w:rsidP="00721327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966D1">
        <w:rPr>
          <w:rFonts w:ascii="Traditional Arabic" w:hAnsi="Traditional Arabic" w:cs="Traditional Arabic"/>
          <w:sz w:val="32"/>
          <w:szCs w:val="32"/>
          <w:rtl/>
        </w:rPr>
        <w:t>معيار التوازن المالي</w:t>
      </w:r>
      <w:r w:rsidR="007966D1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7966D1">
        <w:rPr>
          <w:rFonts w:ascii="Traditional Arabic" w:hAnsi="Traditional Arabic" w:cs="Traditional Arabic"/>
          <w:sz w:val="32"/>
          <w:szCs w:val="32"/>
          <w:rtl/>
        </w:rPr>
        <w:t xml:space="preserve"> معيار السيولة واليسر المالي</w:t>
      </w:r>
      <w:r w:rsidR="007966D1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7966D1">
        <w:rPr>
          <w:rFonts w:ascii="Traditional Arabic" w:hAnsi="Traditional Arabic" w:cs="Traditional Arabic"/>
          <w:sz w:val="32"/>
          <w:szCs w:val="32"/>
          <w:rtl/>
        </w:rPr>
        <w:t xml:space="preserve"> معيار </w:t>
      </w:r>
      <w:r w:rsidR="004137B2" w:rsidRPr="007966D1">
        <w:rPr>
          <w:rFonts w:ascii="Traditional Arabic" w:hAnsi="Traditional Arabic" w:cs="Traditional Arabic" w:hint="cs"/>
          <w:sz w:val="32"/>
          <w:szCs w:val="32"/>
          <w:rtl/>
        </w:rPr>
        <w:t>المر</w:t>
      </w:r>
      <w:r w:rsidR="004137B2">
        <w:rPr>
          <w:rFonts w:ascii="Traditional Arabic" w:hAnsi="Traditional Arabic" w:cs="Traditional Arabic" w:hint="cs"/>
          <w:sz w:val="32"/>
          <w:szCs w:val="32"/>
          <w:rtl/>
        </w:rPr>
        <w:t>د</w:t>
      </w:r>
      <w:r w:rsidR="004137B2" w:rsidRPr="007966D1">
        <w:rPr>
          <w:rFonts w:ascii="Traditional Arabic" w:hAnsi="Traditional Arabic" w:cs="Traditional Arabic" w:hint="cs"/>
          <w:sz w:val="32"/>
          <w:szCs w:val="32"/>
          <w:rtl/>
        </w:rPr>
        <w:t>ودية</w:t>
      </w:r>
      <w:r w:rsidRPr="007966D1">
        <w:rPr>
          <w:rFonts w:ascii="Traditional Arabic" w:hAnsi="Traditional Arabic" w:cs="Traditional Arabic"/>
          <w:sz w:val="32"/>
          <w:szCs w:val="32"/>
          <w:rtl/>
        </w:rPr>
        <w:t xml:space="preserve"> و معيار إنشاء القيمة.</w:t>
      </w:r>
    </w:p>
    <w:p w:rsidR="00F044A5" w:rsidRPr="007966D1" w:rsidRDefault="00F044A5" w:rsidP="00721327">
      <w:p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966D1">
        <w:rPr>
          <w:rFonts w:ascii="Traditional Arabic" w:hAnsi="Traditional Arabic" w:cs="Traditional Arabic"/>
          <w:sz w:val="32"/>
          <w:szCs w:val="32"/>
          <w:rtl/>
        </w:rPr>
        <w:t>و من خلال الدراسة توصلنا إلى الإجابة على الأسئلة المطروحة إضافة إلى الخروج بالنتائج التالية:</w:t>
      </w:r>
    </w:p>
    <w:p w:rsidR="004C5314" w:rsidRPr="007966D1" w:rsidRDefault="004C5314" w:rsidP="00721327">
      <w:pPr>
        <w:pStyle w:val="Paragraphedeliste"/>
        <w:numPr>
          <w:ilvl w:val="0"/>
          <w:numId w:val="2"/>
        </w:numPr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966D1">
        <w:rPr>
          <w:rFonts w:ascii="Traditional Arabic" w:hAnsi="Traditional Arabic" w:cs="Traditional Arabic"/>
          <w:b/>
          <w:bCs/>
          <w:sz w:val="32"/>
          <w:szCs w:val="32"/>
          <w:rtl/>
        </w:rPr>
        <w:t>نتائج البحث النظري</w:t>
      </w:r>
    </w:p>
    <w:p w:rsidR="004D0A5D" w:rsidRPr="007966D1" w:rsidRDefault="002F5432" w:rsidP="00721327">
      <w:pPr>
        <w:pStyle w:val="Paragraphedeliste"/>
        <w:numPr>
          <w:ilvl w:val="0"/>
          <w:numId w:val="1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7966D1">
        <w:rPr>
          <w:rFonts w:ascii="Traditional Arabic" w:hAnsi="Traditional Arabic" w:cs="Traditional Arabic"/>
          <w:sz w:val="32"/>
          <w:szCs w:val="32"/>
          <w:rtl/>
        </w:rPr>
        <w:t xml:space="preserve">يتمثل أداء المؤسسة في </w:t>
      </w:r>
      <w:r w:rsidR="003902C6" w:rsidRPr="007966D1">
        <w:rPr>
          <w:rFonts w:ascii="Traditional Arabic" w:hAnsi="Traditional Arabic" w:cs="Traditional Arabic"/>
          <w:sz w:val="32"/>
          <w:szCs w:val="32"/>
          <w:rtl/>
        </w:rPr>
        <w:t>قدرتها على تحقيق الأهداف المخططة</w:t>
      </w:r>
      <w:r w:rsidR="008876F0" w:rsidRPr="007966D1">
        <w:rPr>
          <w:rFonts w:ascii="Traditional Arabic" w:hAnsi="Traditional Arabic" w:cs="Traditional Arabic"/>
          <w:sz w:val="32"/>
          <w:szCs w:val="32"/>
          <w:rtl/>
        </w:rPr>
        <w:t xml:space="preserve"> بأقل التكاليف.</w:t>
      </w:r>
    </w:p>
    <w:p w:rsidR="008876F0" w:rsidRPr="007966D1" w:rsidRDefault="008876F0" w:rsidP="00721327">
      <w:pPr>
        <w:pStyle w:val="Paragraphedeliste"/>
        <w:numPr>
          <w:ilvl w:val="0"/>
          <w:numId w:val="1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7966D1">
        <w:rPr>
          <w:rFonts w:ascii="Traditional Arabic" w:hAnsi="Traditional Arabic" w:cs="Traditional Arabic"/>
          <w:sz w:val="32"/>
          <w:szCs w:val="32"/>
          <w:rtl/>
        </w:rPr>
        <w:t>مؤشرات التوازن المالي والسيولة و المردودية</w:t>
      </w:r>
      <w:r w:rsidR="007966D1">
        <w:rPr>
          <w:rFonts w:ascii="Traditional Arabic" w:hAnsi="Traditional Arabic" w:cs="Traditional Arabic"/>
          <w:sz w:val="32"/>
          <w:szCs w:val="32"/>
          <w:rtl/>
        </w:rPr>
        <w:t>،</w:t>
      </w:r>
      <w:r w:rsidR="004C5314" w:rsidRPr="007966D1">
        <w:rPr>
          <w:rFonts w:ascii="Traditional Arabic" w:hAnsi="Traditional Arabic" w:cs="Traditional Arabic"/>
          <w:sz w:val="32"/>
          <w:szCs w:val="32"/>
          <w:rtl/>
        </w:rPr>
        <w:t xml:space="preserve"> تعتبر من أهم الأدوات المعتمدة لتحليل الوضعية المالية في المؤسسة الاقتصادية.</w:t>
      </w:r>
    </w:p>
    <w:p w:rsidR="004C5314" w:rsidRPr="007966D1" w:rsidRDefault="004C5314" w:rsidP="00721327">
      <w:pPr>
        <w:pStyle w:val="Paragraphedeliste"/>
        <w:numPr>
          <w:ilvl w:val="0"/>
          <w:numId w:val="1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7966D1">
        <w:rPr>
          <w:rFonts w:ascii="Traditional Arabic" w:hAnsi="Traditional Arabic" w:cs="Traditional Arabic"/>
          <w:sz w:val="32"/>
          <w:szCs w:val="32"/>
          <w:rtl/>
        </w:rPr>
        <w:t xml:space="preserve">يتحقق التوازن المالي إذا استطاعت المؤسسة توفير موارد دائمة لتغطيت </w:t>
      </w:r>
      <w:r w:rsidR="004137B2" w:rsidRPr="007966D1">
        <w:rPr>
          <w:rFonts w:ascii="Traditional Arabic" w:hAnsi="Traditional Arabic" w:cs="Traditional Arabic" w:hint="cs"/>
          <w:sz w:val="32"/>
          <w:szCs w:val="32"/>
          <w:rtl/>
        </w:rPr>
        <w:t>الأصول</w:t>
      </w:r>
      <w:r w:rsidRPr="007966D1">
        <w:rPr>
          <w:rFonts w:ascii="Traditional Arabic" w:hAnsi="Traditional Arabic" w:cs="Traditional Arabic"/>
          <w:sz w:val="32"/>
          <w:szCs w:val="32"/>
          <w:rtl/>
        </w:rPr>
        <w:t xml:space="preserve"> الثابتة.</w:t>
      </w:r>
    </w:p>
    <w:p w:rsidR="004C5314" w:rsidRPr="007966D1" w:rsidRDefault="004C5314" w:rsidP="00721327">
      <w:pPr>
        <w:pStyle w:val="Paragraphedeliste"/>
        <w:numPr>
          <w:ilvl w:val="0"/>
          <w:numId w:val="2"/>
        </w:numPr>
        <w:jc w:val="both"/>
        <w:rPr>
          <w:rFonts w:ascii="Traditional Arabic" w:hAnsi="Traditional Arabic" w:cs="Traditional Arabic"/>
          <w:sz w:val="32"/>
          <w:szCs w:val="32"/>
        </w:rPr>
      </w:pPr>
      <w:r w:rsidRPr="007966D1">
        <w:rPr>
          <w:rFonts w:ascii="Traditional Arabic" w:hAnsi="Traditional Arabic" w:cs="Traditional Arabic"/>
          <w:b/>
          <w:bCs/>
          <w:sz w:val="32"/>
          <w:szCs w:val="32"/>
          <w:rtl/>
        </w:rPr>
        <w:t>نتائج البحث التطبيقي</w:t>
      </w:r>
    </w:p>
    <w:p w:rsidR="004C5314" w:rsidRPr="007966D1" w:rsidRDefault="004F05D6" w:rsidP="00721327">
      <w:pPr>
        <w:pStyle w:val="Paragraphedeliste"/>
        <w:numPr>
          <w:ilvl w:val="0"/>
          <w:numId w:val="4"/>
        </w:num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من خلال حساب نسب التمويل تبين أن المؤسسة غير مثقلة بالديون ، وهي وضعية سمح للمؤسسة من سداد إلتزاماتها تجاه الغير دون أية صعوبات ، ويدل هذا كذلك على قدرة المؤسسة على تمويل إستثماراتها من خلال ما تملكه من أموال </w:t>
      </w:r>
    </w:p>
    <w:p w:rsidR="004C5314" w:rsidRPr="007966D1" w:rsidRDefault="004F05D6" w:rsidP="00721327">
      <w:pPr>
        <w:pStyle w:val="Paragraphedeliste"/>
        <w:numPr>
          <w:ilvl w:val="0"/>
          <w:numId w:val="4"/>
        </w:num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بالنسبة للسيولة فالمؤسسة تحتفظ بقدر كاف من السيولة خلال سنة 2012/2014، وهذا ما يسمح لها بممارسة أنشطتها والوفاء بالتزاماتها قصيرة الأجل دون أي صعوبات  </w:t>
      </w:r>
    </w:p>
    <w:p w:rsidR="004C5314" w:rsidRPr="007966D1" w:rsidRDefault="004F05D6" w:rsidP="00207913">
      <w:pPr>
        <w:pStyle w:val="Paragraphedeliste"/>
        <w:numPr>
          <w:ilvl w:val="0"/>
          <w:numId w:val="4"/>
        </w:numPr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lastRenderedPageBreak/>
        <w:t xml:space="preserve">إستطاعت المؤسسة تحقيق التوازن المالي خلال فترة الدراسة ، وهذا ما يعني أن المؤسسة قادرة على تمويل استثماراتها عن طريق مواردها </w:t>
      </w:r>
      <w:r w:rsidR="0020791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الخاصة.</w:t>
      </w:r>
    </w:p>
    <w:p w:rsidR="00AA346A" w:rsidRPr="00AA346A" w:rsidRDefault="00AA346A" w:rsidP="00AA346A">
      <w:pPr>
        <w:spacing w:after="0"/>
        <w:jc w:val="both"/>
        <w:rPr>
          <w:rFonts w:ascii="Traditional Arabic" w:hAnsi="Traditional Arabic" w:cs="Traditional Arabic"/>
          <w:sz w:val="32"/>
          <w:szCs w:val="32"/>
          <w:lang w:val="fr-FR"/>
        </w:rPr>
      </w:pPr>
      <w:r w:rsidRPr="00AA346A">
        <w:rPr>
          <w:rFonts w:ascii="Traditional Arabic" w:hAnsi="Traditional Arabic" w:cs="Traditional Arabic"/>
          <w:b/>
          <w:bCs/>
          <w:sz w:val="32"/>
          <w:szCs w:val="32"/>
          <w:rtl/>
          <w:lang w:val="fr-FR"/>
        </w:rPr>
        <w:t>اقتراحات</w:t>
      </w:r>
      <w:r w:rsidRPr="00AA346A">
        <w:rPr>
          <w:rFonts w:ascii="Traditional Arabic" w:hAnsi="Traditional Arabic" w:cs="Traditional Arabic"/>
          <w:sz w:val="32"/>
          <w:szCs w:val="32"/>
          <w:rtl/>
          <w:lang w:val="fr-FR"/>
        </w:rPr>
        <w:t xml:space="preserve">: </w:t>
      </w:r>
    </w:p>
    <w:p w:rsidR="00AA346A" w:rsidRDefault="00AA346A" w:rsidP="00AA346A">
      <w:pPr>
        <w:pStyle w:val="Paragraphedeliste"/>
        <w:numPr>
          <w:ilvl w:val="0"/>
          <w:numId w:val="6"/>
        </w:numPr>
        <w:spacing w:after="0"/>
        <w:jc w:val="both"/>
        <w:rPr>
          <w:rFonts w:ascii="Traditional Arabic" w:hAnsi="Traditional Arabic" w:cs="Traditional Arabic"/>
          <w:sz w:val="32"/>
          <w:szCs w:val="32"/>
          <w:lang w:val="fr-FR"/>
        </w:rPr>
      </w:pPr>
      <w:r>
        <w:rPr>
          <w:rFonts w:ascii="Traditional Arabic" w:hAnsi="Traditional Arabic" w:cs="Traditional Arabic"/>
          <w:sz w:val="32"/>
          <w:szCs w:val="32"/>
          <w:rtl/>
          <w:lang w:val="fr-FR"/>
        </w:rPr>
        <w:t>تبني أسلوب التكاليف حسب الانشطة.</w:t>
      </w:r>
    </w:p>
    <w:p w:rsidR="00AA346A" w:rsidRDefault="00AA346A" w:rsidP="00AA346A">
      <w:pPr>
        <w:pStyle w:val="Paragraphedeliste"/>
        <w:numPr>
          <w:ilvl w:val="0"/>
          <w:numId w:val="6"/>
        </w:numPr>
        <w:spacing w:after="0"/>
        <w:jc w:val="both"/>
        <w:rPr>
          <w:rFonts w:ascii="Traditional Arabic" w:hAnsi="Traditional Arabic" w:cs="Traditional Arabic"/>
          <w:sz w:val="32"/>
          <w:szCs w:val="32"/>
          <w:lang w:val="fr-FR"/>
        </w:rPr>
      </w:pPr>
      <w:r>
        <w:rPr>
          <w:rFonts w:ascii="Traditional Arabic" w:hAnsi="Traditional Arabic" w:cs="Traditional Arabic"/>
          <w:sz w:val="32"/>
          <w:szCs w:val="32"/>
          <w:rtl/>
          <w:lang w:val="fr-FR"/>
        </w:rPr>
        <w:t>تطبيق المؤشرات الغير المالية في تحليل و تقييم الاداء الاجمالي للمؤسسة.</w:t>
      </w:r>
    </w:p>
    <w:p w:rsidR="00AA346A" w:rsidRDefault="00AA346A" w:rsidP="00AA346A">
      <w:pPr>
        <w:pStyle w:val="Paragraphedeliste"/>
        <w:numPr>
          <w:ilvl w:val="0"/>
          <w:numId w:val="6"/>
        </w:numPr>
        <w:spacing w:after="0"/>
        <w:jc w:val="both"/>
        <w:rPr>
          <w:rFonts w:ascii="Traditional Arabic" w:hAnsi="Traditional Arabic" w:cs="Traditional Arabic"/>
          <w:sz w:val="32"/>
          <w:szCs w:val="32"/>
          <w:lang w:val="fr-FR"/>
        </w:rPr>
      </w:pPr>
      <w:r>
        <w:rPr>
          <w:rFonts w:ascii="Traditional Arabic" w:hAnsi="Traditional Arabic" w:cs="Traditional Arabic"/>
          <w:sz w:val="32"/>
          <w:szCs w:val="32"/>
          <w:rtl/>
          <w:lang w:val="fr-FR"/>
        </w:rPr>
        <w:t>التكوين و الرسكلة المستمرة للعمال و تأهيلهم.</w:t>
      </w:r>
    </w:p>
    <w:p w:rsidR="00F044A5" w:rsidRPr="00AA346A" w:rsidRDefault="00F044A5" w:rsidP="00721327">
      <w:pPr>
        <w:jc w:val="both"/>
        <w:rPr>
          <w:rFonts w:ascii="Traditional Arabic" w:hAnsi="Traditional Arabic" w:cs="Traditional Arabic"/>
          <w:sz w:val="32"/>
          <w:szCs w:val="32"/>
          <w:lang w:val="fr-FR"/>
        </w:rPr>
      </w:pPr>
    </w:p>
    <w:sectPr w:rsidR="00F044A5" w:rsidRPr="00AA346A" w:rsidSect="00721327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pgNumType w:start="107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CCE" w:rsidRDefault="007C6CCE" w:rsidP="001E5A84">
      <w:pPr>
        <w:spacing w:after="0" w:line="240" w:lineRule="auto"/>
      </w:pPr>
      <w:r>
        <w:separator/>
      </w:r>
    </w:p>
  </w:endnote>
  <w:endnote w:type="continuationSeparator" w:id="1">
    <w:p w:rsidR="007C6CCE" w:rsidRDefault="007C6CCE" w:rsidP="001E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Old Antic Decorative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1368800"/>
      <w:docPartObj>
        <w:docPartGallery w:val="Page Numbers (Bottom of Page)"/>
        <w:docPartUnique/>
      </w:docPartObj>
    </w:sdtPr>
    <w:sdtContent>
      <w:p w:rsidR="001E5A84" w:rsidRDefault="00CF7630">
        <w:pPr>
          <w:pStyle w:val="Pieddepage"/>
        </w:pPr>
        <w:r w:rsidRPr="00CF7630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sum height 0 #2"/>
                <v:f eqn="prod @10 30573 4096"/>
                <v:f eqn="prod @11 2 1"/>
                <v:f eqn="sum height 0 @12"/>
                <v:f eqn="sum @11 #2 0"/>
                <v:f eqn="sum @11 height #1"/>
                <v:f eqn="sum height 0 #1"/>
                <v:f eqn="prod @16 1 2"/>
                <v:f eqn="sum @11 @17 0"/>
                <v:f eqn="sum @14 #1 height"/>
                <v:f eqn="sum #0 @5 0"/>
                <v:f eqn="sum width 0 @20"/>
                <v:f eqn="sum width 0 #0"/>
                <v:f eqn="sum @6 0 #0"/>
                <v:f eqn="ellipse @23 width @11"/>
                <v:f eqn="sum @24 height @11"/>
                <v:f eqn="sum @25 @11 @19"/>
                <v:f eqn="sum #2 @11 @19"/>
                <v:f eqn="prod @11 2391 32768"/>
                <v:f eqn="sum @6 0 @20"/>
                <v:f eqn="ellipse @29 width @11"/>
                <v:f eqn="sum #1 @30 @11"/>
                <v:f eqn="sum @25 #1 height"/>
                <v:f eqn="sum height @30 @14"/>
                <v:f eqn="sum @11 @14 0"/>
                <v:f eqn="sum height 0 @34"/>
                <v:f eqn="sum @35 @19 @11"/>
                <v:f eqn="sum @10 @15 @11"/>
                <v:f eqn="sum @35 @15 @11"/>
                <v:f eqn="sum @28 @14 @18"/>
                <v:f eqn="sum height 0 @39"/>
                <v:f eqn="sum @19 0 @18"/>
                <v:f eqn="prod @41 2 3"/>
                <v:f eqn="sum #1 0 @42"/>
                <v:f eqn="sum #2 0 @42"/>
                <v:f eqn="min @44 20925"/>
                <v:f eqn="prod width 3 8"/>
                <v:f eqn="sum @46 0 4"/>
              </v:formulas>
              <v:path o:extrusionok="f" o:connecttype="custom" o:connectlocs="@6,@1;@5,@40;@6,@4;@7,@40" o:connectangles="270,180,90,0" textboxrect="@0,@1,@22,@25"/>
              <v:handles>
                <v:h position="#0,bottomRight" xrange="@5,@47"/>
                <v:h position="center,#1" yrange="@10,@43"/>
                <v:h position="topLeft,#2" yrange="@27,@45"/>
              </v:handles>
              <o:complex v:ext="view"/>
            </v:shapetype>
            <v:shape id="_x0000_s4099" type="#_x0000_t107" style="position:absolute;left:0;text-align:left;margin-left:0;margin-top:0;width:101pt;height:27.05pt;rotation:360;flip:x;z-index:251660288;mso-position-horizontal:center;mso-position-horizontal-relative:margin;mso-position-vertical:center;mso-position-vertical-relative:bottom-margin-area" filled="f" fillcolor="#17365d [2415]" strokecolor="#71a0dc [1631]">
              <v:textbox style="mso-next-textbox:#_x0000_s4099">
                <w:txbxContent>
                  <w:p w:rsidR="00721327" w:rsidRDefault="00CF7630">
                    <w:pPr>
                      <w:jc w:val="center"/>
                      <w:rPr>
                        <w:color w:val="4F81BD" w:themeColor="accent1"/>
                      </w:rPr>
                    </w:pPr>
                    <w:fldSimple w:instr=" PAGE    \* MERGEFORMAT ">
                      <w:r w:rsidR="006D494E" w:rsidRPr="006D494E">
                        <w:rPr>
                          <w:rFonts w:cs="Calibri"/>
                          <w:noProof/>
                          <w:color w:val="4F81BD" w:themeColor="accent1"/>
                          <w:rtl/>
                          <w:lang w:val="ar-SA"/>
                        </w:rPr>
                        <w:t>107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CCE" w:rsidRDefault="007C6CCE" w:rsidP="001E5A84">
      <w:pPr>
        <w:spacing w:after="0" w:line="240" w:lineRule="auto"/>
      </w:pPr>
      <w:r>
        <w:separator/>
      </w:r>
    </w:p>
  </w:footnote>
  <w:footnote w:type="continuationSeparator" w:id="1">
    <w:p w:rsidR="007C6CCE" w:rsidRDefault="007C6CCE" w:rsidP="001E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="Old Antic Decorative"/>
        <w:sz w:val="40"/>
        <w:szCs w:val="40"/>
        <w:rtl/>
      </w:rPr>
      <w:alias w:val="العنوان"/>
      <w:id w:val="77738743"/>
      <w:placeholder>
        <w:docPart w:val="F75D1FDE8D7A4927A2C1423330E707D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F05D6" w:rsidRPr="004F05D6" w:rsidRDefault="006D494E" w:rsidP="004F05D6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="Old Antic Decorative"/>
            <w:sz w:val="40"/>
            <w:szCs w:val="40"/>
          </w:rPr>
        </w:pPr>
        <w:r>
          <w:rPr>
            <w:rFonts w:asciiTheme="majorHAnsi" w:eastAsiaTheme="majorEastAsia" w:hAnsiTheme="majorHAnsi" w:cs="Old Antic Decorative" w:hint="cs"/>
            <w:sz w:val="40"/>
            <w:szCs w:val="40"/>
            <w:rtl/>
          </w:rPr>
          <w:t>ال</w:t>
        </w:r>
        <w:r w:rsidR="004F05D6" w:rsidRPr="004F05D6">
          <w:rPr>
            <w:rFonts w:asciiTheme="majorHAnsi" w:eastAsiaTheme="majorEastAsia" w:hAnsiTheme="majorHAnsi" w:cs="Old Antic Decorative" w:hint="cs"/>
            <w:sz w:val="40"/>
            <w:szCs w:val="40"/>
            <w:rtl/>
          </w:rPr>
          <w:t xml:space="preserve">خاتمة عامة </w:t>
        </w:r>
      </w:p>
    </w:sdtContent>
  </w:sdt>
  <w:p w:rsidR="004F05D6" w:rsidRDefault="004F05D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60AB"/>
    <w:multiLevelType w:val="hybridMultilevel"/>
    <w:tmpl w:val="72C457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471A3"/>
    <w:multiLevelType w:val="hybridMultilevel"/>
    <w:tmpl w:val="91D89A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128CB"/>
    <w:multiLevelType w:val="hybridMultilevel"/>
    <w:tmpl w:val="88968CB6"/>
    <w:lvl w:ilvl="0" w:tplc="5142A3CE">
      <w:start w:val="1"/>
      <w:numFmt w:val="decimal"/>
      <w:lvlText w:val="%1-"/>
      <w:lvlJc w:val="left"/>
      <w:pPr>
        <w:ind w:left="1080" w:hanging="72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9F28C2"/>
    <w:multiLevelType w:val="hybridMultilevel"/>
    <w:tmpl w:val="B838B8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503209"/>
    <w:multiLevelType w:val="hybridMultilevel"/>
    <w:tmpl w:val="7624B38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CA429AE"/>
    <w:multiLevelType w:val="hybridMultilevel"/>
    <w:tmpl w:val="89005CDA"/>
    <w:lvl w:ilvl="0" w:tplc="237EE40E">
      <w:start w:val="250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E7660"/>
    <w:rsid w:val="000209A5"/>
    <w:rsid w:val="001519C9"/>
    <w:rsid w:val="001E5A84"/>
    <w:rsid w:val="00207913"/>
    <w:rsid w:val="00260FAE"/>
    <w:rsid w:val="002F5432"/>
    <w:rsid w:val="003902C6"/>
    <w:rsid w:val="003D280A"/>
    <w:rsid w:val="00400987"/>
    <w:rsid w:val="004137B2"/>
    <w:rsid w:val="004C5314"/>
    <w:rsid w:val="004D0A5D"/>
    <w:rsid w:val="004F05D6"/>
    <w:rsid w:val="0052077E"/>
    <w:rsid w:val="005515CB"/>
    <w:rsid w:val="006D494E"/>
    <w:rsid w:val="00721327"/>
    <w:rsid w:val="007636CD"/>
    <w:rsid w:val="007966D1"/>
    <w:rsid w:val="007C56DE"/>
    <w:rsid w:val="007C6CCE"/>
    <w:rsid w:val="008876F0"/>
    <w:rsid w:val="00A04DDF"/>
    <w:rsid w:val="00AA346A"/>
    <w:rsid w:val="00AB7147"/>
    <w:rsid w:val="00AC58DA"/>
    <w:rsid w:val="00B90E3F"/>
    <w:rsid w:val="00BE7660"/>
    <w:rsid w:val="00C93312"/>
    <w:rsid w:val="00CF7630"/>
    <w:rsid w:val="00D77BD8"/>
    <w:rsid w:val="00DF4083"/>
    <w:rsid w:val="00E80479"/>
    <w:rsid w:val="00F04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98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D0A5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E5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5A84"/>
  </w:style>
  <w:style w:type="paragraph" w:styleId="Pieddepage">
    <w:name w:val="footer"/>
    <w:basedOn w:val="Normal"/>
    <w:link w:val="PieddepageCar"/>
    <w:uiPriority w:val="99"/>
    <w:unhideWhenUsed/>
    <w:rsid w:val="001E5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5A84"/>
  </w:style>
  <w:style w:type="paragraph" w:styleId="Textedebulles">
    <w:name w:val="Balloon Text"/>
    <w:basedOn w:val="Normal"/>
    <w:link w:val="TextedebullesCar"/>
    <w:uiPriority w:val="99"/>
    <w:semiHidden/>
    <w:unhideWhenUsed/>
    <w:rsid w:val="004F0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8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75D1FDE8D7A4927A2C1423330E707D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414C588-D9B4-482F-A315-8A118B953D6F}"/>
      </w:docPartPr>
      <w:docPartBody>
        <w:p w:rsidR="00F42EC2" w:rsidRDefault="000B1D69" w:rsidP="000B1D69">
          <w:pPr>
            <w:pStyle w:val="F75D1FDE8D7A4927A2C1423330E707D1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Old Antic Decorative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B1D69"/>
    <w:rsid w:val="000B1D69"/>
    <w:rsid w:val="002374CB"/>
    <w:rsid w:val="00786DAB"/>
    <w:rsid w:val="009D3956"/>
    <w:rsid w:val="00CF2D83"/>
    <w:rsid w:val="00F42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75D1FDE8D7A4927A2C1423330E707D1">
    <w:name w:val="F75D1FDE8D7A4927A2C1423330E707D1"/>
    <w:rsid w:val="000B1D6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الخاتمة عامة </dc:title>
  <dc:creator>2016</dc:creator>
  <cp:lastModifiedBy>Chakib</cp:lastModifiedBy>
  <cp:revision>11</cp:revision>
  <cp:lastPrinted>2016-09-18T11:47:00Z</cp:lastPrinted>
  <dcterms:created xsi:type="dcterms:W3CDTF">2016-09-15T13:48:00Z</dcterms:created>
  <dcterms:modified xsi:type="dcterms:W3CDTF">2016-11-06T16:16:00Z</dcterms:modified>
</cp:coreProperties>
</file>