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customxml/itemprops1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>
  <w:body>
    <w:p>
      <w:pPr>
        <w:bidi w:val="on"/>
        <w:spacing w:line="276" w:lineRule="auto"/>
        <w:jc w:val="both"/>
        <w:rPr>
          <w:rFonts w:ascii="Simplified Arabic" w:cs="Simplified Arabic" w:hAnsi="Simplified Arabic"/>
          <w:color w:val="000000" w:themeColor="text1"/>
          <w:sz w:val="32"/>
          <w:szCs w:val="32"/>
        </w:rPr>
      </w:pPr>
    </w:p>
    <w:p>
      <w:pPr>
        <w:bidi w:val="on"/>
        <w:spacing w:line="276" w:lineRule="auto"/>
        <w:jc w:val="both"/>
        <w:rPr>
          <w:rFonts w:ascii="Simplified Arabic" w:cs="Simplified Arabic" w:hAnsi="Simplified Arabic"/>
          <w:color w:val="000000" w:themeColor="text1"/>
          <w:sz w:val="32"/>
          <w:szCs w:val="32"/>
        </w:rPr>
      </w:pPr>
    </w:p>
    <w:p>
      <w:pPr>
        <w:bidi w:val="on"/>
        <w:spacing w:line="276" w:lineRule="auto"/>
        <w:jc w:val="both"/>
        <w:rPr>
          <w:rFonts w:ascii="Simplified Arabic" w:cs="Simplified Arabic" w:hAnsi="Simplified Arabic"/>
          <w:color w:val="000000" w:themeColor="text1"/>
          <w:sz w:val="32"/>
          <w:szCs w:val="32"/>
        </w:rPr>
      </w:pPr>
    </w:p>
    <w:p>
      <w:pPr>
        <w:bidi w:val="on"/>
        <w:spacing w:line="276" w:lineRule="auto"/>
        <w:jc w:val="both"/>
        <w:rPr>
          <w:rFonts w:ascii="Simplified Arabic" w:cs="Simplified Arabic" w:hAnsi="Simplified Arabic"/>
          <w:color w:val="000000" w:themeColor="text1"/>
          <w:sz w:val="32"/>
          <w:szCs w:val="32"/>
        </w:rPr>
      </w:pPr>
    </w:p>
    <w:p>
      <w:pPr>
        <w:bidi w:val="on"/>
        <w:spacing w:line="276" w:lineRule="auto"/>
        <w:jc w:val="both"/>
        <w:rPr>
          <w:rFonts w:ascii="Simplified Arabic" w:cs="Simplified Arabic" w:hAnsi="Simplified Arabic"/>
          <w:color w:val="000000" w:themeColor="text1"/>
          <w:sz w:val="32"/>
          <w:szCs w:val="32"/>
        </w:rPr>
      </w:pPr>
      <w:r>
        <w:rPr>
          <w:rFonts w:ascii="Simplified Arabic" w:cs="Simplified Arabic" w:hAnsi="Simplified Arabic"/>
          <w:color w:val="000000" w:themeColor="text1"/>
          <w:sz w:val="32"/>
          <w:szCs w:val="32"/>
          <w:lang w:eastAsia="fr-FR"/>
        </w:rPr>
        <mc:AlternateContent>
          <mc:Choice Requires="wps">
            <w:drawing xmlns:mc="http://schemas.openxmlformats.org/markup-compatibility/2006">
              <wp:anchor allowOverlap="1" behindDoc="0" distT="0" distB="0" distL="114300" distR="114300" layoutInCell="1" locked="0" relativeHeight="251660288" simplePos="0">
                <wp:simplePos x="0" y="0"/>
                <wp:positionH relativeFrom="margin">
                  <wp:posOffset>128905</wp:posOffset>
                </wp:positionH>
                <wp:positionV relativeFrom="paragraph">
                  <wp:posOffset>1629319</wp:posOffset>
                </wp:positionV>
                <wp:extent cx="5401340" cy="2806995"/>
                <wp:effectExtent l="0" t="0" r="0" b="0"/>
                <wp:wrapNone/>
                <wp:docPr id="12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10" name="Rectangle 1"/>
                      <wps:cNvSpPr/>
                      <wps:spPr>
                        <a:xfrm>
                          <a:off x="0" y="0"/>
                          <a:ext cx="5401340" cy="2806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Andalus" w:cs="Andalus" w:hAnsi="Andalus"/>
                                <w:color w:val="000000" w:themeColor="text1"/>
                                <w:sz w:val="120"/>
                                <w:szCs w:val="120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ascii="Andalus" w:cs="Andalus" w:hAnsi="Andalus" w:hint="cs"/>
                                <w:color w:val="000000" w:themeColor="text1"/>
                                <w:sz w:val="120"/>
                                <w:szCs w:val="120"/>
                                <w:rtl/>
                                <w:lang w:bidi="ar-DZ"/>
                              </w:rPr>
                              <w:t>الفهرس</w:t>
                            </w:r>
                          </w:p>
                        </w:txbxContent>
                      </wps:txbx>
                      <wps:bodyPr vertOverflow="overflow" horzOverflow="overflow" vert="horz" wrap="square" lIns="91440" tIns="45720" rIns="91440" bIns="45720" rtlCol="0"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9CE6E092-E516-2CF6-45A07AB7E8E6" coordsize="21600,21600" style="position:absolute;width:425.302pt;height:221.023pt;mso-width-percent:0;mso-width-relative:margin;mso-height-percent:0;mso-height-relative:margin;margin-top:128.293pt;margin-left:10.15pt;mso-wrap-distance-left:9pt;mso-wrap-distance-right:9pt;mso-wrap-distance-top:0pt;mso-wrap-distance-bottom:0pt;mso-position-horizontal-relative:margin;rotation:0.000000;z-index:251660288;" stroked="f" o:spt="1" path="m0,0 l0,21600 r21600,0 l21600,0 x e">
                <w10:wrap side="both"/>
                <o:lock/>
              </v:shape>
            </w:pict>
          </mc:Fallback>
        </mc:AlternateContent>
      </w:r>
    </w:p>
    <w:p>
      <w:pPr>
        <w:bidi w:val="on"/>
        <w:spacing w:line="276" w:lineRule="auto"/>
        <w:jc w:val="both"/>
        <w:rPr>
          <w:rFonts w:ascii="Simplified Arabic" w:cs="Simplified Arabic" w:hAnsi="Simplified Arabic"/>
          <w:color w:val="000000" w:themeColor="text1"/>
          <w:sz w:val="32"/>
          <w:szCs w:val="32"/>
        </w:rPr>
      </w:pPr>
      <w:r>
        <w:rPr>
          <w:rFonts w:ascii="Simplified Arabic" w:cs="Simplified Arabic" w:hAnsi="Simplified Arabic"/>
          <w:color w:val="000000" w:themeColor="text1"/>
          <w:sz w:val="32"/>
          <w:szCs w:val="32"/>
          <w:rtl/>
          <w:lang w:eastAsia="fr-FR"/>
        </w:rPr>
        <w:drawing xmlns:mc="http://schemas.openxmlformats.org/markup-compatibility/2006">
          <wp:anchor allowOverlap="1" behindDoc="0" distT="0" distB="0" distL="114300" distR="114300" layoutInCell="1" locked="0" relativeHeight="251657216" simplePos="0">
            <wp:simplePos x="0" y="0"/>
            <wp:positionH relativeFrom="margin">
              <wp:posOffset>9525</wp:posOffset>
            </wp:positionH>
            <wp:positionV relativeFrom="paragraph">
              <wp:posOffset>199390</wp:posOffset>
            </wp:positionV>
            <wp:extent cx="5751531" cy="5091953"/>
            <wp:effectExtent l="0" t="0" r="0" b="0"/>
            <wp:wrapSquare wrapText="bothSides"/>
            <wp:docPr id="1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grayscl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1531" cy="5091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bidi w:val="on"/>
        <w:spacing w:line="276" w:lineRule="auto"/>
        <w:jc w:val="both"/>
        <w:rPr>
          <w:rFonts w:ascii="Simplified Arabic" w:cs="Simplified Arabic" w:hAnsi="Simplified Arabic"/>
          <w:color w:val="000000" w:themeColor="text1"/>
          <w:sz w:val="32"/>
          <w:szCs w:val="32"/>
        </w:rPr>
      </w:pPr>
    </w:p>
    <w:p>
      <w:pPr>
        <w:bidi w:val="on"/>
        <w:spacing w:line="276" w:lineRule="auto"/>
        <w:jc w:val="both"/>
        <w:rPr>
          <w:rFonts w:ascii="Simplified Arabic" w:cs="Simplified Arabic" w:hAnsi="Simplified Arabic"/>
          <w:color w:val="000000" w:themeColor="text1"/>
          <w:sz w:val="32"/>
          <w:szCs w:val="32"/>
        </w:rPr>
      </w:pPr>
    </w:p>
    <w:p>
      <w:pPr>
        <w:bidi w:val="on"/>
        <w:spacing w:line="276" w:lineRule="auto"/>
        <w:jc w:val="both"/>
        <w:rPr>
          <w:rFonts w:ascii="Simplified Arabic" w:cs="Simplified Arabic" w:hAnsi="Simplified Arabic"/>
          <w:color w:val="000000" w:themeColor="text1"/>
          <w:sz w:val="32"/>
          <w:szCs w:val="32"/>
          <w:rtl/>
        </w:rPr>
      </w:pPr>
    </w:p>
    <w:tbl>
      <w:tblPr>
        <w:tblW w:w="10060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4A0"/>
      </w:tblPr>
      <w:tblGrid>
        <w:gridCol w:w="696"/>
        <w:gridCol w:w="9364"/>
      </w:tblGrid>
      <w:tr>
        <w:trPr>
          <w:trHeight w:val="360"/>
          <w:jc w:val="right"/>
        </w:trPr>
        <w:tc>
          <w:tcPr>
            <w:cnfStyle w:val="10100000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>صفحة</w:t>
            </w:r>
          </w:p>
        </w:tc>
        <w:tc>
          <w:tcPr>
            <w:cnfStyle w:val="100000000000"/>
            <w:tcW w:w="9447" w:type="dxa"/>
            <w:noWrap w:val="on"/>
            <w:shd w:val="clear" w:color="auto" w:fill="auto"/>
            <w:vAlign w:val="bottom"/>
          </w:tcPr>
          <w:p>
            <w:pPr>
              <w:bidi w:val="on"/>
              <w:jc w:val="left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>عنوان</w:t>
            </w:r>
          </w:p>
        </w:tc>
      </w:tr>
      <w:tr>
        <w:trPr>
          <w:trHeight w:val="360"/>
          <w:jc w:val="right"/>
        </w:trPr>
        <w:tc>
          <w:tcPr>
            <w:cnfStyle w:val="00100010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I</w:t>
            </w:r>
          </w:p>
        </w:tc>
        <w:tc>
          <w:tcPr>
            <w:cnfStyle w:val="000000100000"/>
            <w:tcW w:w="9447" w:type="dxa"/>
            <w:noWrap w:val="on"/>
            <w:shd w:val="clear" w:color="auto" w:fill="auto"/>
            <w:vAlign w:val="bottom"/>
          </w:tcPr>
          <w:p>
            <w:pPr>
              <w:bidi w:val="on"/>
              <w:jc w:val="left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 xml:space="preserve">تشكر </w:t>
            </w:r>
          </w:p>
        </w:tc>
      </w:tr>
      <w:tr>
        <w:trPr>
          <w:trHeight w:val="360"/>
          <w:jc w:val="right"/>
        </w:trPr>
        <w:tc>
          <w:tcPr>
            <w:cnfStyle w:val="00100001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II</w:t>
            </w:r>
          </w:p>
        </w:tc>
        <w:tc>
          <w:tcPr>
            <w:cnfStyle w:val="000000010000"/>
            <w:tcW w:w="9447" w:type="dxa"/>
            <w:noWrap w:val="on"/>
            <w:shd w:val="clear" w:color="auto" w:fill="auto"/>
            <w:vAlign w:val="bottom"/>
          </w:tcPr>
          <w:p>
            <w:pPr>
              <w:bidi w:val="on"/>
              <w:jc w:val="left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 xml:space="preserve">اهداء </w:t>
            </w:r>
          </w:p>
        </w:tc>
      </w:tr>
      <w:tr>
        <w:trPr>
          <w:trHeight w:val="360"/>
          <w:jc w:val="right"/>
        </w:trPr>
        <w:tc>
          <w:tcPr>
            <w:cnfStyle w:val="00100010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III</w:t>
            </w:r>
          </w:p>
        </w:tc>
        <w:tc>
          <w:tcPr>
            <w:cnfStyle w:val="000000100000"/>
            <w:tcW w:w="9447" w:type="dxa"/>
            <w:noWrap w:val="on"/>
            <w:shd w:val="clear" w:color="auto" w:fill="auto"/>
            <w:vAlign w:val="bottom"/>
          </w:tcPr>
          <w:p>
            <w:pPr>
              <w:bidi w:val="on"/>
              <w:jc w:val="left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 xml:space="preserve">اهداء </w:t>
            </w:r>
          </w:p>
        </w:tc>
      </w:tr>
      <w:tr>
        <w:trPr>
          <w:trHeight w:val="360"/>
          <w:jc w:val="right"/>
        </w:trPr>
        <w:tc>
          <w:tcPr>
            <w:cnfStyle w:val="00100001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IV</w:t>
            </w:r>
          </w:p>
        </w:tc>
        <w:tc>
          <w:tcPr>
            <w:cnfStyle w:val="000000010000"/>
            <w:tcW w:w="9447" w:type="dxa"/>
            <w:noWrap w:val="on"/>
            <w:shd w:val="clear" w:color="auto" w:fill="auto"/>
            <w:vAlign w:val="bottom"/>
          </w:tcPr>
          <w:p>
            <w:pPr>
              <w:bidi w:val="on"/>
              <w:jc w:val="left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>الفهرس</w:t>
            </w:r>
          </w:p>
        </w:tc>
      </w:tr>
      <w:tr>
        <w:trPr>
          <w:trHeight w:val="360"/>
          <w:jc w:val="right"/>
        </w:trPr>
        <w:tc>
          <w:tcPr>
            <w:cnfStyle w:val="00100010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V</w:t>
            </w:r>
          </w:p>
        </w:tc>
        <w:tc>
          <w:tcPr>
            <w:cnfStyle w:val="000000100000"/>
            <w:tcW w:w="9447" w:type="dxa"/>
            <w:noWrap w:val="on"/>
            <w:shd w:val="clear" w:color="auto" w:fill="auto"/>
            <w:vAlign w:val="bottom"/>
          </w:tcPr>
          <w:p>
            <w:pPr>
              <w:bidi w:val="on"/>
              <w:jc w:val="left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 xml:space="preserve">قائمة الجداول </w:t>
            </w:r>
          </w:p>
        </w:tc>
      </w:tr>
      <w:tr>
        <w:trPr>
          <w:trHeight w:val="360"/>
          <w:jc w:val="right"/>
        </w:trPr>
        <w:tc>
          <w:tcPr>
            <w:cnfStyle w:val="00100001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VI</w:t>
            </w:r>
          </w:p>
        </w:tc>
        <w:tc>
          <w:tcPr>
            <w:cnfStyle w:val="000000010000"/>
            <w:tcW w:w="9447" w:type="dxa"/>
            <w:noWrap w:val="on"/>
            <w:shd w:val="clear" w:color="auto" w:fill="auto"/>
            <w:vAlign w:val="bottom"/>
          </w:tcPr>
          <w:p>
            <w:pPr>
              <w:bidi w:val="on"/>
              <w:jc w:val="left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 xml:space="preserve">قائمة الاشكال </w:t>
            </w:r>
          </w:p>
        </w:tc>
      </w:tr>
      <w:tr>
        <w:trPr>
          <w:trHeight w:val="360"/>
          <w:jc w:val="right"/>
        </w:trPr>
        <w:tc>
          <w:tcPr>
            <w:cnfStyle w:val="00100010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>أ</w:t>
            </w:r>
          </w:p>
        </w:tc>
        <w:tc>
          <w:tcPr>
            <w:cnfStyle w:val="000000100000"/>
            <w:tcW w:w="9447" w:type="dxa"/>
            <w:noWrap w:val="on"/>
            <w:shd w:val="clear" w:color="auto" w:fill="auto"/>
            <w:vAlign w:val="bottom"/>
          </w:tcPr>
          <w:p>
            <w:pPr>
              <w:bidi w:val="on"/>
              <w:jc w:val="left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>مقدمة</w:t>
            </w:r>
          </w:p>
        </w:tc>
      </w:tr>
      <w:tr>
        <w:trPr>
          <w:trHeight w:val="360"/>
          <w:jc w:val="right"/>
        </w:trPr>
        <w:tc>
          <w:tcPr>
            <w:cnfStyle w:val="00100001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1</w:t>
            </w:r>
          </w:p>
        </w:tc>
        <w:tc>
          <w:tcPr>
            <w:cnfStyle w:val="000000010000"/>
            <w:tcW w:w="9447" w:type="dxa"/>
            <w:noWrap w:val="on"/>
            <w:shd w:val="clear" w:color="auto" w:fill="bfbfbf" w:themeFill="background1" w:themeFillShade="bf"/>
            <w:vAlign w:val="bottom"/>
          </w:tcPr>
          <w:p>
            <w:pPr>
              <w:bidi w:val="on"/>
              <w:jc w:val="left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 xml:space="preserve">الفصل الاول : </w:t>
            </w:r>
            <w:r>
              <w:rPr>
                <w:rFonts w:ascii="Traditional Arabic" w:cs="Traditional Arabic" w:eastAsiaTheme="majorEastAsia" w:hAnsi="Traditional Arabic"/>
                <w:sz w:val="28"/>
                <w:szCs w:val="28"/>
                <w:rtl/>
                <w:lang w:bidi="ar-DZ"/>
              </w:rPr>
              <w:t>تحليل اشكاليات تمويل المؤسسات</w:t>
            </w:r>
          </w:p>
        </w:tc>
      </w:tr>
      <w:tr>
        <w:trPr>
          <w:trHeight w:val="360"/>
          <w:jc w:val="right"/>
        </w:trPr>
        <w:tc>
          <w:tcPr>
            <w:cnfStyle w:val="00100010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2</w:t>
            </w:r>
          </w:p>
        </w:tc>
        <w:tc>
          <w:tcPr>
            <w:cnfStyle w:val="000000100000"/>
            <w:tcW w:w="9447" w:type="dxa"/>
            <w:noWrap w:val="on"/>
            <w:shd w:val="clear" w:color="auto" w:fill="auto"/>
            <w:vAlign w:val="bottom"/>
          </w:tcPr>
          <w:p>
            <w:pPr>
              <w:bidi w:val="on"/>
              <w:jc w:val="left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 xml:space="preserve">تمهيد </w:t>
            </w:r>
          </w:p>
        </w:tc>
      </w:tr>
      <w:tr>
        <w:trPr>
          <w:trHeight w:val="402"/>
          <w:jc w:val="right"/>
        </w:trPr>
        <w:tc>
          <w:tcPr>
            <w:cnfStyle w:val="00100001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3</w:t>
            </w:r>
          </w:p>
        </w:tc>
        <w:tc>
          <w:tcPr>
            <w:cnfStyle w:val="000000010000"/>
            <w:tcW w:w="9447" w:type="dxa"/>
            <w:noWrap w:val="on"/>
            <w:shd w:val="clear" w:color="auto" w:fill="auto"/>
            <w:vAlign w:val="center"/>
          </w:tcPr>
          <w:p>
            <w:pPr>
              <w:bidi w:val="on"/>
              <w:jc w:val="both"/>
              <w:rPr>
                <w:rFonts w:ascii="Traditional Arabic" w:cs="Traditional Arabic" w:eastAsia="Times New Roman" w:hAnsi="Traditional Arabic"/>
                <w:b/>
                <w:bCs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b/>
                <w:bCs/>
                <w:color w:val="000000"/>
                <w:sz w:val="28"/>
                <w:szCs w:val="28"/>
                <w:rtl/>
                <w:lang w:eastAsia="fr-FR"/>
              </w:rPr>
              <w:t>المبحث الأول: نشأة و مفهوم المؤسسات الصغيرة والمتوسطة</w:t>
            </w:r>
          </w:p>
        </w:tc>
      </w:tr>
      <w:tr>
        <w:trPr>
          <w:trHeight w:val="402"/>
          <w:jc w:val="right"/>
        </w:trPr>
        <w:tc>
          <w:tcPr>
            <w:cnfStyle w:val="00100010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3</w:t>
            </w:r>
          </w:p>
        </w:tc>
        <w:tc>
          <w:tcPr>
            <w:cnfStyle w:val="000000100000"/>
            <w:tcW w:w="9447" w:type="dxa"/>
            <w:noWrap w:val="on"/>
            <w:shd w:val="clear" w:color="auto" w:fill="auto"/>
            <w:vAlign w:val="center"/>
          </w:tcPr>
          <w:p>
            <w:pPr>
              <w:bidi w:val="on"/>
              <w:jc w:val="both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>المطلب الأول: نشأة المؤسسات الصغيرة و المتوسطة</w:t>
            </w:r>
          </w:p>
        </w:tc>
      </w:tr>
      <w:tr>
        <w:trPr>
          <w:trHeight w:val="402"/>
          <w:jc w:val="right"/>
        </w:trPr>
        <w:tc>
          <w:tcPr>
            <w:cnfStyle w:val="00100001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6</w:t>
            </w:r>
          </w:p>
        </w:tc>
        <w:tc>
          <w:tcPr>
            <w:cnfStyle w:val="000000010000"/>
            <w:tcW w:w="9447" w:type="dxa"/>
            <w:noWrap w:val="on"/>
            <w:shd w:val="clear" w:color="auto" w:fill="auto"/>
            <w:vAlign w:val="center"/>
          </w:tcPr>
          <w:p>
            <w:pPr>
              <w:bidi w:val="on"/>
              <w:jc w:val="both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 xml:space="preserve">المطلب الثاني: خصائص و اهمية المؤسسات الصغيرة والمتوسطة </w:t>
            </w:r>
          </w:p>
        </w:tc>
      </w:tr>
      <w:tr>
        <w:trPr>
          <w:trHeight w:val="402"/>
          <w:jc w:val="right"/>
        </w:trPr>
        <w:tc>
          <w:tcPr>
            <w:cnfStyle w:val="00100010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15</w:t>
            </w:r>
          </w:p>
        </w:tc>
        <w:tc>
          <w:tcPr>
            <w:cnfStyle w:val="000000100000"/>
            <w:tcW w:w="9447" w:type="dxa"/>
            <w:noWrap w:val="on"/>
            <w:shd w:val="clear" w:color="auto" w:fill="auto"/>
            <w:vAlign w:val="center"/>
          </w:tcPr>
          <w:p>
            <w:pPr>
              <w:bidi w:val="on"/>
              <w:jc w:val="both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 xml:space="preserve">المطلب الثالث : أشكال المؤسسات الصغيرة والمتوسطة </w:t>
            </w:r>
          </w:p>
        </w:tc>
      </w:tr>
      <w:tr>
        <w:trPr>
          <w:trHeight w:val="402"/>
          <w:jc w:val="right"/>
        </w:trPr>
        <w:tc>
          <w:tcPr>
            <w:cnfStyle w:val="00100001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21</w:t>
            </w:r>
          </w:p>
        </w:tc>
        <w:tc>
          <w:tcPr>
            <w:cnfStyle w:val="000000010000"/>
            <w:tcW w:w="9447" w:type="dxa"/>
            <w:noWrap w:val="on"/>
            <w:shd w:val="clear" w:color="auto" w:fill="auto"/>
            <w:vAlign w:val="center"/>
          </w:tcPr>
          <w:p>
            <w:pPr>
              <w:bidi w:val="on"/>
              <w:jc w:val="both"/>
              <w:rPr>
                <w:rFonts w:ascii="Traditional Arabic" w:cs="Traditional Arabic" w:eastAsia="Times New Roman" w:hAnsi="Traditional Arabic"/>
                <w:b/>
                <w:bCs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b/>
                <w:bCs/>
                <w:color w:val="000000"/>
                <w:sz w:val="28"/>
                <w:szCs w:val="28"/>
                <w:rtl/>
                <w:lang w:eastAsia="fr-FR"/>
              </w:rPr>
              <w:t>المبحث الثاني : ماهية التمويل</w:t>
            </w:r>
          </w:p>
        </w:tc>
      </w:tr>
      <w:tr>
        <w:trPr>
          <w:trHeight w:val="402"/>
          <w:jc w:val="right"/>
        </w:trPr>
        <w:tc>
          <w:tcPr>
            <w:cnfStyle w:val="00100010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21</w:t>
            </w:r>
          </w:p>
        </w:tc>
        <w:tc>
          <w:tcPr>
            <w:cnfStyle w:val="000000100000"/>
            <w:tcW w:w="9447" w:type="dxa"/>
            <w:noWrap w:val="on"/>
            <w:shd w:val="clear" w:color="auto" w:fill="auto"/>
            <w:vAlign w:val="center"/>
          </w:tcPr>
          <w:p>
            <w:pPr>
              <w:bidi w:val="on"/>
              <w:jc w:val="both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>المطلب الأول : مفهوم التمويل و اهميته</w:t>
            </w:r>
          </w:p>
        </w:tc>
      </w:tr>
      <w:tr>
        <w:trPr>
          <w:trHeight w:val="402"/>
          <w:jc w:val="right"/>
        </w:trPr>
        <w:tc>
          <w:tcPr>
            <w:cnfStyle w:val="00100001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25</w:t>
            </w:r>
          </w:p>
        </w:tc>
        <w:tc>
          <w:tcPr>
            <w:cnfStyle w:val="000000010000"/>
            <w:tcW w:w="9447" w:type="dxa"/>
            <w:noWrap w:val="on"/>
            <w:shd w:val="clear" w:color="auto" w:fill="auto"/>
            <w:vAlign w:val="center"/>
          </w:tcPr>
          <w:p>
            <w:pPr>
              <w:bidi w:val="on"/>
              <w:jc w:val="both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>المطلب الثاني : مبادئ و أهداف التمويل</w:t>
            </w:r>
          </w:p>
        </w:tc>
      </w:tr>
      <w:tr>
        <w:trPr>
          <w:trHeight w:val="402"/>
          <w:jc w:val="right"/>
        </w:trPr>
        <w:tc>
          <w:tcPr>
            <w:cnfStyle w:val="00100010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28</w:t>
            </w:r>
          </w:p>
        </w:tc>
        <w:tc>
          <w:tcPr>
            <w:cnfStyle w:val="000000100000"/>
            <w:tcW w:w="9447" w:type="dxa"/>
            <w:noWrap w:val="on"/>
            <w:shd w:val="clear" w:color="auto" w:fill="auto"/>
            <w:vAlign w:val="center"/>
          </w:tcPr>
          <w:p>
            <w:pPr>
              <w:bidi w:val="on"/>
              <w:jc w:val="both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 xml:space="preserve">المطلب الثالث : انواع و وظائف التمويل </w:t>
            </w:r>
          </w:p>
        </w:tc>
      </w:tr>
      <w:tr>
        <w:trPr>
          <w:trHeight w:val="402"/>
          <w:jc w:val="right"/>
        </w:trPr>
        <w:tc>
          <w:tcPr>
            <w:cnfStyle w:val="00100001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30</w:t>
            </w:r>
          </w:p>
        </w:tc>
        <w:tc>
          <w:tcPr>
            <w:cnfStyle w:val="000000010000"/>
            <w:tcW w:w="9447" w:type="dxa"/>
            <w:noWrap w:val="on"/>
            <w:shd w:val="clear" w:color="auto" w:fill="auto"/>
            <w:vAlign w:val="center"/>
          </w:tcPr>
          <w:p>
            <w:pPr>
              <w:bidi w:val="on"/>
              <w:jc w:val="both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 xml:space="preserve">المطلب </w:t>
            </w: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>الرابع :</w:t>
            </w: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 xml:space="preserve"> اشكال و معوقات التمويل </w:t>
            </w:r>
          </w:p>
        </w:tc>
      </w:tr>
      <w:tr>
        <w:trPr>
          <w:trHeight w:val="402"/>
          <w:jc w:val="right"/>
        </w:trPr>
        <w:tc>
          <w:tcPr>
            <w:cnfStyle w:val="00100010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38</w:t>
            </w:r>
          </w:p>
        </w:tc>
        <w:tc>
          <w:tcPr>
            <w:cnfStyle w:val="000000100000"/>
            <w:tcW w:w="9447" w:type="dxa"/>
            <w:noWrap w:val="on"/>
            <w:shd w:val="clear" w:color="auto" w:fill="auto"/>
            <w:vAlign w:val="center"/>
          </w:tcPr>
          <w:p>
            <w:pPr>
              <w:bidi w:val="on"/>
              <w:jc w:val="both"/>
              <w:rPr>
                <w:rFonts w:ascii="Traditional Arabic" w:cs="Traditional Arabic" w:eastAsia="Times New Roman" w:hAnsi="Traditional Arabic"/>
                <w:b/>
                <w:bCs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b/>
                <w:bCs/>
                <w:color w:val="000000"/>
                <w:sz w:val="28"/>
                <w:szCs w:val="28"/>
                <w:rtl/>
                <w:lang w:eastAsia="fr-FR"/>
              </w:rPr>
              <w:t>المبحث الثالث : تقدير الاحتياجات التمويلية للمؤسسات الصغيرة و المتوسطة</w:t>
            </w:r>
          </w:p>
        </w:tc>
      </w:tr>
      <w:tr>
        <w:trPr>
          <w:trHeight w:val="402"/>
          <w:jc w:val="right"/>
        </w:trPr>
        <w:tc>
          <w:tcPr>
            <w:cnfStyle w:val="00100001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38</w:t>
            </w:r>
          </w:p>
        </w:tc>
        <w:tc>
          <w:tcPr>
            <w:cnfStyle w:val="000000010000"/>
            <w:tcW w:w="9447" w:type="dxa"/>
            <w:noWrap w:val="on"/>
            <w:shd w:val="clear" w:color="auto" w:fill="auto"/>
            <w:vAlign w:val="center"/>
          </w:tcPr>
          <w:p>
            <w:pPr>
              <w:bidi w:val="on"/>
              <w:jc w:val="both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 xml:space="preserve">المطلب </w:t>
            </w: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>الاول : مصادر تمويل المؤسسات الصغيرة والمتوسطة</w:t>
            </w:r>
          </w:p>
        </w:tc>
      </w:tr>
      <w:tr>
        <w:trPr>
          <w:trHeight w:val="402"/>
          <w:jc w:val="right"/>
        </w:trPr>
        <w:tc>
          <w:tcPr>
            <w:cnfStyle w:val="00100010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45</w:t>
            </w:r>
          </w:p>
        </w:tc>
        <w:tc>
          <w:tcPr>
            <w:cnfStyle w:val="000000100000"/>
            <w:tcW w:w="9447" w:type="dxa"/>
            <w:noWrap w:val="on"/>
            <w:shd w:val="clear" w:color="auto" w:fill="auto"/>
            <w:vAlign w:val="center"/>
          </w:tcPr>
          <w:p>
            <w:pPr>
              <w:bidi w:val="on"/>
              <w:jc w:val="both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>المطلب الثاني : الاحتياجات المالية اللازمة للمؤسسات الصغيرة والمتوسطة خلال مراحل حياتها</w:t>
            </w:r>
          </w:p>
        </w:tc>
      </w:tr>
      <w:tr>
        <w:trPr>
          <w:trHeight w:val="402"/>
          <w:jc w:val="right"/>
        </w:trPr>
        <w:tc>
          <w:tcPr>
            <w:cnfStyle w:val="00100001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53</w:t>
            </w:r>
          </w:p>
        </w:tc>
        <w:tc>
          <w:tcPr>
            <w:cnfStyle w:val="000000010000"/>
            <w:tcW w:w="9447" w:type="dxa"/>
            <w:noWrap w:val="on"/>
            <w:shd w:val="clear" w:color="auto" w:fill="auto"/>
            <w:vAlign w:val="center"/>
          </w:tcPr>
          <w:p>
            <w:pPr>
              <w:bidi w:val="on"/>
              <w:jc w:val="both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 xml:space="preserve">المطلب </w:t>
            </w: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>الثالث :</w:t>
            </w: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 xml:space="preserve"> الاحتياجات التمويلية اللازمة لمؤسسات الصغيرة والمتوسطة حسب قدرتها التنموية والابتكارية</w:t>
            </w:r>
          </w:p>
        </w:tc>
      </w:tr>
      <w:tr>
        <w:trPr>
          <w:trHeight w:val="402"/>
          <w:jc w:val="right"/>
        </w:trPr>
        <w:tc>
          <w:tcPr>
            <w:cnfStyle w:val="00100010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55</w:t>
            </w:r>
          </w:p>
        </w:tc>
        <w:tc>
          <w:tcPr>
            <w:cnfStyle w:val="000000100000"/>
            <w:tcW w:w="9447" w:type="dxa"/>
            <w:noWrap w:val="on"/>
            <w:shd w:val="clear" w:color="auto" w:fill="auto"/>
            <w:vAlign w:val="center"/>
          </w:tcPr>
          <w:p>
            <w:pPr>
              <w:bidi w:val="on"/>
              <w:jc w:val="both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>المطلب</w:t>
            </w: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 xml:space="preserve"> الرابع : منهجية وأهمية تقدير الاحتياجات المالية للمؤسسات الصغيرة والمتوسطة</w:t>
            </w:r>
          </w:p>
        </w:tc>
      </w:tr>
      <w:tr>
        <w:trPr>
          <w:trHeight w:val="402"/>
          <w:jc w:val="right"/>
        </w:trPr>
        <w:tc>
          <w:tcPr>
            <w:cnfStyle w:val="00100001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60</w:t>
            </w:r>
          </w:p>
        </w:tc>
        <w:tc>
          <w:tcPr>
            <w:cnfStyle w:val="000000010000"/>
            <w:tcW w:w="9447" w:type="dxa"/>
            <w:noWrap w:val="on"/>
            <w:shd w:val="clear" w:color="auto" w:fill="auto"/>
            <w:vAlign w:val="center"/>
          </w:tcPr>
          <w:p>
            <w:pPr>
              <w:bidi w:val="on"/>
              <w:jc w:val="both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 xml:space="preserve">خلاصة الفصل </w:t>
            </w:r>
          </w:p>
        </w:tc>
      </w:tr>
      <w:tr>
        <w:trPr>
          <w:trHeight w:val="360"/>
          <w:jc w:val="right"/>
        </w:trPr>
        <w:tc>
          <w:tcPr>
            <w:cnfStyle w:val="00100010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61</w:t>
            </w:r>
          </w:p>
        </w:tc>
        <w:tc>
          <w:tcPr>
            <w:cnfStyle w:val="000000100000"/>
            <w:tcW w:w="9447" w:type="dxa"/>
            <w:noWrap w:val="on"/>
            <w:shd w:val="clear" w:color="auto" w:fill="bfbfbf" w:themeFill="background1" w:themeFillShade="bf"/>
            <w:vAlign w:val="bottom"/>
          </w:tcPr>
          <w:p>
            <w:pPr>
              <w:bidi w:val="on"/>
              <w:jc w:val="left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>الفصل الثاني : واقع المؤسسات الصغيرة والمتوسطة في ولاية المسيلة</w:t>
            </w:r>
          </w:p>
        </w:tc>
      </w:tr>
      <w:tr>
        <w:trPr>
          <w:trHeight w:val="450"/>
          <w:jc w:val="right"/>
        </w:trPr>
        <w:tc>
          <w:tcPr>
            <w:cnfStyle w:val="00100001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62</w:t>
            </w:r>
          </w:p>
        </w:tc>
        <w:tc>
          <w:tcPr>
            <w:cnfStyle w:val="000000010000"/>
            <w:tcW w:w="9447" w:type="dxa"/>
            <w:noWrap w:val="on"/>
            <w:shd w:val="clear" w:color="auto" w:fill="auto"/>
            <w:vAlign w:val="center"/>
          </w:tcPr>
          <w:p>
            <w:pPr>
              <w:bidi w:val="on"/>
              <w:jc w:val="left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 xml:space="preserve">تمهيد </w:t>
            </w:r>
          </w:p>
        </w:tc>
      </w:tr>
      <w:tr>
        <w:trPr>
          <w:trHeight w:val="450"/>
          <w:jc w:val="right"/>
        </w:trPr>
        <w:tc>
          <w:tcPr>
            <w:cnfStyle w:val="00100010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63</w:t>
            </w:r>
          </w:p>
        </w:tc>
        <w:tc>
          <w:tcPr>
            <w:cnfStyle w:val="000000100000"/>
            <w:tcW w:w="9447" w:type="dxa"/>
            <w:noWrap w:val="on"/>
            <w:shd w:val="clear" w:color="auto" w:fill="auto"/>
            <w:vAlign w:val="center"/>
          </w:tcPr>
          <w:p>
            <w:pPr>
              <w:bidi w:val="on"/>
              <w:jc w:val="both"/>
              <w:rPr>
                <w:rFonts w:ascii="Traditional Arabic" w:cs="Traditional Arabic" w:eastAsia="Times New Roman" w:hAnsi="Traditional Arabic"/>
                <w:b/>
                <w:bCs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b/>
                <w:bCs/>
                <w:color w:val="000000"/>
                <w:sz w:val="28"/>
                <w:szCs w:val="28"/>
                <w:rtl/>
                <w:lang w:eastAsia="fr-FR"/>
              </w:rPr>
              <w:t>المبحث الاول : واقع المؤسسات الصغيرة والمتوسطة في ولاية المسيلة</w:t>
            </w:r>
          </w:p>
        </w:tc>
      </w:tr>
      <w:tr>
        <w:trPr>
          <w:trHeight w:val="510"/>
          <w:jc w:val="right"/>
        </w:trPr>
        <w:tc>
          <w:tcPr>
            <w:cnfStyle w:val="00100001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63</w:t>
            </w:r>
          </w:p>
        </w:tc>
        <w:tc>
          <w:tcPr>
            <w:cnfStyle w:val="000000010000"/>
            <w:tcW w:w="9447" w:type="dxa"/>
            <w:noWrap w:val="on"/>
            <w:shd w:val="clear" w:color="auto" w:fill="auto"/>
            <w:vAlign w:val="center"/>
          </w:tcPr>
          <w:p>
            <w:pPr>
              <w:bidi w:val="on"/>
              <w:jc w:val="both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 xml:space="preserve">المطلب </w:t>
            </w: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>الاول: مراحل تطور المؤسسات الصغيرة والمتوسطة في ولاية المسيلة</w:t>
            </w:r>
          </w:p>
        </w:tc>
      </w:tr>
      <w:tr>
        <w:trPr>
          <w:trHeight w:val="510"/>
          <w:jc w:val="right"/>
        </w:trPr>
        <w:tc>
          <w:tcPr>
            <w:cnfStyle w:val="00100010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66</w:t>
            </w:r>
          </w:p>
        </w:tc>
        <w:tc>
          <w:tcPr>
            <w:cnfStyle w:val="000000100000"/>
            <w:tcW w:w="9447" w:type="dxa"/>
            <w:noWrap w:val="on"/>
            <w:shd w:val="clear" w:color="auto" w:fill="auto"/>
            <w:vAlign w:val="center"/>
          </w:tcPr>
          <w:p>
            <w:pPr>
              <w:bidi w:val="on"/>
              <w:jc w:val="left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>المطلب الثاني: أهمية المؤسسات الصغيرة والمتوسطة</w:t>
            </w:r>
          </w:p>
        </w:tc>
      </w:tr>
      <w:tr>
        <w:trPr>
          <w:trHeight w:val="510"/>
          <w:jc w:val="right"/>
        </w:trPr>
        <w:tc>
          <w:tcPr>
            <w:cnfStyle w:val="00100001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70</w:t>
            </w:r>
          </w:p>
        </w:tc>
        <w:tc>
          <w:tcPr>
            <w:cnfStyle w:val="000000010000"/>
            <w:tcW w:w="9447" w:type="dxa"/>
            <w:noWrap w:val="on"/>
            <w:shd w:val="clear" w:color="auto" w:fill="auto"/>
            <w:vAlign w:val="center"/>
          </w:tcPr>
          <w:p>
            <w:pPr>
              <w:bidi w:val="on"/>
              <w:jc w:val="left"/>
              <w:rPr>
                <w:rFonts w:ascii="Traditional Arabic" w:cs="Traditional Arabic" w:eastAsia="Times New Roman" w:hAnsi="Traditional Arabic"/>
                <w:b/>
                <w:bCs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b/>
                <w:bCs/>
                <w:color w:val="000000"/>
                <w:sz w:val="28"/>
                <w:szCs w:val="28"/>
                <w:rtl/>
                <w:lang w:eastAsia="fr-FR"/>
              </w:rPr>
              <w:t>المبحث الثاني: واقع التمويل في ولاية المسيلة</w:t>
            </w:r>
          </w:p>
        </w:tc>
      </w:tr>
      <w:tr>
        <w:trPr>
          <w:trHeight w:val="510"/>
          <w:jc w:val="right"/>
        </w:trPr>
        <w:tc>
          <w:tcPr>
            <w:cnfStyle w:val="00100010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70</w:t>
            </w:r>
          </w:p>
        </w:tc>
        <w:tc>
          <w:tcPr>
            <w:cnfStyle w:val="000000100000"/>
            <w:tcW w:w="9447" w:type="dxa"/>
            <w:noWrap w:val="on"/>
            <w:shd w:val="clear" w:color="auto" w:fill="auto"/>
            <w:vAlign w:val="center"/>
          </w:tcPr>
          <w:p>
            <w:pPr>
              <w:bidi w:val="on"/>
              <w:jc w:val="both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>المطلب الأول: هيئات دعم المؤسسات الصغيرة والمتوسطة</w:t>
            </w:r>
          </w:p>
        </w:tc>
      </w:tr>
      <w:tr>
        <w:trPr>
          <w:trHeight w:val="510"/>
          <w:jc w:val="right"/>
        </w:trPr>
        <w:tc>
          <w:tcPr>
            <w:cnfStyle w:val="00100001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72</w:t>
            </w:r>
          </w:p>
        </w:tc>
        <w:tc>
          <w:tcPr>
            <w:cnfStyle w:val="000000010000"/>
            <w:tcW w:w="9447" w:type="dxa"/>
            <w:noWrap w:val="on"/>
            <w:shd w:val="clear" w:color="auto" w:fill="auto"/>
            <w:vAlign w:val="center"/>
          </w:tcPr>
          <w:p>
            <w:pPr>
              <w:bidi w:val="on"/>
              <w:jc w:val="both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>المطلب الثاني: أساليب دعم المؤسسات</w:t>
            </w: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 xml:space="preserve"> الصغيرة </w:t>
            </w: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>و المتوسطة</w:t>
            </w: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 xml:space="preserve"> في ولاية المسيلة</w:t>
            </w:r>
          </w:p>
        </w:tc>
      </w:tr>
      <w:tr>
        <w:trPr>
          <w:trHeight w:val="450"/>
          <w:jc w:val="right"/>
        </w:trPr>
        <w:tc>
          <w:tcPr>
            <w:cnfStyle w:val="00100010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74</w:t>
            </w:r>
          </w:p>
        </w:tc>
        <w:tc>
          <w:tcPr>
            <w:cnfStyle w:val="000000100000"/>
            <w:tcW w:w="9447" w:type="dxa"/>
            <w:noWrap w:val="on"/>
            <w:shd w:val="clear" w:color="auto" w:fill="auto"/>
            <w:vAlign w:val="center"/>
          </w:tcPr>
          <w:p>
            <w:pPr>
              <w:bidi w:val="on"/>
              <w:jc w:val="both"/>
              <w:rPr>
                <w:rFonts w:ascii="Traditional Arabic" w:cs="Traditional Arabic" w:eastAsia="Times New Roman" w:hAnsi="Traditional Arabic"/>
                <w:b/>
                <w:bCs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b/>
                <w:bCs/>
                <w:color w:val="000000"/>
                <w:sz w:val="28"/>
                <w:szCs w:val="28"/>
                <w:rtl/>
                <w:lang w:eastAsia="fr-FR"/>
              </w:rPr>
              <w:t xml:space="preserve">المبحث الثالث: إشكالية تمويل المؤسسات الصغيرة </w:t>
            </w:r>
            <w:r>
              <w:rPr>
                <w:rFonts w:ascii="Traditional Arabic" w:cs="Traditional Arabic" w:eastAsia="Times New Roman" w:hAnsi="Traditional Arabic"/>
                <w:b/>
                <w:bCs/>
                <w:color w:val="000000"/>
                <w:sz w:val="28"/>
                <w:szCs w:val="28"/>
                <w:rtl/>
                <w:lang w:eastAsia="fr-FR"/>
              </w:rPr>
              <w:t>و المتوسطة</w:t>
            </w:r>
            <w:r>
              <w:rPr>
                <w:rFonts w:ascii="Traditional Arabic" w:cs="Traditional Arabic" w:eastAsia="Times New Roman" w:hAnsi="Traditional Arabic"/>
                <w:b/>
                <w:bCs/>
                <w:color w:val="000000"/>
                <w:sz w:val="28"/>
                <w:szCs w:val="28"/>
                <w:rtl/>
                <w:lang w:eastAsia="fr-FR"/>
              </w:rPr>
              <w:t xml:space="preserve"> وسبل تطويرها</w:t>
            </w:r>
          </w:p>
        </w:tc>
      </w:tr>
      <w:tr>
        <w:trPr>
          <w:trHeight w:val="448"/>
          <w:jc w:val="right"/>
        </w:trPr>
        <w:tc>
          <w:tcPr>
            <w:cnfStyle w:val="00100001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74</w:t>
            </w:r>
          </w:p>
        </w:tc>
        <w:tc>
          <w:tcPr>
            <w:cnfStyle w:val="000000010000"/>
            <w:tcW w:w="9447" w:type="dxa"/>
            <w:noWrap w:val="on"/>
            <w:shd w:val="clear" w:color="auto" w:fill="auto"/>
            <w:vAlign w:val="center"/>
          </w:tcPr>
          <w:p>
            <w:pPr>
              <w:bidi w:val="on"/>
              <w:jc w:val="both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 xml:space="preserve">المطلب الأول: الإجراءات المتبعة من طرف بنك التنمية المحلية لتمويل </w:t>
            </w: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PME</w:t>
            </w: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 xml:space="preserve">  في</w:t>
            </w: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 xml:space="preserve"> ظل وكالة </w:t>
            </w: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ANSEJ</w:t>
            </w:r>
          </w:p>
        </w:tc>
      </w:tr>
      <w:tr>
        <w:trPr>
          <w:trHeight w:val="510"/>
          <w:jc w:val="right"/>
        </w:trPr>
        <w:tc>
          <w:tcPr>
            <w:cnfStyle w:val="00100010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87</w:t>
            </w:r>
          </w:p>
        </w:tc>
        <w:tc>
          <w:tcPr>
            <w:cnfStyle w:val="000000100000"/>
            <w:tcW w:w="9447" w:type="dxa"/>
            <w:noWrap w:val="on"/>
            <w:shd w:val="clear" w:color="auto" w:fill="auto"/>
            <w:vAlign w:val="center"/>
          </w:tcPr>
          <w:p>
            <w:pPr>
              <w:bidi w:val="on"/>
              <w:jc w:val="both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 xml:space="preserve">المطلب </w:t>
            </w: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>الثاني :</w:t>
            </w: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 xml:space="preserve"> تحليل إشكالية تمويل المؤسسات الصغيرة و المتوسطة </w:t>
            </w:r>
          </w:p>
        </w:tc>
      </w:tr>
      <w:tr>
        <w:trPr>
          <w:trHeight w:val="510"/>
          <w:jc w:val="right"/>
        </w:trPr>
        <w:tc>
          <w:tcPr>
            <w:cnfStyle w:val="00100001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90</w:t>
            </w:r>
          </w:p>
        </w:tc>
        <w:tc>
          <w:tcPr>
            <w:cnfStyle w:val="000000010000"/>
            <w:tcW w:w="9447" w:type="dxa"/>
            <w:noWrap w:val="on"/>
            <w:shd w:val="clear" w:color="auto" w:fill="auto"/>
            <w:vAlign w:val="center"/>
          </w:tcPr>
          <w:p>
            <w:pPr>
              <w:bidi w:val="on"/>
              <w:jc w:val="both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 xml:space="preserve">المطلب الثالث: سبل ترقية وتطوير اليات </w:t>
            </w: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 xml:space="preserve">تمويل  </w:t>
            </w: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PME</w:t>
            </w:r>
          </w:p>
        </w:tc>
      </w:tr>
      <w:tr>
        <w:trPr>
          <w:trHeight w:val="450"/>
          <w:jc w:val="right"/>
        </w:trPr>
        <w:tc>
          <w:tcPr>
            <w:cnfStyle w:val="00100010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91</w:t>
            </w:r>
          </w:p>
        </w:tc>
        <w:tc>
          <w:tcPr>
            <w:cnfStyle w:val="000000100000"/>
            <w:tcW w:w="9447" w:type="dxa"/>
            <w:noWrap w:val="on"/>
            <w:shd w:val="clear" w:color="auto" w:fill="auto"/>
            <w:vAlign w:val="center"/>
          </w:tcPr>
          <w:p>
            <w:pPr>
              <w:bidi w:val="on"/>
              <w:jc w:val="both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 xml:space="preserve">خلاصة الفصل </w:t>
            </w:r>
          </w:p>
        </w:tc>
      </w:tr>
      <w:tr>
        <w:trPr>
          <w:trHeight w:val="360"/>
          <w:jc w:val="right"/>
        </w:trPr>
        <w:tc>
          <w:tcPr>
            <w:cnfStyle w:val="00100001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92</w:t>
            </w:r>
          </w:p>
        </w:tc>
        <w:tc>
          <w:tcPr>
            <w:cnfStyle w:val="000000010000"/>
            <w:tcW w:w="9447" w:type="dxa"/>
            <w:noWrap w:val="on"/>
            <w:shd w:val="clear" w:color="auto" w:fill="auto"/>
            <w:vAlign w:val="bottom"/>
          </w:tcPr>
          <w:p>
            <w:pPr>
              <w:bidi w:val="on"/>
              <w:jc w:val="left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>خاتمة</w:t>
            </w:r>
          </w:p>
        </w:tc>
      </w:tr>
      <w:tr>
        <w:trPr>
          <w:trHeight w:val="360"/>
          <w:jc w:val="right"/>
        </w:trPr>
        <w:tc>
          <w:tcPr>
            <w:cnfStyle w:val="001000100000"/>
            <w:tcW w:w="613" w:type="dxa"/>
            <w:noWrap w:val="on"/>
            <w:shd w:val="clear" w:color="auto" w:fill="auto"/>
            <w:vAlign w:val="bottom"/>
          </w:tcPr>
          <w:p>
            <w:pPr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96</w:t>
            </w:r>
          </w:p>
        </w:tc>
        <w:tc>
          <w:tcPr>
            <w:cnfStyle w:val="000000100000"/>
            <w:tcW w:w="9447" w:type="dxa"/>
            <w:noWrap w:val="on"/>
            <w:shd w:val="clear" w:color="auto" w:fill="auto"/>
            <w:vAlign w:val="bottom"/>
          </w:tcPr>
          <w:p>
            <w:pPr>
              <w:bidi w:val="on"/>
              <w:jc w:val="left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 xml:space="preserve">المراجع </w:t>
            </w:r>
            <w:bookmarkStart w:id="0" w:name="_GoBack"/>
            <w:bookmarkEnd w:id="0"/>
          </w:p>
        </w:tc>
      </w:tr>
      <w:tr>
        <w:trPr>
          <w:trHeight w:val="360"/>
          <w:jc w:val="right"/>
        </w:trPr>
        <w:tc>
          <w:tcPr>
            <w:cnfStyle w:val="001000010000"/>
            <w:tcW w:w="613" w:type="dxa"/>
            <w:noWrap w:val="on"/>
            <w:shd w:val="clear" w:color="auto" w:fill="auto"/>
            <w:vAlign w:val="bottom"/>
          </w:tcPr>
          <w:p>
            <w:pPr>
              <w:bidi w:val="on"/>
              <w:jc w:val="center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  <w:t>101</w:t>
            </w:r>
          </w:p>
        </w:tc>
        <w:tc>
          <w:tcPr>
            <w:cnfStyle w:val="000000010000"/>
            <w:tcW w:w="9447" w:type="dxa"/>
            <w:noWrap w:val="on"/>
            <w:shd w:val="clear" w:color="auto" w:fill="auto"/>
            <w:vAlign w:val="bottom"/>
          </w:tcPr>
          <w:p>
            <w:pPr>
              <w:bidi w:val="on"/>
              <w:jc w:val="left"/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raditional Arabic" w:cs="Traditional Arabic" w:eastAsia="Times New Roman" w:hAnsi="Traditional Arabic"/>
                <w:color w:val="000000"/>
                <w:sz w:val="28"/>
                <w:szCs w:val="28"/>
                <w:rtl/>
                <w:lang w:eastAsia="fr-FR"/>
              </w:rPr>
              <w:t>الملاحق</w:t>
            </w:r>
          </w:p>
        </w:tc>
      </w:tr>
    </w:tbl>
    <w:p>
      <w:pPr>
        <w:bidi w:val="on"/>
        <w:spacing w:line="276" w:lineRule="auto"/>
        <w:jc w:val="both"/>
        <w:rPr>
          <w:rFonts w:ascii="Simplified Arabic" w:cs="Simplified Arabic" w:hAnsi="Simplified Arabic"/>
          <w:color w:val="000000" w:themeColor="text1"/>
          <w:sz w:val="32"/>
          <w:szCs w:val="32"/>
        </w:rPr>
      </w:pPr>
    </w:p>
    <w:p>
      <w:pPr>
        <w:bidi w:val="on"/>
        <w:spacing w:line="276" w:lineRule="auto"/>
        <w:jc w:val="both"/>
        <w:rPr>
          <w:rFonts w:ascii="Simplified Arabic" w:cs="Simplified Arabic" w:hAnsi="Simplified Arabic"/>
          <w:color w:val="000000" w:themeColor="text1"/>
          <w:sz w:val="32"/>
          <w:szCs w:val="32"/>
          <w:rtl/>
        </w:rPr>
      </w:pPr>
    </w:p>
    <w:sectPr>
      <w:headerReference w:type="default" r:id="rId13"/>
      <w:footnotePr>
        <w:pos w:val="docEnd"/>
        <w:numFmt w:val="lowerRoman"/>
        <w:numRestart w:val="eachPage"/>
      </w:footnotePr>
      <w:pgSz w:w="11906" w:h="16838"/>
      <w:pgMar w:top="1417" w:right="1417" w:bottom="1417" w:left="1417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>
  <w:endnote w:type="separator" w:id="0">
    <w:p>
      <w:r>
        <w:rPr/>
        <w:separator/>
      </w:r>
    </w:p>
  </w:endnote>
  <w:endnote w:type="continuationSeparator" w:id="1">
    <w:p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00000000" w:csb1="00000000"/>
  </w:font>
  <w:font w:name="alakhali">
    <w:altName w:val="Times New Roman"/>
    <w:panose1 w:val="00000000000000000000"/>
    <w:charset w:val="00"/>
    <w:family w:val="roman"/>
    <w:notTrueType w:val="on"/>
    <w:pitch w:val="default"/>
  </w:font>
  <w:font w:name="Calibri">
    <w:panose1 w:val="020f0502020204030204"/>
    <w:charset w:val="00"/>
    <w:family w:val="swiss"/>
    <w:pitch w:val="variable"/>
    <w:sig w:usb0="00000000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variable"/>
    <w:sig w:usb0="00000000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00000000" w:usb1="00000000" w:usb2="00000029" w:usb3="00000000" w:csb0="000101ff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Andalus">
    <w:altName w:val="Times New Roman"/>
    <w:panose1 w:val="02020603050405020304"/>
    <w:charset w:val="00"/>
    <w:family w:val="roman"/>
    <w:pitch w:val="variable"/>
    <w:sig w:usb0="00002003" w:usb1="00000000" w:usb2="00000008" w:usb3="00000000" w:csb0="00000041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00000000" w:usb2="00000008" w:usb3="00000000" w:csb0="00000041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Helvetica Neue"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>
  <w:footnote w:type="separator" w:id="0">
    <w:p>
      <w:pPr>
        <w:bidi w:val="on"/>
        <w:jc w:val="left"/>
        <w:rPr/>
      </w:pPr>
      <w:r>
        <w:rPr/>
        <w:separator/>
      </w:r>
    </w:p>
  </w:footnote>
  <w:footnote w:type="continuationSeparator" w:id="1">
    <w:p>
      <w:r>
        <w:rPr/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>
  <w:p>
    <w:pPr>
      <w:pStyle w:val="Header"/>
      <w:pBdr>
        <w:bottom w:val="thickThinSmallGap" w:color="622422" w:themeColor="accent2" w:themeShade="7f" w:sz="24" w:space="1"/>
      </w:pBdr>
      <w:jc w:val="center"/>
      <w:rPr>
        <w:rFonts w:ascii="Traditional Arabic" w:cs="Traditional Arabic" w:eastAsiaTheme="majorEastAsia" w:hAnsi="Traditional Arabic"/>
        <w:b/>
        <w:bCs/>
        <w:sz w:val="32"/>
        <w:szCs w:val="32"/>
      </w:rPr>
    </w:pPr>
    <w:r>
      <w:rPr>
        <w:rFonts w:ascii="Traditional Arabic" w:cs="Traditional Arabic" w:eastAsiaTheme="majorEastAsia" w:hAnsi="Traditional Arabic"/>
        <w:b/>
        <w:bCs/>
        <w:sz w:val="32"/>
        <w:szCs w:val="32"/>
        <w:rtl/>
        <w:lang w:bidi="ar-DZ"/>
      </w:rPr>
      <w:t>الفهرس</w:t>
    </w:r>
  </w:p>
  <w:p>
    <w:pPr>
      <w:pStyle w:val="Header"/>
      <w:rPr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decimal"/>
      <w:lvlText w:val="%1."/>
      <w:lvlJc w:val="left"/>
      <w:pPr>
        <w:ind w:left="1344" w:hanging="360"/>
      </w:pPr>
    </w:lvl>
    <w:lvl w:ilvl="1" w:tentative="1">
      <w:start w:val="1"/>
      <w:numFmt w:val="lowerLetter"/>
      <w:lvlText w:val="%2."/>
      <w:lvlJc w:val="left"/>
      <w:pPr>
        <w:ind w:left="2064" w:hanging="360"/>
      </w:pPr>
    </w:lvl>
    <w:lvl w:ilvl="2" w:tentative="1">
      <w:start w:val="1"/>
      <w:numFmt w:val="lowerRoman"/>
      <w:lvlText w:val="%3."/>
      <w:lvlJc w:val="right"/>
      <w:pPr>
        <w:ind w:left="2784" w:hanging="180"/>
      </w:pPr>
    </w:lvl>
    <w:lvl w:ilvl="3" w:tentative="1">
      <w:start w:val="1"/>
      <w:numFmt w:val="decimal"/>
      <w:lvlText w:val="%4."/>
      <w:lvlJc w:val="left"/>
      <w:pPr>
        <w:ind w:left="3504" w:hanging="360"/>
      </w:pPr>
    </w:lvl>
    <w:lvl w:ilvl="4" w:tentative="1">
      <w:start w:val="1"/>
      <w:numFmt w:val="lowerLetter"/>
      <w:lvlText w:val="%5."/>
      <w:lvlJc w:val="left"/>
      <w:pPr>
        <w:ind w:left="4224" w:hanging="360"/>
      </w:pPr>
    </w:lvl>
    <w:lvl w:ilvl="5" w:tentative="1">
      <w:start w:val="1"/>
      <w:numFmt w:val="lowerRoman"/>
      <w:lvlText w:val="%6."/>
      <w:lvlJc w:val="right"/>
      <w:pPr>
        <w:ind w:left="4944" w:hanging="180"/>
      </w:pPr>
    </w:lvl>
    <w:lvl w:ilvl="6" w:tentative="1">
      <w:start w:val="1"/>
      <w:numFmt w:val="decimal"/>
      <w:lvlText w:val="%7."/>
      <w:lvlJc w:val="left"/>
      <w:pPr>
        <w:ind w:left="5664" w:hanging="360"/>
      </w:pPr>
    </w:lvl>
    <w:lvl w:ilvl="7" w:tentative="1">
      <w:start w:val="1"/>
      <w:numFmt w:val="lowerLetter"/>
      <w:lvlText w:val="%8."/>
      <w:lvlJc w:val="left"/>
      <w:pPr>
        <w:ind w:left="6384" w:hanging="360"/>
      </w:pPr>
    </w:lvl>
    <w:lvl w:ilvl="8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1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bidi="ar-SA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multiLevelType w:val="hybridMultilevel"/>
    <w:lvl w:ilvl="0" w:tentative="0">
      <w:start w:val="1"/>
      <w:numFmt w:val="upperRoman"/>
      <w:lvlText w:val="%1."/>
      <w:lvlJc w:val="righ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 w:tentative="0">
      <w:start w:val="1"/>
      <w:numFmt w:val="bullet"/>
      <w:lvlText w:val=""/>
      <w:lvlJc w:val="left"/>
      <w:pPr>
        <w:ind w:left="782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502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2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2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6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 w:tentative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multiLevelType w:val="hybridMultilevel"/>
    <w:lvl w:ilvl="0" w:tentative="0">
      <w:start w:val="1"/>
      <w:numFmt w:val="decimal"/>
      <w:lvlText w:val="%1."/>
      <w:lvlJc w:val="left"/>
      <w:pPr>
        <w:ind w:left="1287" w:hanging="360"/>
      </w:pPr>
    </w:lvl>
    <w:lvl w:ilvl="1" w:tentative="1">
      <w:start w:val="1"/>
      <w:numFmt w:val="lowerLetter"/>
      <w:lvlText w:val="%2."/>
      <w:lvlJc w:val="left"/>
      <w:pPr>
        <w:ind w:left="2007" w:hanging="360"/>
      </w:pPr>
    </w:lvl>
    <w:lvl w:ilvl="2" w:tentative="1">
      <w:start w:val="1"/>
      <w:numFmt w:val="lowerRoman"/>
      <w:lvlText w:val="%3."/>
      <w:lvlJc w:val="right"/>
      <w:pPr>
        <w:ind w:left="2727" w:hanging="180"/>
      </w:pPr>
    </w:lvl>
    <w:lvl w:ilvl="3" w:tentative="1">
      <w:start w:val="1"/>
      <w:numFmt w:val="decimal"/>
      <w:lvlText w:val="%4."/>
      <w:lvlJc w:val="left"/>
      <w:pPr>
        <w:ind w:left="3447" w:hanging="360"/>
      </w:pPr>
    </w:lvl>
    <w:lvl w:ilvl="4" w:tentative="1">
      <w:start w:val="1"/>
      <w:numFmt w:val="lowerLetter"/>
      <w:lvlText w:val="%5."/>
      <w:lvlJc w:val="left"/>
      <w:pPr>
        <w:ind w:left="4167" w:hanging="360"/>
      </w:pPr>
    </w:lvl>
    <w:lvl w:ilvl="5" w:tentative="1">
      <w:start w:val="1"/>
      <w:numFmt w:val="lowerRoman"/>
      <w:lvlText w:val="%6."/>
      <w:lvlJc w:val="right"/>
      <w:pPr>
        <w:ind w:left="4887" w:hanging="180"/>
      </w:pPr>
    </w:lvl>
    <w:lvl w:ilvl="6" w:tentative="1">
      <w:start w:val="1"/>
      <w:numFmt w:val="decimal"/>
      <w:lvlText w:val="%7."/>
      <w:lvlJc w:val="left"/>
      <w:pPr>
        <w:ind w:left="5607" w:hanging="360"/>
      </w:pPr>
    </w:lvl>
    <w:lvl w:ilvl="7" w:tentative="1">
      <w:start w:val="1"/>
      <w:numFmt w:val="lowerLetter"/>
      <w:lvlText w:val="%8."/>
      <w:lvlJc w:val="left"/>
      <w:pPr>
        <w:ind w:left="6327" w:hanging="360"/>
      </w:pPr>
    </w:lvl>
    <w:lvl w:ilvl="8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multiLevelType w:val="hybridMultilevel"/>
    <w:lvl w:ilvl="0" w:tentative="0">
      <w:start w:val="1"/>
      <w:numFmt w:val="upperRoman"/>
      <w:lvlText w:val="%1."/>
      <w:lvlJc w:val="righ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 w:tentative="0">
      <w:start w:val="1"/>
      <w:numFmt w:val="bullet"/>
      <w:lvlText w:val="•"/>
      <w:lvlJc w:val="left"/>
      <w:pPr>
        <w:ind w:left="927" w:hanging="360"/>
      </w:pPr>
      <w:rPr>
        <w:rFonts w:ascii="alakhali" w:cstheme="minorBidi" w:eastAsiaTheme="minorHAnsi" w:hAnsi="alakhali" w:hint="default"/>
        <w:b/>
        <w:color w:val="000000" w:themeColor="text1"/>
        <w:u w:val="single"/>
      </w:rPr>
    </w:lvl>
    <w:lvl w:ilvl="1" w:tentative="1">
      <w:start w:val="1"/>
      <w:numFmt w:val="bullet"/>
      <w:lvlText w:val="o"/>
      <w:lvlJc w:val="left"/>
      <w:pPr>
        <w:ind w:left="1647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7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7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 w:tentative="0">
      <w:start w:val="1"/>
      <w:numFmt w:val="bullet"/>
      <w:lvlText w:val=""/>
      <w:lvlJc w:val="left"/>
      <w:pPr>
        <w:ind w:left="1505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225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85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45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15">
    <w:multiLevelType w:val="hybridMultilevel"/>
    <w:lvl w:ilvl="0" w:tentative="0">
      <w:start w:val="1"/>
      <w:numFmt w:val="bullet"/>
      <w:lvlText w:val=""/>
      <w:lvlJc w:val="left"/>
      <w:pPr>
        <w:ind w:left="9795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0515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123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1195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12675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1339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1411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14835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15555" w:hanging="360"/>
      </w:pPr>
      <w:rPr>
        <w:rFonts w:ascii="Wingdings" w:hAnsi="Wingdings" w:hint="default"/>
      </w:rPr>
    </w:lvl>
  </w:abstractNum>
  <w:abstractNum w:abstractNumId="16">
    <w:multiLevelType w:val="hybridMultilevel"/>
    <w:lvl w:ilvl="0" w:tentative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multiLevelType w:val="hybridMultilevel"/>
    <w:lvl w:ilvl="0" w:tentative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multiLevelType w:val="hybridMultilevel"/>
    <w:lvl w:ilvl="0" w:tentative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 w:tentative="0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 w:tentative="0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multiLevelType w:val="hybridMultilevel"/>
    <w:lvl w:ilvl="0" w:tentative="0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  <w:lang w:bidi="ar-SA"/>
      </w:rPr>
    </w:lvl>
    <w:lvl w:ilvl="1" w:tentative="1">
      <w:start w:val="1"/>
      <w:numFmt w:val="bullet"/>
      <w:lvlText w:val="o"/>
      <w:lvlJc w:val="left"/>
      <w:pPr>
        <w:ind w:left="1797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57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17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5">
    <w:multiLevelType w:val="hybridMultilevel"/>
    <w:lvl w:ilvl="0" w:tentative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multiLevelType w:val="hybridMultilevel"/>
    <w:lvl w:ilvl="0" w:tentative="0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 w:tentative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 w:tentative="0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 w:tentative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 w:tentative="0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multiLevelType w:val="hybridMultilevel"/>
    <w:lvl w:ilvl="0" w:tentative="0">
      <w:start w:val="1"/>
      <w:numFmt w:val="arabicAbjad"/>
      <w:lvlText w:val="%1."/>
      <w:lvlJc w:val="righ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multiLevelType w:val="hybridMultilevel"/>
    <w:lvl w:ilvl="0" w:tentative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>
    <w:multiLevelType w:val="hybridMultilevel"/>
    <w:lvl w:ilvl="0" w:tentative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0"/>
  </w:num>
  <w:num w:numId="3">
    <w:abstractNumId w:val="25"/>
  </w:num>
  <w:num w:numId="4">
    <w:abstractNumId w:val="12"/>
  </w:num>
  <w:num w:numId="5">
    <w:abstractNumId w:val="9"/>
  </w:num>
  <w:num w:numId="6">
    <w:abstractNumId w:val="26"/>
  </w:num>
  <w:num w:numId="7">
    <w:abstractNumId w:val="8"/>
  </w:num>
  <w:num w:numId="8">
    <w:abstractNumId w:val="40"/>
  </w:num>
  <w:num w:numId="9">
    <w:abstractNumId w:val="16"/>
  </w:num>
  <w:num w:numId="10">
    <w:abstractNumId w:val="5"/>
  </w:num>
  <w:num w:numId="11">
    <w:abstractNumId w:val="15"/>
  </w:num>
  <w:num w:numId="12">
    <w:abstractNumId w:val="23"/>
  </w:num>
  <w:num w:numId="13">
    <w:abstractNumId w:val="35"/>
  </w:num>
  <w:num w:numId="14">
    <w:abstractNumId w:val="14"/>
  </w:num>
  <w:num w:numId="15">
    <w:abstractNumId w:val="10"/>
  </w:num>
  <w:num w:numId="16">
    <w:abstractNumId w:val="2"/>
  </w:num>
  <w:num w:numId="17">
    <w:abstractNumId w:val="18"/>
  </w:num>
  <w:num w:numId="18">
    <w:abstractNumId w:val="21"/>
  </w:num>
  <w:num w:numId="19">
    <w:abstractNumId w:val="46"/>
  </w:num>
  <w:num w:numId="20">
    <w:abstractNumId w:val="43"/>
  </w:num>
  <w:num w:numId="21">
    <w:abstractNumId w:val="7"/>
  </w:num>
  <w:num w:numId="22">
    <w:abstractNumId w:val="28"/>
  </w:num>
  <w:num w:numId="23">
    <w:abstractNumId w:val="31"/>
  </w:num>
  <w:num w:numId="24">
    <w:abstractNumId w:val="6"/>
  </w:num>
  <w:num w:numId="25">
    <w:abstractNumId w:val="45"/>
  </w:num>
  <w:num w:numId="26">
    <w:abstractNumId w:val="24"/>
  </w:num>
  <w:num w:numId="27">
    <w:abstractNumId w:val="1"/>
  </w:num>
  <w:num w:numId="28">
    <w:abstractNumId w:val="47"/>
  </w:num>
  <w:num w:numId="29">
    <w:abstractNumId w:val="17"/>
  </w:num>
  <w:num w:numId="30">
    <w:abstractNumId w:val="29"/>
  </w:num>
  <w:num w:numId="31">
    <w:abstractNumId w:val="13"/>
  </w:num>
  <w:num w:numId="32">
    <w:abstractNumId w:val="4"/>
  </w:num>
  <w:num w:numId="33">
    <w:abstractNumId w:val="36"/>
  </w:num>
  <w:num w:numId="34">
    <w:abstractNumId w:val="49"/>
  </w:num>
  <w:num w:numId="35">
    <w:abstractNumId w:val="32"/>
  </w:num>
  <w:num w:numId="36">
    <w:abstractNumId w:val="22"/>
  </w:num>
  <w:num w:numId="37">
    <w:abstractNumId w:val="48"/>
  </w:num>
  <w:num w:numId="38">
    <w:abstractNumId w:val="3"/>
  </w:num>
  <w:num w:numId="39">
    <w:abstractNumId w:val="33"/>
  </w:num>
  <w:num w:numId="40">
    <w:abstractNumId w:val="41"/>
  </w:num>
  <w:num w:numId="41">
    <w:abstractNumId w:val="39"/>
  </w:num>
  <w:num w:numId="42">
    <w:abstractNumId w:val="19"/>
  </w:num>
  <w:num w:numId="43">
    <w:abstractNumId w:val="27"/>
  </w:num>
  <w:num w:numId="44">
    <w:abstractNumId w:val="37"/>
  </w:num>
  <w:num w:numId="45">
    <w:abstractNumId w:val="11"/>
  </w:num>
  <w:num w:numId="46">
    <w:abstractNumId w:val="38"/>
  </w:num>
  <w:num w:numId="47">
    <w:abstractNumId w:val="44"/>
  </w:num>
  <w:num w:numId="48">
    <w:abstractNumId w:val="20"/>
  </w:num>
  <w:num w:numId="49">
    <w:abstractNumId w:val="34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851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E4C"/>
    <w:rsid w:val="000016B3"/>
    <w:rsid w:val="00020F86"/>
    <w:rsid w:val="000213EE"/>
    <w:rsid w:val="00024974"/>
    <w:rsid w:val="00026061"/>
    <w:rsid w:val="00035C90"/>
    <w:rsid w:val="00045688"/>
    <w:rsid w:val="00052444"/>
    <w:rsid w:val="00056F1C"/>
    <w:rsid w:val="00067776"/>
    <w:rsid w:val="00082AC4"/>
    <w:rsid w:val="00087CD5"/>
    <w:rsid w:val="0009335E"/>
    <w:rsid w:val="000B0AA9"/>
    <w:rsid w:val="000C5823"/>
    <w:rsid w:val="000D0946"/>
    <w:rsid w:val="000E3C2E"/>
    <w:rsid w:val="000E55AB"/>
    <w:rsid w:val="000E6B44"/>
    <w:rsid w:val="000F1CCC"/>
    <w:rsid w:val="000F5430"/>
    <w:rsid w:val="00101381"/>
    <w:rsid w:val="001069CC"/>
    <w:rsid w:val="00114836"/>
    <w:rsid w:val="00117DA1"/>
    <w:rsid w:val="001321FE"/>
    <w:rsid w:val="001524AD"/>
    <w:rsid w:val="00165A32"/>
    <w:rsid w:val="001718FA"/>
    <w:rsid w:val="001753AF"/>
    <w:rsid w:val="00191945"/>
    <w:rsid w:val="00192C9A"/>
    <w:rsid w:val="00194C11"/>
    <w:rsid w:val="001B2678"/>
    <w:rsid w:val="001B351E"/>
    <w:rsid w:val="001D16C2"/>
    <w:rsid w:val="001E0431"/>
    <w:rsid w:val="001E0D18"/>
    <w:rsid w:val="001E33EF"/>
    <w:rsid w:val="001F2E0A"/>
    <w:rsid w:val="002055A0"/>
    <w:rsid w:val="002067D2"/>
    <w:rsid w:val="00213AAC"/>
    <w:rsid w:val="002214DE"/>
    <w:rsid w:val="00224360"/>
    <w:rsid w:val="00227A09"/>
    <w:rsid w:val="00231062"/>
    <w:rsid w:val="00235201"/>
    <w:rsid w:val="002445DD"/>
    <w:rsid w:val="002512A8"/>
    <w:rsid w:val="002561DF"/>
    <w:rsid w:val="00270A5C"/>
    <w:rsid w:val="00272C2D"/>
    <w:rsid w:val="002822C9"/>
    <w:rsid w:val="002835A7"/>
    <w:rsid w:val="002B5507"/>
    <w:rsid w:val="002B7FFC"/>
    <w:rsid w:val="002C35C1"/>
    <w:rsid w:val="002D790A"/>
    <w:rsid w:val="002E2F7B"/>
    <w:rsid w:val="002F1A25"/>
    <w:rsid w:val="002F2B3F"/>
    <w:rsid w:val="002F4F4D"/>
    <w:rsid w:val="002F68BF"/>
    <w:rsid w:val="003034E3"/>
    <w:rsid w:val="003158DC"/>
    <w:rsid w:val="00315EF8"/>
    <w:rsid w:val="003243EE"/>
    <w:rsid w:val="00332DE2"/>
    <w:rsid w:val="00340188"/>
    <w:rsid w:val="00345187"/>
    <w:rsid w:val="003536EF"/>
    <w:rsid w:val="00354034"/>
    <w:rsid w:val="0036230D"/>
    <w:rsid w:val="00364B64"/>
    <w:rsid w:val="00373E9A"/>
    <w:rsid w:val="00386208"/>
    <w:rsid w:val="00391E05"/>
    <w:rsid w:val="003C28C3"/>
    <w:rsid w:val="003D0545"/>
    <w:rsid w:val="003D3AE4"/>
    <w:rsid w:val="003D49B2"/>
    <w:rsid w:val="003D7A4C"/>
    <w:rsid w:val="003D7E56"/>
    <w:rsid w:val="003F5B9B"/>
    <w:rsid w:val="004029EA"/>
    <w:rsid w:val="004046DF"/>
    <w:rsid w:val="00404D29"/>
    <w:rsid w:val="00415697"/>
    <w:rsid w:val="00425904"/>
    <w:rsid w:val="00446284"/>
    <w:rsid w:val="00452D2D"/>
    <w:rsid w:val="004626BE"/>
    <w:rsid w:val="00470A55"/>
    <w:rsid w:val="00471078"/>
    <w:rsid w:val="00490956"/>
    <w:rsid w:val="004A1ADE"/>
    <w:rsid w:val="004B575B"/>
    <w:rsid w:val="004B6A69"/>
    <w:rsid w:val="004C1D9B"/>
    <w:rsid w:val="004D4DDB"/>
    <w:rsid w:val="004D52E9"/>
    <w:rsid w:val="004D5B21"/>
    <w:rsid w:val="004E66D7"/>
    <w:rsid w:val="00503B2E"/>
    <w:rsid w:val="00505BD6"/>
    <w:rsid w:val="00510E02"/>
    <w:rsid w:val="00511284"/>
    <w:rsid w:val="00516217"/>
    <w:rsid w:val="005251F4"/>
    <w:rsid w:val="0052764A"/>
    <w:rsid w:val="00530C88"/>
    <w:rsid w:val="005356E8"/>
    <w:rsid w:val="0053718F"/>
    <w:rsid w:val="00566460"/>
    <w:rsid w:val="00592B86"/>
    <w:rsid w:val="00596810"/>
    <w:rsid w:val="00597BFB"/>
    <w:rsid w:val="005D7D97"/>
    <w:rsid w:val="005E132A"/>
    <w:rsid w:val="005E5817"/>
    <w:rsid w:val="00606DFD"/>
    <w:rsid w:val="00612B57"/>
    <w:rsid w:val="006621F5"/>
    <w:rsid w:val="00662374"/>
    <w:rsid w:val="006955B7"/>
    <w:rsid w:val="006C56F7"/>
    <w:rsid w:val="006C6553"/>
    <w:rsid w:val="006D28CC"/>
    <w:rsid w:val="006D676E"/>
    <w:rsid w:val="006E133F"/>
    <w:rsid w:val="006E7DB7"/>
    <w:rsid w:val="00712AC4"/>
    <w:rsid w:val="00713DDD"/>
    <w:rsid w:val="00723607"/>
    <w:rsid w:val="0073625A"/>
    <w:rsid w:val="00740B92"/>
    <w:rsid w:val="007454BB"/>
    <w:rsid w:val="007462EA"/>
    <w:rsid w:val="00755373"/>
    <w:rsid w:val="00761DC1"/>
    <w:rsid w:val="0076680C"/>
    <w:rsid w:val="00770FC1"/>
    <w:rsid w:val="00773F7B"/>
    <w:rsid w:val="00787350"/>
    <w:rsid w:val="007A03CE"/>
    <w:rsid w:val="007B44A6"/>
    <w:rsid w:val="007C1DFE"/>
    <w:rsid w:val="007D06B6"/>
    <w:rsid w:val="007D44B8"/>
    <w:rsid w:val="007E14CD"/>
    <w:rsid w:val="007F17DB"/>
    <w:rsid w:val="007F7B95"/>
    <w:rsid w:val="008026C6"/>
    <w:rsid w:val="008027F5"/>
    <w:rsid w:val="00805333"/>
    <w:rsid w:val="008065D3"/>
    <w:rsid w:val="008269F5"/>
    <w:rsid w:val="0084698A"/>
    <w:rsid w:val="00847255"/>
    <w:rsid w:val="0085164F"/>
    <w:rsid w:val="00852AA2"/>
    <w:rsid w:val="00861CB7"/>
    <w:rsid w:val="00862A1D"/>
    <w:rsid w:val="00894C30"/>
    <w:rsid w:val="008A2786"/>
    <w:rsid w:val="008B0CAC"/>
    <w:rsid w:val="008D44BC"/>
    <w:rsid w:val="008F09E4"/>
    <w:rsid w:val="00920B46"/>
    <w:rsid w:val="00932180"/>
    <w:rsid w:val="00934699"/>
    <w:rsid w:val="009C1C65"/>
    <w:rsid w:val="009C7DB3"/>
    <w:rsid w:val="009D0760"/>
    <w:rsid w:val="009D1E73"/>
    <w:rsid w:val="009E55D9"/>
    <w:rsid w:val="009E600C"/>
    <w:rsid w:val="00A046CB"/>
    <w:rsid w:val="00A136CE"/>
    <w:rsid w:val="00A21115"/>
    <w:rsid w:val="00A4503E"/>
    <w:rsid w:val="00A63A52"/>
    <w:rsid w:val="00A773A4"/>
    <w:rsid w:val="00A9721F"/>
    <w:rsid w:val="00AC0E3E"/>
    <w:rsid w:val="00AD6D09"/>
    <w:rsid w:val="00AD716E"/>
    <w:rsid w:val="00AE4FD4"/>
    <w:rsid w:val="00AE5D8D"/>
    <w:rsid w:val="00B03D42"/>
    <w:rsid w:val="00B14AD1"/>
    <w:rsid w:val="00B22E32"/>
    <w:rsid w:val="00B32AD5"/>
    <w:rsid w:val="00B7173E"/>
    <w:rsid w:val="00B75538"/>
    <w:rsid w:val="00B865B0"/>
    <w:rsid w:val="00B976F7"/>
    <w:rsid w:val="00BA4487"/>
    <w:rsid w:val="00BB3CB0"/>
    <w:rsid w:val="00BB76E4"/>
    <w:rsid w:val="00BB7DB0"/>
    <w:rsid w:val="00BC5F77"/>
    <w:rsid w:val="00BD62E6"/>
    <w:rsid w:val="00BE166C"/>
    <w:rsid w:val="00BE7E99"/>
    <w:rsid w:val="00BF4FDA"/>
    <w:rsid w:val="00C00DC1"/>
    <w:rsid w:val="00C251D2"/>
    <w:rsid w:val="00C41BC3"/>
    <w:rsid w:val="00C4762F"/>
    <w:rsid w:val="00C57F17"/>
    <w:rsid w:val="00C57FE8"/>
    <w:rsid w:val="00C73194"/>
    <w:rsid w:val="00C82B68"/>
    <w:rsid w:val="00C86742"/>
    <w:rsid w:val="00CA40E5"/>
    <w:rsid w:val="00CB03B8"/>
    <w:rsid w:val="00CB5E4C"/>
    <w:rsid w:val="00CB6CC5"/>
    <w:rsid w:val="00CD3915"/>
    <w:rsid w:val="00CD7B8C"/>
    <w:rsid w:val="00CE6516"/>
    <w:rsid w:val="00CE6BC1"/>
    <w:rsid w:val="00CF1035"/>
    <w:rsid w:val="00CF10AC"/>
    <w:rsid w:val="00CF352E"/>
    <w:rsid w:val="00CF5FD3"/>
    <w:rsid w:val="00D14ED0"/>
    <w:rsid w:val="00D2637B"/>
    <w:rsid w:val="00D44BA5"/>
    <w:rsid w:val="00D45D8B"/>
    <w:rsid w:val="00D47862"/>
    <w:rsid w:val="00D521DD"/>
    <w:rsid w:val="00D528DB"/>
    <w:rsid w:val="00D54E71"/>
    <w:rsid w:val="00D67AE8"/>
    <w:rsid w:val="00D702E2"/>
    <w:rsid w:val="00D727A2"/>
    <w:rsid w:val="00E24C22"/>
    <w:rsid w:val="00E461BD"/>
    <w:rsid w:val="00E532A7"/>
    <w:rsid w:val="00E62DA0"/>
    <w:rsid w:val="00E72547"/>
    <w:rsid w:val="00E809B2"/>
    <w:rsid w:val="00E85E6F"/>
    <w:rsid w:val="00EA0020"/>
    <w:rsid w:val="00EB0901"/>
    <w:rsid w:val="00EC0DF9"/>
    <w:rsid w:val="00EF004B"/>
    <w:rsid w:val="00EF44BA"/>
    <w:rsid w:val="00F06B95"/>
    <w:rsid w:val="00F264B0"/>
    <w:rsid w:val="00F27AD0"/>
    <w:rsid w:val="00F36426"/>
    <w:rsid w:val="00F42FD2"/>
    <w:rsid w:val="00F4671C"/>
    <w:rsid w:val="00F50967"/>
    <w:rsid w:val="00F56285"/>
    <w:rsid w:val="00F56EEB"/>
    <w:rsid w:val="00F60A04"/>
    <w:rsid w:val="00F7422C"/>
    <w:rsid w:val="00F76F1C"/>
    <w:rsid w:val="00F77704"/>
    <w:rsid w:val="00F809EA"/>
    <w:rsid w:val="00FC0143"/>
    <w:rsid w:val="00FC2CCA"/>
    <w:rsid w:val="00FD79DC"/>
    <w:rsid w:val="00FE60BA"/>
    <w:rsid w:val="00FF41CF"/>
    <w:rsid w:val="00FF697D"/>
    <w:rsid w:val="00FF7A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A194676-2C52-4AA4-A167-63004F8B4DE4}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fr-FR" w:bidi="ar-SA" w:eastAsia="en-US"/>
      </w:rPr>
    </w:rPrDefault>
    <w:pPrDefault>
      <w:pPr>
        <w:jc w:val="right"/>
      </w:pPr>
    </w:pPrDefault>
  </w:docDefaults>
  <w:style w:type="character" w:customStyle="1" w:styleId="Heading1Char">
    <w:name w:val="Heading 1 Char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f81bd" w:themeColor="accent1"/>
    </w:rPr>
  </w:style>
  <w:style w:type="character" w:customStyle="1" w:styleId="FootnoteTextChar">
    <w:name w:val="Footnote Text Char"/>
    <w:uiPriority w:val="99"/>
    <w:semiHidden w:val="on"/>
    <w:rPr>
      <w:sz w:val="20"/>
      <w:szCs w:val="20"/>
    </w:rPr>
  </w:style>
  <w:style w:type="character" w:customStyle="1" w:styleId="EndnoteTextChar">
    <w:name w:val="Endnote Text Char"/>
    <w:uiPriority w:val="99"/>
    <w:semiHidden w:val="on"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default="1" w:styleId="Normal">
    <w:name w:val="Normal"/>
    <w:uiPriority w:val="99"/>
    <w:qFormat w:val="on"/>
  </w:style>
  <w:style w:type="paragraph" w:styleId="Heading1">
    <w:name w:val="Heading 1"/>
    <w:basedOn w:val="Normal"/>
    <w:next w:val="Normal"/>
    <w:link w:val="Titre1Car"/>
    <w:uiPriority w:val="9"/>
    <w:qFormat w:val="on"/>
    <w:pPr>
      <w:keepNext w:val="on"/>
      <w:keepLines w:val="on"/>
      <w:spacing w:before="48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itre2Car"/>
    <w:uiPriority w:val="9"/>
    <w:semiHidden w:val="on"/>
    <w:unhideWhenUsed w:val="on"/>
    <w:qFormat w:val="on"/>
    <w:unhideWhenUsed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Titre3Car"/>
    <w:uiPriority w:val="9"/>
    <w:semiHidden w:val="on"/>
    <w:unhideWhenUsed w:val="on"/>
    <w:qFormat w:val="on"/>
    <w:unhideWhenUsed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Titre4Car"/>
    <w:uiPriority w:val="9"/>
    <w:semiHidden w:val="on"/>
    <w:unhideWhenUsed w:val="on"/>
    <w:qFormat w:val="on"/>
    <w:unhideWhenUsed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Titre5Car"/>
    <w:uiPriority w:val="9"/>
    <w:semiHidden w:val="on"/>
    <w:unhideWhenUsed w:val="on"/>
    <w:qFormat w:val="on"/>
    <w:unhideWhenUsed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Titre6Car"/>
    <w:uiPriority w:val="9"/>
    <w:semiHidden w:val="on"/>
    <w:unhideWhenUsed w:val="on"/>
    <w:qFormat w:val="on"/>
    <w:unhideWhenUsed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Titre7Car"/>
    <w:uiPriority w:val="9"/>
    <w:semiHidden w:val="on"/>
    <w:unhideWhenUsed w:val="on"/>
    <w:qFormat w:val="on"/>
    <w:unhideWhenUsed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Titre8Car"/>
    <w:uiPriority w:val="9"/>
    <w:semiHidden w:val="on"/>
    <w:unhideWhenUsed w:val="on"/>
    <w:qFormat w:val="on"/>
    <w:unhideWhenUsed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Titre9Car"/>
    <w:uiPriority w:val="9"/>
    <w:semiHidden w:val="on"/>
    <w:unhideWhenUsed w:val="on"/>
    <w:qFormat w:val="on"/>
    <w:unhideWhenUsed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  <w:unhideWhenUsed w:val="on"/>
  </w:style>
  <w:style w:type="table" w:default="1" w:styleId="NormalTable">
    <w:name w:val="Normal Table"/>
    <w:uiPriority w:val="99"/>
    <w:semiHidden w:val="on"/>
    <w:unhideWhenUsed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  <w:unhideWhenUsed w:val="on"/>
  </w:style>
  <w:style w:type="character" w:customStyle="1" w:styleId="Titre1Car">
    <w:name w:val="Titre 1 C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Titre2Car">
    <w:name w:val="Titre 2 C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Titre4Car">
    <w:name w:val="Titre 4 C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Titre5Car">
    <w:name w:val="Titre 5 Car"/>
    <w:basedOn w:val="DefaultParagraphFont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Titre6Car">
    <w:name w:val="Titre 6 C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Titre7Car">
    <w:name w:val="Titre 7 C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Titre8Car">
    <w:name w:val="Titre 8 C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Titre9Car">
    <w:name w:val="Titre 9 C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reCar"/>
    <w:uiPriority w:val="10"/>
    <w:qFormat w:val="on"/>
    <w:pPr>
      <w:pBdr>
        <w:bottom w:val="single" w:color="4f81bd" w:themeColor="accent1" w:sz="8" w:space="4"/>
      </w:pBdr>
      <w:spacing w:after="300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reCar">
    <w:name w:val="Titre Car"/>
    <w:basedOn w:val="DefaultParagraphFont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ous-titreCar"/>
    <w:uiPriority w:val="11"/>
    <w:qFormat w:val="on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f81bd" w:themeColor="accent1"/>
    </w:rPr>
  </w:style>
  <w:style w:type="paragraph" w:styleId="Quote">
    <w:name w:val="Quote"/>
    <w:basedOn w:val="Normal"/>
    <w:next w:val="Normal"/>
    <w:link w:val="CitationCar"/>
    <w:uiPriority w:val="29"/>
    <w:qFormat w:val="on"/>
    <w:rPr>
      <w:i/>
      <w:iCs/>
      <w:color w:val="000000" w:themeColor="text1"/>
    </w:rPr>
  </w:style>
  <w:style w:type="character" w:customStyle="1" w:styleId="CitationCar">
    <w:name w:val="Citation C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CitationintenseC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Endnotetext">
    <w:name w:val="Endnote text"/>
    <w:basedOn w:val="Normal"/>
    <w:link w:val="NotedefinCar"/>
    <w:uiPriority w:val="99"/>
    <w:semiHidden w:val="on"/>
    <w:unhideWhenUsed w:val="on"/>
    <w:unhideWhenUsed w:val="on"/>
    <w:rPr>
      <w:sz w:val="20"/>
      <w:szCs w:val="20"/>
    </w:rPr>
  </w:style>
  <w:style w:type="character" w:customStyle="1" w:styleId="NotedefinCar">
    <w:name w:val="Note de fin C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paragraph" w:styleId="PlainText">
    <w:name w:val="Plain Text"/>
    <w:basedOn w:val="Normal"/>
    <w:link w:val="TextebrutCar"/>
    <w:uiPriority w:val="99"/>
    <w:semiHidden w:val="on"/>
    <w:unhideWhenUsed w:val="on"/>
    <w:unhideWhenUsed w:val="on"/>
    <w:rPr>
      <w:rFonts w:ascii="Courier New" w:cs="Courier New" w:hAnsi="Courier New"/>
      <w:sz w:val="21"/>
      <w:szCs w:val="21"/>
    </w:rPr>
  </w:style>
  <w:style w:type="character" w:customStyle="1" w:styleId="TextebrutCar">
    <w:name w:val="Texte brut C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En-têteCar"/>
    <w:uiPriority w:val="99"/>
    <w:unhideWhenUsed w:val="on"/>
    <w:unhideWhenUsed w:val="on"/>
    <w:pPr>
      <w:tabs>
        <w:tab w:val="center" w:pos="4536"/>
        <w:tab w:val="right" w:pos="9072"/>
      </w:tabs>
    </w:pPr>
  </w:style>
  <w:style w:type="character" w:customStyle="1" w:styleId="En-têteCar">
    <w:name w:val="En-tête Car"/>
    <w:basedOn w:val="DefaultParagraphFont"/>
    <w:link w:val="Header"/>
    <w:uiPriority w:val="99"/>
  </w:style>
  <w:style w:type="paragraph" w:styleId="Footer">
    <w:name w:val="Footer"/>
    <w:basedOn w:val="Normal"/>
    <w:link w:val="PieddepageCar"/>
    <w:uiPriority w:val="99"/>
    <w:unhideWhenUsed w:val="on"/>
    <w:unhideWhenUsed w:val="on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DefaultParagraphFont"/>
    <w:link w:val="Footer"/>
    <w:uiPriority w:val="99"/>
  </w:style>
  <w:style w:type="paragraph" w:styleId="BalloonText">
    <w:name w:val="Balloon Text"/>
    <w:basedOn w:val="Normal"/>
    <w:link w:val="TextedebullesCar"/>
    <w:uiPriority w:val="99"/>
    <w:semiHidden w:val="on"/>
    <w:unhideWhenUsed w:val="on"/>
    <w:unhideWhenUsed w:val="on"/>
    <w:rPr>
      <w:rFonts w:ascii="Tahoma" w:cs="Tahoma" w:hAnsi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 w:val="on"/>
    <w:rPr>
      <w:rFonts w:ascii="Tahoma" w:cs="Tahoma" w:hAnsi="Tahoma"/>
      <w:sz w:val="16"/>
      <w:szCs w:val="16"/>
    </w:rPr>
  </w:style>
  <w:style w:type="paragraph" w:styleId="NoSpacing">
    <w:name w:val="No Spacing"/>
    <w:link w:val="SansinterligneCar"/>
    <w:uiPriority w:val="1"/>
    <w:qFormat w:val="on"/>
    <w:pPr>
      <w:jc w:val="left"/>
    </w:pPr>
    <w:rPr>
      <w:rFonts w:eastAsiaTheme="minorEastAsia"/>
    </w:rPr>
  </w:style>
  <w:style w:type="character" w:customStyle="1" w:styleId="SansinterligneCar">
    <w:name w:val="Sans interligne Car"/>
    <w:basedOn w:val="DefaultParagraphFont"/>
    <w:link w:val="NoSpacing"/>
    <w:uiPriority w:val="1"/>
    <w:rPr>
      <w:rFonts w:eastAsiaTheme="minorEastAsia"/>
    </w:rPr>
  </w:style>
  <w:style w:type="paragraph" w:styleId="Footnotetext">
    <w:name w:val="Footnote text"/>
    <w:basedOn w:val="Normal"/>
    <w:link w:val="NotedebasdepageCar"/>
    <w:uiPriority w:val="99"/>
    <w:semiHidden w:val="on"/>
    <w:unhideWhenUsed w:val="on"/>
    <w:unhideWhenUsed w:val="on"/>
    <w:rPr>
      <w:sz w:val="20"/>
      <w:szCs w:val="20"/>
    </w:rPr>
  </w:style>
  <w:style w:type="character" w:customStyle="1" w:styleId="NotedebasdepageCar">
    <w:name w:val="Note de bas de page C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character" w:styleId="Annotationreference">
    <w:name w:val="Annotation reference"/>
    <w:basedOn w:val="DefaultParagraphFont"/>
    <w:uiPriority w:val="99"/>
    <w:semiHidden w:val="on"/>
    <w:unhideWhenUsed w:val="on"/>
    <w:unhideWhenUsed w:val="on"/>
    <w:rPr>
      <w:sz w:val="16"/>
      <w:szCs w:val="16"/>
    </w:rPr>
  </w:style>
  <w:style w:type="paragraph" w:styleId="Annotationtext">
    <w:name w:val="Annotation text"/>
    <w:basedOn w:val="Normal"/>
    <w:link w:val="CommentaireCar"/>
    <w:uiPriority w:val="99"/>
    <w:semiHidden w:val="on"/>
    <w:unhideWhenUsed w:val="on"/>
    <w:unhideWhenUsed w:val="on"/>
    <w:rPr>
      <w:sz w:val="20"/>
      <w:szCs w:val="20"/>
    </w:rPr>
  </w:style>
  <w:style w:type="character" w:customStyle="1" w:styleId="CommentaireCar">
    <w:name w:val="Commentaire Car"/>
    <w:basedOn w:val="DefaultParagraphFont"/>
    <w:link w:val="Annotationtext"/>
    <w:uiPriority w:val="99"/>
    <w:semiHidden w:val="on"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ObjetducommentaireCar"/>
    <w:uiPriority w:val="99"/>
    <w:semiHidden w:val="on"/>
    <w:unhideWhenUsed w:val="on"/>
    <w:unhideWhenUsed w:val="on"/>
    <w:rPr>
      <w:b/>
      <w:bCs/>
    </w:rPr>
  </w:style>
  <w:style w:type="character" w:customStyle="1" w:styleId="ObjetducommentaireCar">
    <w:name w:val="Objet du commentaire Car"/>
    <w:basedOn w:val="CommentaireCar"/>
    <w:link w:val="Annotationsubject"/>
    <w:uiPriority w:val="99"/>
    <w:semiHidden w:val="on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table" w:styleId="TableGrid">
    <w:name w:val="Table Grid"/>
    <w:basedOn w:val="NormalTable"/>
    <w:uiPriority w:val="59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(Web)">
    <w:name w:val="Normal (Web)"/>
    <w:basedOn w:val="Normal"/>
    <w:uiPriority w:val="99"/>
    <w:unhideWhenUsed w:val="on"/>
    <w:unhideWhenUsed w:val="on"/>
    <w:pPr>
      <w:spacing w:before="100" w:after="100"/>
      <w:jc w:val="left"/>
    </w:pPr>
    <w:rPr>
      <w:rFonts w:ascii="Times New Roman" w:cs="Times New Roman" w:eastAsia="Times New Roman" w:hAnsi="Times New Roman"/>
      <w:sz w:val="24"/>
      <w:szCs w:val="24"/>
      <w:lang w:eastAsia="fr-FR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character" w:styleId="Hyperlink">
    <w:name w:val="Hyperlink"/>
    <w:basedOn w:val="DefaultParagraphFont"/>
    <w:uiPriority w:val="99"/>
    <w:unhideWhenUsed w:val="on"/>
    <w:unhideWhenUsed w:val="on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2" Type="http://schemas.openxmlformats.org/officeDocument/2006/relationships/image" Target="media/image2.png"/><Relationship Id="rId13" Type="http://schemas.openxmlformats.org/officeDocument/2006/relationships/header" Target="header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9" Type="http://schemas.openxmlformats.org/officeDocument/2006/relationships/header" Target="header1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C596F7-5847-4587-876B-1FAC743C7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280</Words>
  <Characters>1545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الفهرس</vt:lpstr>
      <vt:lpstr>قائمة الجداول</vt:lpstr>
    </vt:vector>
  </TitlesOfParts>
  <Company/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الفهرس</dc:title>
  <dc:creator>user</dc:creator>
  <cp:lastModifiedBy>unknown</cp:lastModifiedBy>
</cp:coreProperties>
</file>