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26F5E8" w14:textId="07F2E343" w:rsidR="00C82907" w:rsidRPr="00005629" w:rsidRDefault="00082B62" w:rsidP="00314144">
      <w:pPr>
        <w:pStyle w:val="Sansinterligne"/>
      </w:pPr>
      <w:r>
        <w:t xml:space="preserve">                          </w:t>
      </w:r>
      <w:r w:rsidR="00C82907" w:rsidRPr="00005629">
        <w:t>REPUBLIQUE ALGERIENNE DEMOCRATIQUE ET POPULAIRE</w:t>
      </w:r>
    </w:p>
    <w:p w14:paraId="0DB4A7D1" w14:textId="77777777" w:rsidR="00C82907" w:rsidRPr="00967558" w:rsidRDefault="00C82907" w:rsidP="00C82907">
      <w:pPr>
        <w:jc w:val="center"/>
        <w:rPr>
          <w:b/>
          <w:bCs/>
        </w:rPr>
      </w:pPr>
      <w:r w:rsidRPr="00967558">
        <w:rPr>
          <w:b/>
          <w:bCs/>
        </w:rPr>
        <w:t>MINISTERE DE L’ENSEIGNEMENT SUPERIEUR ET DE LA RECHERCHE SCIENTIFIQUE</w:t>
      </w:r>
    </w:p>
    <w:p w14:paraId="6696AAEE" w14:textId="77777777" w:rsidR="00C82907" w:rsidRPr="003D63DD" w:rsidRDefault="00C82907" w:rsidP="00C82907">
      <w:pPr>
        <w:jc w:val="center"/>
      </w:pPr>
      <w:r w:rsidRPr="00967558">
        <w:rPr>
          <w:b/>
          <w:bCs/>
        </w:rPr>
        <w:t>UNIVERSITE MOHAMED BOUDIAF - M’SILA</w:t>
      </w:r>
    </w:p>
    <w:p w14:paraId="3D285A88" w14:textId="77777777" w:rsidR="00C82907" w:rsidRDefault="00C82907" w:rsidP="00C82907">
      <w:pPr>
        <w:rPr>
          <w:lang w:bidi="ar-DZ"/>
        </w:rPr>
      </w:pPr>
      <w:r w:rsidRPr="00E21BAF">
        <w:rPr>
          <w:noProof/>
          <w:sz w:val="22"/>
          <w:szCs w:val="22"/>
          <w:lang w:eastAsia="fr-FR"/>
        </w:rPr>
        <w:drawing>
          <wp:anchor distT="0" distB="0" distL="114300" distR="114300" simplePos="0" relativeHeight="251662336" behindDoc="1" locked="0" layoutInCell="1" allowOverlap="1" wp14:anchorId="5F3BE4E9" wp14:editId="17C99A5C">
            <wp:simplePos x="0" y="0"/>
            <wp:positionH relativeFrom="page">
              <wp:posOffset>3311542</wp:posOffset>
            </wp:positionH>
            <wp:positionV relativeFrom="paragraph">
              <wp:posOffset>142240</wp:posOffset>
            </wp:positionV>
            <wp:extent cx="1013460" cy="1002030"/>
            <wp:effectExtent l="0" t="0" r="0" b="7620"/>
            <wp:wrapSquare wrapText="bothSides"/>
            <wp:docPr id="4" name="Image 4"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13460" cy="1002030"/>
                    </a:xfrm>
                    <a:prstGeom prst="rect">
                      <a:avLst/>
                    </a:prstGeom>
                    <a:noFill/>
                    <a:ln>
                      <a:noFill/>
                    </a:ln>
                  </pic:spPr>
                </pic:pic>
              </a:graphicData>
            </a:graphic>
          </wp:anchor>
        </w:drawing>
      </w:r>
      <w:r>
        <w:rPr>
          <w:noProof/>
          <w:lang w:eastAsia="fr-FR"/>
        </w:rPr>
        <mc:AlternateContent>
          <mc:Choice Requires="wps">
            <w:drawing>
              <wp:anchor distT="0" distB="0" distL="114300" distR="114300" simplePos="0" relativeHeight="251661312" behindDoc="0" locked="0" layoutInCell="1" allowOverlap="1" wp14:anchorId="2C337B7D" wp14:editId="4E152980">
                <wp:simplePos x="0" y="0"/>
                <wp:positionH relativeFrom="column">
                  <wp:posOffset>3900822</wp:posOffset>
                </wp:positionH>
                <wp:positionV relativeFrom="paragraph">
                  <wp:posOffset>197485</wp:posOffset>
                </wp:positionV>
                <wp:extent cx="3106420" cy="1103630"/>
                <wp:effectExtent l="0" t="0" r="17780" b="2032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06420" cy="1103630"/>
                        </a:xfrm>
                        <a:prstGeom prst="rect">
                          <a:avLst/>
                        </a:prstGeom>
                        <a:noFill/>
                        <a:ln w="9525" algn="ctr">
                          <a:solidFill>
                            <a:srgbClr val="FFFFFF"/>
                          </a:solidFill>
                          <a:miter lim="800000"/>
                          <a:headEnd/>
                          <a:tailEnd/>
                        </a:ln>
                        <a:effectLst/>
                      </wps:spPr>
                      <wps:txbx>
                        <w:txbxContent>
                          <w:p w14:paraId="39B6B73C" w14:textId="77777777" w:rsidR="009C03B5" w:rsidRPr="008C2B6B" w:rsidRDefault="009C03B5" w:rsidP="00C82907">
                            <w:pPr>
                              <w:rPr>
                                <w:b/>
                                <w:bCs/>
                                <w:caps/>
                                <w:sz w:val="18"/>
                                <w:szCs w:val="18"/>
                              </w:rPr>
                            </w:pPr>
                            <w:r w:rsidRPr="008C2B6B">
                              <w:rPr>
                                <w:b/>
                                <w:bCs/>
                                <w:sz w:val="18"/>
                                <w:szCs w:val="18"/>
                              </w:rPr>
                              <w:t xml:space="preserve">DOMAINE : </w:t>
                            </w:r>
                            <w:r w:rsidRPr="008C2B6B">
                              <w:rPr>
                                <w:b/>
                                <w:bCs/>
                                <w:sz w:val="18"/>
                                <w:szCs w:val="18"/>
                                <w:lang w:eastAsia="fr-FR"/>
                              </w:rPr>
                              <w:t>SCINCES DE LA NATURE ET DE LA VIE</w:t>
                            </w:r>
                          </w:p>
                          <w:p w14:paraId="31A03B66" w14:textId="77777777" w:rsidR="009C03B5" w:rsidRPr="00CF7BF1" w:rsidRDefault="009C03B5" w:rsidP="00C82907">
                            <w:pPr>
                              <w:rPr>
                                <w:b/>
                                <w:bCs/>
                                <w:caps/>
                                <w:sz w:val="18"/>
                                <w:szCs w:val="18"/>
                                <w:lang w:bidi="ar-DZ"/>
                              </w:rPr>
                            </w:pPr>
                            <w:r w:rsidRPr="00CF7BF1">
                              <w:rPr>
                                <w:b/>
                                <w:bCs/>
                                <w:caps/>
                                <w:sz w:val="18"/>
                                <w:szCs w:val="18"/>
                                <w:lang w:bidi="ar-DZ"/>
                              </w:rPr>
                              <w:t>FILIERE : science biologique</w:t>
                            </w:r>
                          </w:p>
                          <w:p w14:paraId="6B1394F7" w14:textId="77777777" w:rsidR="009C03B5" w:rsidRPr="00CF7BF1" w:rsidRDefault="009C03B5" w:rsidP="00C82907">
                            <w:pPr>
                              <w:rPr>
                                <w:b/>
                                <w:bCs/>
                                <w:caps/>
                                <w:sz w:val="18"/>
                                <w:szCs w:val="18"/>
                                <w:lang w:bidi="ar-DZ"/>
                              </w:rPr>
                            </w:pPr>
                            <w:r w:rsidRPr="00CF7BF1">
                              <w:rPr>
                                <w:b/>
                                <w:bCs/>
                                <w:caps/>
                                <w:sz w:val="18"/>
                                <w:szCs w:val="18"/>
                                <w:lang w:bidi="ar-DZ"/>
                              </w:rPr>
                              <w:t>OPTION : biochimie appliquée</w:t>
                            </w:r>
                          </w:p>
                          <w:p w14:paraId="6946AA8F" w14:textId="77777777" w:rsidR="009C03B5" w:rsidRPr="00CF7BF1" w:rsidRDefault="009C03B5" w:rsidP="00C82907">
                            <w:pPr>
                              <w:rPr>
                                <w:b/>
                                <w:bCs/>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07.15pt;margin-top:15.55pt;width:244.6pt;height:86.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" filled="f" strokecolor="white">
                <v:textbox>
                  <w:txbxContent>
                    <w:p w14:paraId="39B6B73C" w14:textId="77777777" w:rsidR="009C03B5" w:rsidRPr="008C2B6B" w:rsidRDefault="009C03B5" w:rsidP="00C82907">
                      <w:pPr>
                        <w:rPr>
                          <w:b/>
                          <w:bCs/>
                          <w:caps/>
                          <w:sz w:val="18"/>
                          <w:szCs w:val="18"/>
                        </w:rPr>
                      </w:pPr>
                      <w:r w:rsidRPr="008C2B6B">
                        <w:rPr>
                          <w:b/>
                          <w:bCs/>
                          <w:sz w:val="18"/>
                          <w:szCs w:val="18"/>
                        </w:rPr>
                        <w:t xml:space="preserve">DOMAINE : </w:t>
                      </w:r>
                      <w:r w:rsidRPr="008C2B6B">
                        <w:rPr>
                          <w:b/>
                          <w:bCs/>
                          <w:sz w:val="18"/>
                          <w:szCs w:val="18"/>
                          <w:lang w:eastAsia="fr-FR"/>
                        </w:rPr>
                        <w:t>SCINCES DE LA NATURE ET DE LA VIE</w:t>
                      </w:r>
                    </w:p>
                    <w:p w14:paraId="31A03B66" w14:textId="77777777" w:rsidR="009C03B5" w:rsidRPr="00CF7BF1" w:rsidRDefault="009C03B5" w:rsidP="00C82907">
                      <w:pPr>
                        <w:rPr>
                          <w:b/>
                          <w:bCs/>
                          <w:caps/>
                          <w:sz w:val="18"/>
                          <w:szCs w:val="18"/>
                          <w:lang w:bidi="ar-DZ"/>
                        </w:rPr>
                      </w:pPr>
                      <w:r w:rsidRPr="00CF7BF1">
                        <w:rPr>
                          <w:b/>
                          <w:bCs/>
                          <w:caps/>
                          <w:sz w:val="18"/>
                          <w:szCs w:val="18"/>
                          <w:lang w:bidi="ar-DZ"/>
                        </w:rPr>
                        <w:t>FILIERE : science biologique</w:t>
                      </w:r>
                    </w:p>
                    <w:p w14:paraId="6B1394F7" w14:textId="77777777" w:rsidR="009C03B5" w:rsidRPr="00CF7BF1" w:rsidRDefault="009C03B5" w:rsidP="00C82907">
                      <w:pPr>
                        <w:rPr>
                          <w:b/>
                          <w:bCs/>
                          <w:caps/>
                          <w:sz w:val="18"/>
                          <w:szCs w:val="18"/>
                          <w:lang w:bidi="ar-DZ"/>
                        </w:rPr>
                      </w:pPr>
                      <w:r w:rsidRPr="00CF7BF1">
                        <w:rPr>
                          <w:b/>
                          <w:bCs/>
                          <w:caps/>
                          <w:sz w:val="18"/>
                          <w:szCs w:val="18"/>
                          <w:lang w:bidi="ar-DZ"/>
                        </w:rPr>
                        <w:t>OPTION : biochimie appliquée</w:t>
                      </w:r>
                    </w:p>
                    <w:p w14:paraId="6946AA8F" w14:textId="77777777" w:rsidR="009C03B5" w:rsidRPr="00CF7BF1" w:rsidRDefault="009C03B5" w:rsidP="00C82907">
                      <w:pPr>
                        <w:rPr>
                          <w:b/>
                          <w:bCs/>
                          <w:sz w:val="18"/>
                          <w:szCs w:val="18"/>
                        </w:rPr>
                      </w:pPr>
                    </w:p>
                  </w:txbxContent>
                </v:textbox>
              </v:shape>
            </w:pict>
          </mc:Fallback>
        </mc:AlternateContent>
      </w:r>
      <w:r>
        <w:rPr>
          <w:noProof/>
          <w:lang w:eastAsia="fr-FR"/>
        </w:rPr>
        <mc:AlternateContent>
          <mc:Choice Requires="wps">
            <w:drawing>
              <wp:anchor distT="0" distB="0" distL="114300" distR="114300" simplePos="0" relativeHeight="251660288" behindDoc="0" locked="0" layoutInCell="1" allowOverlap="1" wp14:anchorId="1CE5EB18" wp14:editId="3B78B828">
                <wp:simplePos x="0" y="0"/>
                <wp:positionH relativeFrom="column">
                  <wp:posOffset>-79993</wp:posOffset>
                </wp:positionH>
                <wp:positionV relativeFrom="paragraph">
                  <wp:posOffset>193675</wp:posOffset>
                </wp:positionV>
                <wp:extent cx="3179445" cy="1103630"/>
                <wp:effectExtent l="0" t="0" r="20955" b="2032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9445" cy="1103630"/>
                        </a:xfrm>
                        <a:prstGeom prst="rect">
                          <a:avLst/>
                        </a:prstGeom>
                        <a:noFill/>
                        <a:ln w="9525">
                          <a:solidFill>
                            <a:srgbClr val="FFFFFF"/>
                          </a:solidFill>
                          <a:miter lim="800000"/>
                          <a:headEnd/>
                          <a:tailEnd/>
                        </a:ln>
                      </wps:spPr>
                      <wps:txbx>
                        <w:txbxContent>
                          <w:p w14:paraId="3A84B542" w14:textId="77777777" w:rsidR="009C03B5" w:rsidRPr="008C2B6B" w:rsidRDefault="009C03B5" w:rsidP="00C82907">
                            <w:pPr>
                              <w:rPr>
                                <w:b/>
                                <w:bCs/>
                                <w:sz w:val="18"/>
                                <w:szCs w:val="18"/>
                              </w:rPr>
                            </w:pPr>
                            <w:r w:rsidRPr="008C2B6B">
                              <w:rPr>
                                <w:b/>
                                <w:bCs/>
                                <w:sz w:val="18"/>
                                <w:szCs w:val="18"/>
                              </w:rPr>
                              <w:t>FACULTE </w:t>
                            </w:r>
                            <w:r w:rsidRPr="008C2B6B">
                              <w:rPr>
                                <w:b/>
                                <w:bCs/>
                                <w:sz w:val="18"/>
                                <w:szCs w:val="18"/>
                                <w:lang w:eastAsia="fr-FR"/>
                              </w:rPr>
                              <w:t>DES SCIENCES</w:t>
                            </w:r>
                          </w:p>
                          <w:p w14:paraId="102A75AD" w14:textId="77777777" w:rsidR="009C03B5" w:rsidRPr="008C2B6B" w:rsidRDefault="009C03B5" w:rsidP="00C82907">
                            <w:pPr>
                              <w:rPr>
                                <w:b/>
                                <w:bCs/>
                                <w:sz w:val="18"/>
                                <w:szCs w:val="18"/>
                              </w:rPr>
                            </w:pPr>
                            <w:r w:rsidRPr="008C2B6B">
                              <w:rPr>
                                <w:b/>
                                <w:bCs/>
                                <w:sz w:val="18"/>
                                <w:szCs w:val="18"/>
                              </w:rPr>
                              <w:t xml:space="preserve">DEPARTEMENT DE MICROBIOLOGIE </w:t>
                            </w:r>
                            <w:r>
                              <w:rPr>
                                <w:b/>
                                <w:bCs/>
                                <w:sz w:val="18"/>
                                <w:szCs w:val="18"/>
                              </w:rPr>
                              <w:t>&amp;</w:t>
                            </w:r>
                            <w:r w:rsidRPr="008C2B6B">
                              <w:rPr>
                                <w:b/>
                                <w:bCs/>
                                <w:sz w:val="18"/>
                                <w:szCs w:val="18"/>
                              </w:rPr>
                              <w:t> BIOCHIMIE</w:t>
                            </w:r>
                          </w:p>
                          <w:p w14:paraId="47F13960" w14:textId="77777777" w:rsidR="009C03B5" w:rsidRPr="00D11F33" w:rsidRDefault="009C03B5" w:rsidP="00C82907">
                            <w:pPr>
                              <w:rPr>
                                <w:b/>
                                <w:bCs/>
                                <w:sz w:val="18"/>
                                <w:szCs w:val="18"/>
                              </w:rPr>
                            </w:pPr>
                            <w:r w:rsidRPr="00D11F33">
                              <w:rPr>
                                <w:b/>
                                <w:bCs/>
                                <w:sz w:val="18"/>
                                <w:szCs w:val="18"/>
                              </w:rPr>
                              <w:t xml:space="preserve">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6.3pt;margin-top:15.25pt;width:250.35pt;height:86.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" filled="f" strokecolor="white">
                <v:textbox>
                  <w:txbxContent>
                    <w:p w14:paraId="3A84B542" w14:textId="77777777" w:rsidR="009C03B5" w:rsidRPr="008C2B6B" w:rsidRDefault="009C03B5" w:rsidP="00C82907">
                      <w:pPr>
                        <w:rPr>
                          <w:b/>
                          <w:bCs/>
                          <w:sz w:val="18"/>
                          <w:szCs w:val="18"/>
                        </w:rPr>
                      </w:pPr>
                      <w:r w:rsidRPr="008C2B6B">
                        <w:rPr>
                          <w:b/>
                          <w:bCs/>
                          <w:sz w:val="18"/>
                          <w:szCs w:val="18"/>
                        </w:rPr>
                        <w:t>FACULTE </w:t>
                      </w:r>
                      <w:r w:rsidRPr="008C2B6B">
                        <w:rPr>
                          <w:b/>
                          <w:bCs/>
                          <w:sz w:val="18"/>
                          <w:szCs w:val="18"/>
                          <w:lang w:eastAsia="fr-FR"/>
                        </w:rPr>
                        <w:t>DES SCIENCES</w:t>
                      </w:r>
                    </w:p>
                    <w:p w14:paraId="102A75AD" w14:textId="77777777" w:rsidR="009C03B5" w:rsidRPr="008C2B6B" w:rsidRDefault="009C03B5" w:rsidP="00C82907">
                      <w:pPr>
                        <w:rPr>
                          <w:b/>
                          <w:bCs/>
                          <w:sz w:val="18"/>
                          <w:szCs w:val="18"/>
                        </w:rPr>
                      </w:pPr>
                      <w:r w:rsidRPr="008C2B6B">
                        <w:rPr>
                          <w:b/>
                          <w:bCs/>
                          <w:sz w:val="18"/>
                          <w:szCs w:val="18"/>
                        </w:rPr>
                        <w:t xml:space="preserve">DEPARTEMENT DE MICROBIOLOGIE </w:t>
                      </w:r>
                      <w:r>
                        <w:rPr>
                          <w:b/>
                          <w:bCs/>
                          <w:sz w:val="18"/>
                          <w:szCs w:val="18"/>
                        </w:rPr>
                        <w:t>&amp;</w:t>
                      </w:r>
                      <w:r w:rsidRPr="008C2B6B">
                        <w:rPr>
                          <w:b/>
                          <w:bCs/>
                          <w:sz w:val="18"/>
                          <w:szCs w:val="18"/>
                        </w:rPr>
                        <w:t> BIOCHIMIE</w:t>
                      </w:r>
                    </w:p>
                    <w:p w14:paraId="47F13960" w14:textId="77777777" w:rsidR="009C03B5" w:rsidRPr="00D11F33" w:rsidRDefault="009C03B5" w:rsidP="00C82907">
                      <w:pPr>
                        <w:rPr>
                          <w:b/>
                          <w:bCs/>
                          <w:sz w:val="18"/>
                          <w:szCs w:val="18"/>
                        </w:rPr>
                      </w:pPr>
                      <w:r w:rsidRPr="00D11F33">
                        <w:rPr>
                          <w:b/>
                          <w:bCs/>
                          <w:sz w:val="18"/>
                          <w:szCs w:val="18"/>
                        </w:rPr>
                        <w:t xml:space="preserve">N°:                                                                                    </w:t>
                      </w:r>
                    </w:p>
                  </w:txbxContent>
                </v:textbox>
              </v:shape>
            </w:pict>
          </mc:Fallback>
        </mc:AlternateContent>
      </w:r>
    </w:p>
    <w:p w14:paraId="5025E6BA" w14:textId="77777777" w:rsidR="00C82907" w:rsidRDefault="00C82907" w:rsidP="00C82907">
      <w:pPr>
        <w:rPr>
          <w:lang w:bidi="ar-DZ"/>
        </w:rPr>
      </w:pPr>
    </w:p>
    <w:p w14:paraId="591146CF" w14:textId="77777777" w:rsidR="00C82907" w:rsidRDefault="00C82907" w:rsidP="00C82907">
      <w:pPr>
        <w:rPr>
          <w:lang w:bidi="ar-DZ"/>
        </w:rPr>
      </w:pPr>
    </w:p>
    <w:p w14:paraId="06D659DB" w14:textId="77777777" w:rsidR="00C82907" w:rsidRDefault="00C82907" w:rsidP="00C82907">
      <w:pPr>
        <w:rPr>
          <w:lang w:bidi="ar-DZ"/>
        </w:rPr>
      </w:pPr>
    </w:p>
    <w:p w14:paraId="42702314" w14:textId="77777777" w:rsidR="001B1B95" w:rsidRDefault="00C82907" w:rsidP="00CD08C6">
      <w:pPr>
        <w:spacing w:line="276" w:lineRule="auto"/>
        <w:jc w:val="center"/>
        <w:rPr>
          <w:rFonts w:cs="Arial"/>
          <w:b/>
          <w:sz w:val="32"/>
          <w:szCs w:val="32"/>
          <w:lang w:bidi="ar-DZ"/>
        </w:rPr>
      </w:pPr>
      <w:r w:rsidRPr="00967558">
        <w:rPr>
          <w:rFonts w:cs="Arial"/>
          <w:b/>
          <w:sz w:val="32"/>
          <w:szCs w:val="32"/>
          <w:lang w:bidi="ar-DZ"/>
        </w:rPr>
        <w:t>Mémoire présenté pour l’obtention</w:t>
      </w:r>
      <w:r w:rsidR="001B1B95">
        <w:rPr>
          <w:rFonts w:cs="Arial"/>
          <w:b/>
          <w:sz w:val="32"/>
          <w:szCs w:val="32"/>
          <w:lang w:bidi="ar-DZ"/>
        </w:rPr>
        <w:t xml:space="preserve"> </w:t>
      </w:r>
    </w:p>
    <w:p w14:paraId="40762707" w14:textId="62FE9BDE" w:rsidR="00C82907" w:rsidRPr="00967558" w:rsidRDefault="00C82907" w:rsidP="00CD08C6">
      <w:pPr>
        <w:spacing w:line="276" w:lineRule="auto"/>
        <w:jc w:val="center"/>
        <w:rPr>
          <w:rFonts w:cs="Arial"/>
          <w:b/>
          <w:sz w:val="32"/>
          <w:szCs w:val="32"/>
          <w:lang w:bidi="ar-DZ"/>
        </w:rPr>
      </w:pPr>
      <w:r w:rsidRPr="00967558">
        <w:rPr>
          <w:rFonts w:cs="Arial"/>
          <w:b/>
          <w:sz w:val="32"/>
          <w:szCs w:val="32"/>
          <w:lang w:bidi="ar-DZ"/>
        </w:rPr>
        <w:t>Du diplôme de Master Académique</w:t>
      </w:r>
    </w:p>
    <w:p w14:paraId="0660A546" w14:textId="77777777" w:rsidR="006D00DB" w:rsidRDefault="00C82907" w:rsidP="006D00DB">
      <w:pPr>
        <w:spacing w:after="0" w:line="240" w:lineRule="auto"/>
        <w:jc w:val="center"/>
        <w:rPr>
          <w:rFonts w:eastAsia="SimSun"/>
          <w:bCs/>
          <w:sz w:val="32"/>
          <w:szCs w:val="32"/>
          <w:lang w:eastAsia="zh-CN"/>
        </w:rPr>
      </w:pPr>
      <w:r w:rsidRPr="003D63DD">
        <w:rPr>
          <w:rFonts w:eastAsia="SimSun"/>
          <w:bCs/>
          <w:sz w:val="32"/>
          <w:szCs w:val="32"/>
          <w:lang w:eastAsia="zh-CN"/>
        </w:rPr>
        <w:t>Par</w:t>
      </w:r>
    </w:p>
    <w:p w14:paraId="1C2E1DF0" w14:textId="77777777" w:rsidR="006D00DB" w:rsidRPr="007178B9" w:rsidRDefault="006D00DB" w:rsidP="006D00DB">
      <w:pPr>
        <w:spacing w:after="0" w:line="240" w:lineRule="auto"/>
        <w:jc w:val="center"/>
        <w:rPr>
          <w:rFonts w:eastAsia="SimSun"/>
          <w:bCs/>
          <w:sz w:val="32"/>
          <w:szCs w:val="32"/>
          <w:lang w:val="en-US" w:eastAsia="zh-CN"/>
        </w:rPr>
      </w:pPr>
      <w:r w:rsidRPr="007178B9">
        <w:rPr>
          <w:rFonts w:eastAsia="SimSun"/>
          <w:bCs/>
          <w:sz w:val="32"/>
          <w:szCs w:val="32"/>
          <w:lang w:val="en-US" w:eastAsia="zh-CN"/>
        </w:rPr>
        <w:t>BELHADJ Zeyneb</w:t>
      </w:r>
    </w:p>
    <w:p w14:paraId="385C9BD7" w14:textId="77777777" w:rsidR="006D00DB" w:rsidRPr="007178B9" w:rsidRDefault="006D00DB" w:rsidP="006D00DB">
      <w:pPr>
        <w:spacing w:after="0" w:line="240" w:lineRule="auto"/>
        <w:jc w:val="center"/>
        <w:rPr>
          <w:rFonts w:eastAsia="SimSun"/>
          <w:bCs/>
          <w:sz w:val="32"/>
          <w:szCs w:val="32"/>
          <w:lang w:val="en-US" w:eastAsia="zh-CN"/>
        </w:rPr>
      </w:pPr>
      <w:r w:rsidRPr="007178B9">
        <w:rPr>
          <w:rFonts w:eastAsia="SimSun"/>
          <w:bCs/>
          <w:sz w:val="32"/>
          <w:szCs w:val="32"/>
          <w:lang w:val="en-US" w:eastAsia="zh-CN"/>
        </w:rPr>
        <w:t xml:space="preserve">BENLATRACHE Asma </w:t>
      </w:r>
    </w:p>
    <w:p w14:paraId="0FC41F79" w14:textId="5BB73F79" w:rsidR="00C82907" w:rsidRPr="007178B9" w:rsidRDefault="005D4197" w:rsidP="006D00DB">
      <w:pPr>
        <w:spacing w:after="0" w:line="240" w:lineRule="auto"/>
        <w:jc w:val="center"/>
        <w:rPr>
          <w:rFonts w:eastAsia="SimSun"/>
          <w:sz w:val="32"/>
          <w:szCs w:val="32"/>
          <w:lang w:val="en-US" w:eastAsia="zh-CN"/>
        </w:rPr>
      </w:pPr>
      <w:r w:rsidRPr="007178B9">
        <w:rPr>
          <w:rFonts w:eastAsia="SimSun"/>
          <w:bCs/>
          <w:sz w:val="32"/>
          <w:szCs w:val="32"/>
          <w:lang w:val="en-US" w:eastAsia="zh-CN"/>
        </w:rPr>
        <w:t>LAADJ</w:t>
      </w:r>
      <w:r w:rsidR="006D00DB" w:rsidRPr="007178B9">
        <w:rPr>
          <w:rFonts w:eastAsia="SimSun"/>
          <w:bCs/>
          <w:sz w:val="32"/>
          <w:szCs w:val="32"/>
          <w:lang w:val="en-US" w:eastAsia="zh-CN"/>
        </w:rPr>
        <w:t>AL</w:t>
      </w:r>
      <w:r w:rsidR="00C82907" w:rsidRPr="007178B9">
        <w:rPr>
          <w:rFonts w:eastAsia="SimSun"/>
          <w:sz w:val="32"/>
          <w:szCs w:val="32"/>
          <w:lang w:val="en-US" w:eastAsia="zh-CN"/>
        </w:rPr>
        <w:t xml:space="preserve"> </w:t>
      </w:r>
      <w:r w:rsidR="006D00DB" w:rsidRPr="007178B9">
        <w:rPr>
          <w:rFonts w:eastAsia="SimSun"/>
          <w:sz w:val="32"/>
          <w:szCs w:val="32"/>
          <w:lang w:val="en-US" w:eastAsia="zh-CN"/>
        </w:rPr>
        <w:t>Hakim</w:t>
      </w:r>
    </w:p>
    <w:p w14:paraId="2A6708B6" w14:textId="2AEFF5B6" w:rsidR="00C82907" w:rsidRPr="00D95A1A" w:rsidRDefault="001B1B95" w:rsidP="001B1B95">
      <w:pPr>
        <w:rPr>
          <w:rFonts w:cs="Arial"/>
          <w:b/>
          <w:sz w:val="36"/>
          <w:szCs w:val="36"/>
          <w:lang w:bidi="ar-DZ"/>
        </w:rPr>
      </w:pPr>
      <w:r w:rsidRPr="001539BA">
        <w:rPr>
          <w:rFonts w:cs="Arial"/>
          <w:b/>
          <w:sz w:val="36"/>
          <w:szCs w:val="36"/>
          <w:lang w:val="en-US" w:bidi="ar-DZ"/>
        </w:rPr>
        <w:t xml:space="preserve">                                                   </w:t>
      </w:r>
      <w:r w:rsidR="00C82907" w:rsidRPr="00D95A1A">
        <w:rPr>
          <w:rFonts w:cs="Arial"/>
          <w:b/>
          <w:sz w:val="36"/>
          <w:szCs w:val="36"/>
          <w:lang w:bidi="ar-DZ"/>
        </w:rPr>
        <w:t>Intitulé</w:t>
      </w:r>
    </w:p>
    <w:p w14:paraId="4DC5F6F2" w14:textId="77777777" w:rsidR="00C82907" w:rsidRDefault="00C82907" w:rsidP="00C82907">
      <w:pPr>
        <w:rPr>
          <w:b/>
          <w:bCs/>
          <w:sz w:val="32"/>
          <w:szCs w:val="32"/>
          <w:lang w:bidi="ar-DZ"/>
        </w:rPr>
      </w:pPr>
      <w:r>
        <w:rPr>
          <w:noProof/>
          <w:sz w:val="36"/>
          <w:szCs w:val="36"/>
          <w:lang w:eastAsia="fr-FR"/>
        </w:rPr>
        <mc:AlternateContent>
          <mc:Choice Requires="wps">
            <w:drawing>
              <wp:anchor distT="0" distB="0" distL="114300" distR="114300" simplePos="0" relativeHeight="251659264" behindDoc="0" locked="0" layoutInCell="1" allowOverlap="1" wp14:anchorId="213DB877" wp14:editId="1DFE0237">
                <wp:simplePos x="0" y="0"/>
                <wp:positionH relativeFrom="column">
                  <wp:posOffset>383540</wp:posOffset>
                </wp:positionH>
                <wp:positionV relativeFrom="paragraph">
                  <wp:posOffset>98425</wp:posOffset>
                </wp:positionV>
                <wp:extent cx="6267450" cy="1350645"/>
                <wp:effectExtent l="19050" t="19050" r="38100" b="40005"/>
                <wp:wrapSquare wrapText="bothSides"/>
                <wp:docPr id="1" name="Rectangle: Rounded Corner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7450" cy="1350645"/>
                        </a:xfrm>
                        <a:prstGeom prst="roundRect">
                          <a:avLst>
                            <a:gd name="adj" fmla="val 16667"/>
                          </a:avLst>
                        </a:prstGeom>
                        <a:solidFill>
                          <a:srgbClr val="FFFFFF"/>
                        </a:solidFill>
                        <a:ln w="57150" cmpd="thickThin">
                          <a:solidFill>
                            <a:srgbClr val="000000"/>
                          </a:solidFill>
                          <a:round/>
                          <a:headEnd/>
                          <a:tailEnd/>
                        </a:ln>
                      </wps:spPr>
                      <wps:txbx>
                        <w:txbxContent>
                          <w:p w14:paraId="19F9C4F3" w14:textId="38068F66" w:rsidR="009C03B5" w:rsidRPr="00D95A1A" w:rsidRDefault="009C03B5" w:rsidP="001B1B95">
                            <w:pPr>
                              <w:spacing w:after="200" w:line="276" w:lineRule="auto"/>
                              <w:jc w:val="center"/>
                              <w:rPr>
                                <w:rFonts w:cs="Arial"/>
                                <w:b/>
                                <w:i/>
                                <w:iCs/>
                                <w:szCs w:val="22"/>
                                <w:lang w:eastAsia="fr-FR"/>
                              </w:rPr>
                            </w:pPr>
                            <w:r>
                              <w:rPr>
                                <w:rFonts w:ascii="Arial" w:hAnsi="Arial" w:cs="Arial"/>
                                <w:b/>
                                <w:sz w:val="40"/>
                                <w:szCs w:val="40"/>
                                <w:lang w:eastAsia="fr-FR" w:bidi="ar-DZ"/>
                              </w:rPr>
                              <w:t>Rôle des adipokines dans la physiopathologie des différentes maladies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Rounded Corners 1" o:spid="_x0000_s1028" style="position:absolute;left:0;text-align:left;margin-left:30.2pt;margin-top:7.75pt;width:493.5pt;height:106.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" strokeweight="4.5pt">
                <v:stroke linestyle="thickThin"/>
                <v:textbox>
                  <w:txbxContent>
                    <w:p w14:paraId="19F9C4F3" w14:textId="38068F66" w:rsidR="009C03B5" w:rsidRPr="00D95A1A" w:rsidRDefault="009C03B5" w:rsidP="001B1B95">
                      <w:pPr>
                        <w:spacing w:after="200" w:line="276" w:lineRule="auto"/>
                        <w:jc w:val="center"/>
                        <w:rPr>
                          <w:rFonts w:cs="Arial"/>
                          <w:b/>
                          <w:i/>
                          <w:iCs/>
                          <w:szCs w:val="22"/>
                          <w:lang w:eastAsia="fr-FR"/>
                        </w:rPr>
                      </w:pPr>
                      <w:r>
                        <w:rPr>
                          <w:rFonts w:ascii="Arial" w:hAnsi="Arial" w:cs="Arial"/>
                          <w:b/>
                          <w:sz w:val="40"/>
                          <w:szCs w:val="40"/>
                          <w:lang w:eastAsia="fr-FR" w:bidi="ar-DZ"/>
                        </w:rPr>
                        <w:t>Rôle des adipokines dans la physiopathologie des différentes maladies</w:t>
                      </w:r>
                    </w:p>
                  </w:txbxContent>
                </v:textbox>
                <w10:wrap type="square"/>
              </v:roundrect>
            </w:pict>
          </mc:Fallback>
        </mc:AlternateContent>
      </w:r>
    </w:p>
    <w:p w14:paraId="3E9F9108" w14:textId="77777777" w:rsidR="00C82907" w:rsidRDefault="00C82907" w:rsidP="00C82907">
      <w:pPr>
        <w:ind w:firstLine="284"/>
        <w:rPr>
          <w:b/>
          <w:bCs/>
          <w:sz w:val="32"/>
          <w:szCs w:val="32"/>
          <w:lang w:bidi="ar-DZ"/>
        </w:rPr>
      </w:pPr>
    </w:p>
    <w:p w14:paraId="0A8BC80F" w14:textId="77777777" w:rsidR="00C82907" w:rsidRDefault="00C82907" w:rsidP="00C82907">
      <w:pPr>
        <w:ind w:firstLine="284"/>
        <w:rPr>
          <w:b/>
          <w:bCs/>
          <w:sz w:val="32"/>
          <w:szCs w:val="32"/>
          <w:lang w:bidi="ar-DZ"/>
        </w:rPr>
      </w:pPr>
    </w:p>
    <w:p w14:paraId="5CB567F4" w14:textId="77777777" w:rsidR="00C82907" w:rsidRPr="00624D34" w:rsidRDefault="00C82907" w:rsidP="006D00DB">
      <w:pPr>
        <w:spacing w:line="276" w:lineRule="auto"/>
        <w:rPr>
          <w:bCs/>
          <w:sz w:val="32"/>
          <w:szCs w:val="32"/>
          <w:lang w:bidi="ar-DZ"/>
        </w:rPr>
      </w:pPr>
      <w:r>
        <w:rPr>
          <w:rFonts w:hint="cs"/>
          <w:bCs/>
          <w:sz w:val="32"/>
          <w:szCs w:val="32"/>
          <w:rtl/>
          <w:lang w:bidi="ar-DZ"/>
        </w:rPr>
        <w:t xml:space="preserve"> </w:t>
      </w:r>
      <w:r w:rsidRPr="00624D34">
        <w:rPr>
          <w:bCs/>
          <w:sz w:val="32"/>
          <w:szCs w:val="32"/>
          <w:lang w:bidi="ar-DZ"/>
        </w:rPr>
        <w:t>Soutenu devant le jury composé de :</w:t>
      </w:r>
    </w:p>
    <w:p w14:paraId="3661EB0F" w14:textId="5D3B437C" w:rsidR="00C82907" w:rsidRDefault="00C82907" w:rsidP="00582F0D">
      <w:pPr>
        <w:spacing w:line="276" w:lineRule="auto"/>
        <w:rPr>
          <w:szCs w:val="28"/>
          <w:lang w:bidi="ar-DZ"/>
        </w:rPr>
      </w:pPr>
      <w:r w:rsidRPr="00624D34">
        <w:rPr>
          <w:szCs w:val="28"/>
          <w:lang w:bidi="ar-DZ"/>
        </w:rPr>
        <w:t xml:space="preserve">       </w:t>
      </w:r>
      <w:r>
        <w:rPr>
          <w:szCs w:val="28"/>
          <w:lang w:bidi="ar-DZ"/>
        </w:rPr>
        <w:t xml:space="preserve">  </w:t>
      </w:r>
      <w:r w:rsidRPr="00FF4712">
        <w:rPr>
          <w:szCs w:val="28"/>
          <w:lang w:bidi="ar-DZ"/>
        </w:rPr>
        <w:t>Dr</w:t>
      </w:r>
      <w:r w:rsidR="00CE3CBE">
        <w:rPr>
          <w:szCs w:val="28"/>
          <w:lang w:bidi="ar-DZ"/>
        </w:rPr>
        <w:t>.</w:t>
      </w:r>
      <w:r w:rsidR="004F4CE5">
        <w:rPr>
          <w:szCs w:val="28"/>
          <w:lang w:bidi="ar-DZ"/>
        </w:rPr>
        <w:t xml:space="preserve"> </w:t>
      </w:r>
      <w:r w:rsidR="00CE3CBE">
        <w:rPr>
          <w:szCs w:val="28"/>
          <w:lang w:bidi="ar-DZ"/>
        </w:rPr>
        <w:t xml:space="preserve">RABAH </w:t>
      </w:r>
      <w:r w:rsidR="00CE3CBE" w:rsidRPr="00CE3CBE">
        <w:rPr>
          <w:szCs w:val="28"/>
          <w:lang w:bidi="ar-DZ"/>
        </w:rPr>
        <w:t xml:space="preserve"> Noura</w:t>
      </w:r>
      <w:r w:rsidRPr="00FF4712">
        <w:rPr>
          <w:szCs w:val="28"/>
          <w:lang w:bidi="ar-DZ"/>
        </w:rPr>
        <w:t xml:space="preserve">                       </w:t>
      </w:r>
      <w:r w:rsidR="004F4CE5">
        <w:rPr>
          <w:szCs w:val="28"/>
          <w:lang w:bidi="ar-DZ"/>
        </w:rPr>
        <w:t xml:space="preserve"> </w:t>
      </w:r>
      <w:r w:rsidRPr="00FF4712">
        <w:rPr>
          <w:szCs w:val="28"/>
          <w:lang w:bidi="ar-DZ"/>
        </w:rPr>
        <w:t xml:space="preserve"> </w:t>
      </w:r>
      <w:r w:rsidR="0035662C">
        <w:rPr>
          <w:szCs w:val="28"/>
          <w:lang w:bidi="ar-DZ"/>
        </w:rPr>
        <w:t xml:space="preserve"> </w:t>
      </w:r>
      <w:r w:rsidRPr="00FF4712">
        <w:rPr>
          <w:szCs w:val="28"/>
          <w:lang w:bidi="ar-DZ"/>
        </w:rPr>
        <w:t xml:space="preserve"> Université Mohamed Boudiaf M’sila                     </w:t>
      </w:r>
      <w:r w:rsidRPr="00312538">
        <w:rPr>
          <w:szCs w:val="28"/>
          <w:lang w:bidi="ar-DZ"/>
        </w:rPr>
        <w:t>Président</w:t>
      </w:r>
      <w:r w:rsidR="006D00DB">
        <w:rPr>
          <w:szCs w:val="28"/>
          <w:lang w:bidi="ar-DZ"/>
        </w:rPr>
        <w:t>e</w:t>
      </w:r>
      <w:r w:rsidR="00005629">
        <w:rPr>
          <w:szCs w:val="28"/>
          <w:lang w:bidi="ar-DZ"/>
        </w:rPr>
        <w:t> </w:t>
      </w:r>
    </w:p>
    <w:p w14:paraId="65837C1C" w14:textId="5C60B0DA" w:rsidR="00C82907" w:rsidRPr="00624D34" w:rsidRDefault="00C82907" w:rsidP="00005629">
      <w:pPr>
        <w:spacing w:line="276" w:lineRule="auto"/>
        <w:rPr>
          <w:szCs w:val="28"/>
          <w:lang w:bidi="ar-DZ"/>
        </w:rPr>
      </w:pPr>
      <w:r>
        <w:rPr>
          <w:szCs w:val="28"/>
          <w:lang w:bidi="ar-DZ"/>
        </w:rPr>
        <w:t xml:space="preserve">         Dr</w:t>
      </w:r>
      <w:r w:rsidR="00CE3CBE">
        <w:rPr>
          <w:szCs w:val="28"/>
          <w:lang w:bidi="ar-DZ"/>
        </w:rPr>
        <w:t>.</w:t>
      </w:r>
      <w:r w:rsidR="00EA3084">
        <w:rPr>
          <w:szCs w:val="28"/>
          <w:lang w:bidi="ar-DZ"/>
        </w:rPr>
        <w:t xml:space="preserve"> BISSET S</w:t>
      </w:r>
      <w:r w:rsidR="00005629">
        <w:rPr>
          <w:szCs w:val="28"/>
          <w:lang w:bidi="ar-DZ"/>
        </w:rPr>
        <w:t>e</w:t>
      </w:r>
      <w:r w:rsidR="00EA3084">
        <w:rPr>
          <w:szCs w:val="28"/>
          <w:lang w:bidi="ar-DZ"/>
        </w:rPr>
        <w:t xml:space="preserve">ghira </w:t>
      </w:r>
      <w:r>
        <w:rPr>
          <w:szCs w:val="28"/>
          <w:lang w:bidi="ar-DZ"/>
        </w:rPr>
        <w:tab/>
      </w:r>
      <w:r w:rsidR="00005629">
        <w:rPr>
          <w:szCs w:val="28"/>
          <w:lang w:bidi="ar-DZ"/>
        </w:rPr>
        <w:t xml:space="preserve">                     </w:t>
      </w:r>
      <w:r w:rsidR="001539BA">
        <w:rPr>
          <w:szCs w:val="28"/>
          <w:lang w:bidi="ar-DZ"/>
        </w:rPr>
        <w:t xml:space="preserve"> </w:t>
      </w:r>
      <w:r w:rsidRPr="00624D34">
        <w:rPr>
          <w:szCs w:val="28"/>
          <w:lang w:bidi="ar-DZ"/>
        </w:rPr>
        <w:t xml:space="preserve">Université Mohamed Boudiaf M’sila           </w:t>
      </w:r>
      <w:r w:rsidR="004F4CE5">
        <w:rPr>
          <w:szCs w:val="28"/>
          <w:lang w:bidi="ar-DZ"/>
        </w:rPr>
        <w:t xml:space="preserve">         </w:t>
      </w:r>
      <w:r w:rsidR="00314144">
        <w:rPr>
          <w:szCs w:val="28"/>
          <w:lang w:bidi="ar-DZ"/>
        </w:rPr>
        <w:t xml:space="preserve"> </w:t>
      </w:r>
      <w:r w:rsidR="004F4CE5">
        <w:rPr>
          <w:szCs w:val="28"/>
          <w:lang w:bidi="ar-DZ"/>
        </w:rPr>
        <w:t xml:space="preserve"> </w:t>
      </w:r>
      <w:r w:rsidRPr="00624D34">
        <w:rPr>
          <w:szCs w:val="28"/>
          <w:lang w:bidi="ar-DZ"/>
        </w:rPr>
        <w:t>Rapporteur</w:t>
      </w:r>
    </w:p>
    <w:p w14:paraId="003D19F7" w14:textId="4802F73B" w:rsidR="00C82907" w:rsidRDefault="00C82907" w:rsidP="00CE3CBE">
      <w:pPr>
        <w:spacing w:line="276" w:lineRule="auto"/>
        <w:rPr>
          <w:szCs w:val="28"/>
          <w:lang w:bidi="ar-DZ"/>
        </w:rPr>
      </w:pPr>
      <w:r w:rsidRPr="00624D34">
        <w:rPr>
          <w:szCs w:val="28"/>
          <w:lang w:bidi="ar-DZ"/>
        </w:rPr>
        <w:t xml:space="preserve">       </w:t>
      </w:r>
      <w:r>
        <w:rPr>
          <w:szCs w:val="28"/>
          <w:lang w:bidi="ar-DZ"/>
        </w:rPr>
        <w:t xml:space="preserve">  Dr</w:t>
      </w:r>
      <w:r w:rsidRPr="00624D34">
        <w:rPr>
          <w:szCs w:val="28"/>
          <w:lang w:bidi="ar-DZ"/>
        </w:rPr>
        <w:t>.</w:t>
      </w:r>
      <w:r w:rsidR="00CE3CBE">
        <w:rPr>
          <w:szCs w:val="28"/>
          <w:lang w:bidi="ar-DZ"/>
        </w:rPr>
        <w:t xml:space="preserve"> BENSEMANE </w:t>
      </w:r>
      <w:r w:rsidR="00CE3CBE" w:rsidRPr="00CE3CBE">
        <w:rPr>
          <w:szCs w:val="28"/>
          <w:lang w:bidi="ar-DZ"/>
        </w:rPr>
        <w:t xml:space="preserve"> Latifa</w:t>
      </w:r>
      <w:r w:rsidRPr="00624D34">
        <w:rPr>
          <w:szCs w:val="28"/>
          <w:lang w:bidi="ar-DZ"/>
        </w:rPr>
        <w:t xml:space="preserve">         </w:t>
      </w:r>
      <w:r>
        <w:rPr>
          <w:szCs w:val="28"/>
          <w:lang w:bidi="ar-DZ"/>
        </w:rPr>
        <w:t xml:space="preserve">       </w:t>
      </w:r>
      <w:r w:rsidR="004F4CE5">
        <w:rPr>
          <w:szCs w:val="28"/>
          <w:lang w:bidi="ar-DZ"/>
        </w:rPr>
        <w:t xml:space="preserve"> </w:t>
      </w:r>
      <w:r w:rsidR="007D6190">
        <w:rPr>
          <w:szCs w:val="28"/>
          <w:lang w:bidi="ar-DZ"/>
        </w:rPr>
        <w:t xml:space="preserve"> </w:t>
      </w:r>
      <w:r w:rsidRPr="00624D34">
        <w:rPr>
          <w:szCs w:val="28"/>
          <w:lang w:bidi="ar-DZ"/>
        </w:rPr>
        <w:t xml:space="preserve">Université Mohamed Boudiaf M’sila           </w:t>
      </w:r>
      <w:r w:rsidR="004F4CE5">
        <w:rPr>
          <w:szCs w:val="28"/>
          <w:lang w:bidi="ar-DZ"/>
        </w:rPr>
        <w:t xml:space="preserve">          </w:t>
      </w:r>
      <w:r w:rsidR="006D00DB">
        <w:rPr>
          <w:szCs w:val="28"/>
          <w:lang w:bidi="ar-DZ"/>
        </w:rPr>
        <w:t>Examinatrice</w:t>
      </w:r>
    </w:p>
    <w:p w14:paraId="61FB9CC8" w14:textId="77777777" w:rsidR="009F4854" w:rsidRPr="00624D34" w:rsidRDefault="009F4854" w:rsidP="00CE3CBE">
      <w:pPr>
        <w:spacing w:line="276" w:lineRule="auto"/>
        <w:rPr>
          <w:szCs w:val="28"/>
          <w:lang w:bidi="ar-DZ"/>
        </w:rPr>
      </w:pPr>
    </w:p>
    <w:p w14:paraId="1FDC30A8" w14:textId="3A0B6BFD" w:rsidR="00834104" w:rsidRDefault="00EA3084" w:rsidP="00CD08C6">
      <w:pPr>
        <w:jc w:val="center"/>
        <w:rPr>
          <w:bCs/>
          <w:sz w:val="36"/>
          <w:szCs w:val="36"/>
          <w:lang w:bidi="ar-DZ"/>
        </w:rPr>
        <w:sectPr w:rsidR="00834104" w:rsidSect="00A829A7">
          <w:pgSz w:w="11906" w:h="16838" w:code="9"/>
          <w:pgMar w:top="567" w:right="567" w:bottom="567" w:left="567" w:header="567" w:footer="567" w:gutter="0"/>
          <w:cols w:space="720"/>
          <w:docGrid w:linePitch="360"/>
        </w:sectPr>
      </w:pPr>
      <w:r>
        <w:rPr>
          <w:bCs/>
          <w:sz w:val="36"/>
          <w:szCs w:val="36"/>
          <w:lang w:bidi="ar-DZ"/>
        </w:rPr>
        <w:t xml:space="preserve">Année </w:t>
      </w:r>
      <w:r w:rsidR="00C82907" w:rsidRPr="00624D34">
        <w:rPr>
          <w:bCs/>
          <w:sz w:val="36"/>
          <w:szCs w:val="36"/>
          <w:lang w:bidi="ar-DZ"/>
        </w:rPr>
        <w:t>universitaire : 20</w:t>
      </w:r>
      <w:r w:rsidR="00834104">
        <w:rPr>
          <w:bCs/>
          <w:sz w:val="36"/>
          <w:szCs w:val="36"/>
          <w:lang w:bidi="ar-DZ"/>
        </w:rPr>
        <w:t>2</w:t>
      </w:r>
      <w:r w:rsidR="0092363D">
        <w:rPr>
          <w:bCs/>
          <w:sz w:val="36"/>
          <w:szCs w:val="36"/>
          <w:lang w:bidi="ar-DZ"/>
        </w:rPr>
        <w:t>3</w:t>
      </w:r>
      <w:r w:rsidR="00C82907" w:rsidRPr="00624D34">
        <w:rPr>
          <w:bCs/>
          <w:sz w:val="36"/>
          <w:szCs w:val="36"/>
          <w:lang w:bidi="ar-DZ"/>
        </w:rPr>
        <w:t>/20</w:t>
      </w:r>
      <w:r w:rsidR="00834104">
        <w:rPr>
          <w:bCs/>
          <w:sz w:val="36"/>
          <w:szCs w:val="36"/>
          <w:lang w:bidi="ar-DZ"/>
        </w:rPr>
        <w:t>2</w:t>
      </w:r>
      <w:r w:rsidR="0092363D">
        <w:rPr>
          <w:bCs/>
          <w:sz w:val="36"/>
          <w:szCs w:val="36"/>
          <w:lang w:bidi="ar-DZ"/>
        </w:rPr>
        <w:t>4</w:t>
      </w:r>
    </w:p>
    <w:p w14:paraId="5E4B4CAD" w14:textId="5B1159A9" w:rsidR="006D00DB" w:rsidRPr="006D00DB" w:rsidRDefault="006D00DB" w:rsidP="006D00DB">
      <w:pPr>
        <w:jc w:val="center"/>
        <w:rPr>
          <w:rFonts w:asciiTheme="majorBidi" w:hAnsiTheme="majorBidi" w:cstheme="majorBidi"/>
          <w:b/>
          <w:bCs/>
          <w:i/>
          <w:iCs/>
          <w:sz w:val="28"/>
          <w:szCs w:val="28"/>
          <w:lang w:bidi="ar-DZ"/>
        </w:rPr>
      </w:pPr>
      <w:r w:rsidRPr="006D00DB">
        <w:rPr>
          <w:rFonts w:asciiTheme="majorBidi" w:hAnsiTheme="majorBidi" w:cstheme="majorBidi"/>
          <w:b/>
          <w:bCs/>
          <w:i/>
          <w:iCs/>
          <w:sz w:val="28"/>
          <w:szCs w:val="28"/>
          <w:lang w:bidi="ar-DZ"/>
        </w:rPr>
        <w:lastRenderedPageBreak/>
        <w:t>Remerciement</w:t>
      </w:r>
      <w:r w:rsidR="00005629">
        <w:rPr>
          <w:rFonts w:asciiTheme="majorBidi" w:hAnsiTheme="majorBidi" w:cstheme="majorBidi"/>
          <w:b/>
          <w:bCs/>
          <w:i/>
          <w:iCs/>
          <w:sz w:val="28"/>
          <w:szCs w:val="28"/>
          <w:lang w:bidi="ar-DZ"/>
        </w:rPr>
        <w:t>s</w:t>
      </w:r>
    </w:p>
    <w:p w14:paraId="09C96CE1" w14:textId="77777777" w:rsidR="006D00DB" w:rsidRPr="006D00DB" w:rsidRDefault="006D00DB" w:rsidP="006D00DB">
      <w:pPr>
        <w:jc w:val="center"/>
        <w:rPr>
          <w:rFonts w:asciiTheme="majorBidi" w:hAnsiTheme="majorBidi" w:cstheme="majorBidi"/>
          <w:i/>
          <w:iCs/>
          <w:lang w:bidi="ar-DZ"/>
        </w:rPr>
      </w:pPr>
    </w:p>
    <w:p w14:paraId="0F62BA06" w14:textId="77777777" w:rsidR="006D00DB" w:rsidRPr="006D00DB" w:rsidRDefault="006D00DB" w:rsidP="006D00DB">
      <w:pPr>
        <w:jc w:val="center"/>
        <w:rPr>
          <w:rFonts w:asciiTheme="majorBidi" w:hAnsiTheme="majorBidi" w:cstheme="majorBidi"/>
          <w:i/>
          <w:iCs/>
          <w:lang w:bidi="ar-DZ"/>
        </w:rPr>
      </w:pPr>
      <w:r w:rsidRPr="006D00DB">
        <w:rPr>
          <w:rFonts w:asciiTheme="majorBidi" w:hAnsiTheme="majorBidi" w:cstheme="majorBidi"/>
          <w:i/>
          <w:iCs/>
          <w:lang w:bidi="ar-DZ"/>
        </w:rPr>
        <w:t>Un grand remerciement à notre Dieu d’abord</w:t>
      </w:r>
    </w:p>
    <w:p w14:paraId="59873A31" w14:textId="4DC15D58" w:rsidR="006D00DB" w:rsidRPr="006D00DB" w:rsidRDefault="006D00DB" w:rsidP="006D00DB">
      <w:pPr>
        <w:jc w:val="center"/>
        <w:rPr>
          <w:rFonts w:asciiTheme="majorBidi" w:hAnsiTheme="majorBidi" w:cstheme="majorBidi"/>
          <w:i/>
          <w:iCs/>
          <w:lang w:bidi="ar-DZ"/>
        </w:rPr>
      </w:pPr>
      <w:r w:rsidRPr="006D00DB">
        <w:rPr>
          <w:rFonts w:asciiTheme="majorBidi" w:hAnsiTheme="majorBidi" w:cstheme="majorBidi"/>
          <w:i/>
          <w:iCs/>
          <w:lang w:bidi="ar-DZ"/>
        </w:rPr>
        <w:t>Un grand remerciement à mes parents et</w:t>
      </w:r>
      <w:r w:rsidR="00CE3E71">
        <w:rPr>
          <w:rFonts w:asciiTheme="majorBidi" w:hAnsiTheme="majorBidi" w:cstheme="majorBidi"/>
          <w:i/>
          <w:iCs/>
          <w:lang w:bidi="ar-DZ"/>
        </w:rPr>
        <w:t xml:space="preserve"> à</w:t>
      </w:r>
      <w:r w:rsidRPr="006D00DB">
        <w:rPr>
          <w:rFonts w:asciiTheme="majorBidi" w:hAnsiTheme="majorBidi" w:cstheme="majorBidi"/>
          <w:i/>
          <w:iCs/>
          <w:lang w:bidi="ar-DZ"/>
        </w:rPr>
        <w:t xml:space="preserve"> la famille qui sont toujours derrière moi qui sont toujours m’ont encouragé à travailler.</w:t>
      </w:r>
    </w:p>
    <w:p w14:paraId="33D0449D" w14:textId="0E6A6225" w:rsidR="006D00DB" w:rsidRDefault="006D00DB" w:rsidP="006D00DB">
      <w:pPr>
        <w:jc w:val="center"/>
        <w:rPr>
          <w:rFonts w:asciiTheme="majorBidi" w:hAnsiTheme="majorBidi" w:cstheme="majorBidi"/>
          <w:i/>
          <w:iCs/>
          <w:lang w:bidi="ar-DZ"/>
        </w:rPr>
      </w:pPr>
      <w:r w:rsidRPr="006D00DB">
        <w:rPr>
          <w:rFonts w:asciiTheme="majorBidi" w:hAnsiTheme="majorBidi" w:cstheme="majorBidi"/>
          <w:i/>
          <w:iCs/>
          <w:lang w:bidi="ar-DZ"/>
        </w:rPr>
        <w:t>Un remerciement à notre professeur et encadrante BISSET S</w:t>
      </w:r>
      <w:r w:rsidR="00005629">
        <w:rPr>
          <w:rFonts w:asciiTheme="majorBidi" w:hAnsiTheme="majorBidi" w:cstheme="majorBidi"/>
          <w:i/>
          <w:iCs/>
          <w:lang w:bidi="ar-DZ"/>
        </w:rPr>
        <w:t>e</w:t>
      </w:r>
      <w:r w:rsidRPr="006D00DB">
        <w:rPr>
          <w:rFonts w:asciiTheme="majorBidi" w:hAnsiTheme="majorBidi" w:cstheme="majorBidi"/>
          <w:i/>
          <w:iCs/>
          <w:lang w:bidi="ar-DZ"/>
        </w:rPr>
        <w:t>ghira qu</w:t>
      </w:r>
      <w:r w:rsidR="00CE3E71">
        <w:rPr>
          <w:rFonts w:asciiTheme="majorBidi" w:hAnsiTheme="majorBidi" w:cstheme="majorBidi"/>
          <w:i/>
          <w:iCs/>
          <w:lang w:bidi="ar-DZ"/>
        </w:rPr>
        <w:t>i nous a appris à préparer ce</w:t>
      </w:r>
      <w:r w:rsidRPr="006D00DB">
        <w:rPr>
          <w:rFonts w:asciiTheme="majorBidi" w:hAnsiTheme="majorBidi" w:cstheme="majorBidi"/>
          <w:i/>
          <w:iCs/>
          <w:lang w:bidi="ar-DZ"/>
        </w:rPr>
        <w:t xml:space="preserve"> mémoire de  manière professionnelle et qu’elle étai</w:t>
      </w:r>
      <w:r w:rsidR="004F4CE5">
        <w:rPr>
          <w:rFonts w:asciiTheme="majorBidi" w:hAnsiTheme="majorBidi" w:cstheme="majorBidi"/>
          <w:i/>
          <w:iCs/>
          <w:lang w:bidi="ar-DZ"/>
        </w:rPr>
        <w:t>t toujours en contact avec nous</w:t>
      </w:r>
    </w:p>
    <w:p w14:paraId="79992851" w14:textId="66A59100" w:rsidR="004F4CE5" w:rsidRPr="006D00DB" w:rsidRDefault="00CE3E71" w:rsidP="00CE3E71">
      <w:pPr>
        <w:jc w:val="center"/>
        <w:rPr>
          <w:rFonts w:asciiTheme="majorBidi" w:hAnsiTheme="majorBidi" w:cstheme="majorBidi"/>
          <w:i/>
          <w:iCs/>
          <w:lang w:bidi="ar-DZ"/>
        </w:rPr>
      </w:pPr>
      <w:r>
        <w:rPr>
          <w:rFonts w:asciiTheme="majorBidi" w:hAnsiTheme="majorBidi" w:cstheme="majorBidi"/>
          <w:i/>
          <w:iCs/>
          <w:lang w:bidi="ar-DZ"/>
        </w:rPr>
        <w:t>Un remerciement à la</w:t>
      </w:r>
      <w:r w:rsidR="004F4CE5">
        <w:rPr>
          <w:rFonts w:asciiTheme="majorBidi" w:hAnsiTheme="majorBidi" w:cstheme="majorBidi"/>
          <w:i/>
          <w:iCs/>
          <w:lang w:bidi="ar-DZ"/>
        </w:rPr>
        <w:t xml:space="preserve"> présidente </w:t>
      </w:r>
      <w:r>
        <w:rPr>
          <w:rFonts w:asciiTheme="majorBidi" w:hAnsiTheme="majorBidi" w:cstheme="majorBidi"/>
          <w:i/>
          <w:iCs/>
          <w:lang w:bidi="ar-DZ"/>
        </w:rPr>
        <w:t xml:space="preserve">de jury </w:t>
      </w:r>
      <w:r w:rsidR="004F4CE5">
        <w:rPr>
          <w:rFonts w:asciiTheme="majorBidi" w:hAnsiTheme="majorBidi" w:cstheme="majorBidi"/>
          <w:i/>
          <w:iCs/>
          <w:lang w:bidi="ar-DZ"/>
        </w:rPr>
        <w:t xml:space="preserve">RABAH Noura et </w:t>
      </w:r>
      <w:r>
        <w:rPr>
          <w:rFonts w:asciiTheme="majorBidi" w:hAnsiTheme="majorBidi" w:cstheme="majorBidi"/>
          <w:i/>
          <w:iCs/>
          <w:lang w:bidi="ar-DZ"/>
        </w:rPr>
        <w:t>à l’</w:t>
      </w:r>
      <w:r w:rsidR="004F4CE5">
        <w:rPr>
          <w:rFonts w:asciiTheme="majorBidi" w:hAnsiTheme="majorBidi" w:cstheme="majorBidi"/>
          <w:i/>
          <w:iCs/>
          <w:lang w:bidi="ar-DZ"/>
        </w:rPr>
        <w:t xml:space="preserve">examinatrice BENSEMANE Latifa pour </w:t>
      </w:r>
      <w:r>
        <w:rPr>
          <w:rFonts w:asciiTheme="majorBidi" w:hAnsiTheme="majorBidi" w:cstheme="majorBidi"/>
          <w:i/>
          <w:iCs/>
          <w:lang w:bidi="ar-DZ"/>
        </w:rPr>
        <w:t>avoir accepté d’</w:t>
      </w:r>
      <w:r w:rsidR="007D6190">
        <w:rPr>
          <w:rFonts w:asciiTheme="majorBidi" w:hAnsiTheme="majorBidi" w:cstheme="majorBidi"/>
          <w:i/>
          <w:iCs/>
          <w:lang w:bidi="ar-DZ"/>
        </w:rPr>
        <w:t>évaluer</w:t>
      </w:r>
      <w:r w:rsidR="004F4CE5">
        <w:rPr>
          <w:rFonts w:asciiTheme="majorBidi" w:hAnsiTheme="majorBidi" w:cstheme="majorBidi"/>
          <w:i/>
          <w:iCs/>
          <w:lang w:bidi="ar-DZ"/>
        </w:rPr>
        <w:t xml:space="preserve"> à notre travail.</w:t>
      </w:r>
    </w:p>
    <w:p w14:paraId="57E51A91" w14:textId="77777777" w:rsidR="006D00DB" w:rsidRPr="006D00DB" w:rsidRDefault="006D00DB" w:rsidP="006D00DB">
      <w:pPr>
        <w:jc w:val="center"/>
        <w:rPr>
          <w:rFonts w:asciiTheme="majorBidi" w:hAnsiTheme="majorBidi" w:cstheme="majorBidi"/>
          <w:i/>
          <w:iCs/>
          <w:lang w:bidi="ar-DZ"/>
        </w:rPr>
      </w:pPr>
      <w:r w:rsidRPr="006D00DB">
        <w:rPr>
          <w:rFonts w:asciiTheme="majorBidi" w:hAnsiTheme="majorBidi" w:cstheme="majorBidi"/>
          <w:i/>
          <w:iCs/>
          <w:lang w:bidi="ar-DZ"/>
        </w:rPr>
        <w:t>Ces remerciements vont aussi au corps professoral et administratif de la faculté des Sciences, pour la richesse et la qualité de leurs enseignements et qui déploient de grands efforts pour assurer à leurs étudiants une formation actualisée.</w:t>
      </w:r>
    </w:p>
    <w:p w14:paraId="0B391D39" w14:textId="77777777" w:rsidR="006D00DB" w:rsidRPr="006D00DB" w:rsidRDefault="006D00DB" w:rsidP="006D00DB">
      <w:pPr>
        <w:jc w:val="center"/>
        <w:rPr>
          <w:rFonts w:asciiTheme="majorBidi" w:hAnsiTheme="majorBidi" w:cstheme="majorBidi"/>
          <w:i/>
          <w:iCs/>
          <w:lang w:bidi="ar-DZ"/>
        </w:rPr>
      </w:pPr>
      <w:r w:rsidRPr="006D00DB">
        <w:rPr>
          <w:rFonts w:asciiTheme="majorBidi" w:hAnsiTheme="majorBidi" w:cstheme="majorBidi"/>
          <w:i/>
          <w:iCs/>
          <w:lang w:bidi="ar-DZ"/>
        </w:rPr>
        <w:t>Enfin, nous tenons également à remercier tous les personnes, amis, proches qui ont participé de près ou de loin à la réalisation de ce mémoire.</w:t>
      </w:r>
    </w:p>
    <w:p w14:paraId="217FA1DC" w14:textId="2922C071" w:rsidR="00ED2381" w:rsidRPr="006D00DB" w:rsidRDefault="006D00DB" w:rsidP="006D00DB">
      <w:pPr>
        <w:jc w:val="center"/>
        <w:rPr>
          <w:rFonts w:asciiTheme="majorBidi" w:hAnsiTheme="majorBidi" w:cstheme="majorBidi"/>
          <w:i/>
          <w:iCs/>
          <w:lang w:bidi="ar-DZ"/>
        </w:rPr>
      </w:pPr>
      <w:r w:rsidRPr="006D00DB">
        <w:rPr>
          <w:rFonts w:asciiTheme="majorBidi" w:hAnsiTheme="majorBidi" w:cstheme="majorBidi"/>
          <w:i/>
          <w:iCs/>
          <w:lang w:bidi="ar-DZ"/>
        </w:rPr>
        <w:t>Merci à tous et à tous.</w:t>
      </w:r>
    </w:p>
    <w:p w14:paraId="387143D2" w14:textId="77777777" w:rsidR="00ED2381" w:rsidRDefault="00ED2381" w:rsidP="00ED2381">
      <w:pPr>
        <w:jc w:val="center"/>
        <w:rPr>
          <w:rFonts w:asciiTheme="majorBidi" w:hAnsiTheme="majorBidi" w:cstheme="majorBidi"/>
          <w:lang w:bidi="ar-DZ"/>
        </w:rPr>
      </w:pPr>
    </w:p>
    <w:p w14:paraId="6C43B364" w14:textId="77777777" w:rsidR="00ED2381" w:rsidRDefault="00ED2381" w:rsidP="00ED2381">
      <w:pPr>
        <w:jc w:val="center"/>
        <w:rPr>
          <w:rFonts w:asciiTheme="majorBidi" w:hAnsiTheme="majorBidi" w:cstheme="majorBidi"/>
          <w:lang w:bidi="ar-DZ"/>
        </w:rPr>
      </w:pPr>
    </w:p>
    <w:p w14:paraId="7C45F6F0" w14:textId="77777777" w:rsidR="00ED2381" w:rsidRDefault="00ED2381" w:rsidP="00ED2381">
      <w:pPr>
        <w:jc w:val="center"/>
        <w:rPr>
          <w:rFonts w:asciiTheme="majorBidi" w:hAnsiTheme="majorBidi" w:cstheme="majorBidi"/>
          <w:lang w:bidi="ar-DZ"/>
        </w:rPr>
      </w:pPr>
    </w:p>
    <w:p w14:paraId="231F5FE2" w14:textId="77777777" w:rsidR="00ED2381" w:rsidRDefault="00ED2381" w:rsidP="00ED2381">
      <w:pPr>
        <w:jc w:val="center"/>
        <w:rPr>
          <w:rFonts w:asciiTheme="majorBidi" w:hAnsiTheme="majorBidi" w:cstheme="majorBidi"/>
          <w:lang w:bidi="ar-DZ"/>
        </w:rPr>
      </w:pPr>
    </w:p>
    <w:p w14:paraId="05AE1CF9" w14:textId="77777777" w:rsidR="00ED2381" w:rsidRDefault="00ED2381" w:rsidP="00ED2381">
      <w:pPr>
        <w:jc w:val="center"/>
        <w:rPr>
          <w:rFonts w:asciiTheme="majorBidi" w:hAnsiTheme="majorBidi" w:cstheme="majorBidi"/>
          <w:lang w:bidi="ar-DZ"/>
        </w:rPr>
      </w:pPr>
    </w:p>
    <w:p w14:paraId="7C7E2583" w14:textId="77777777" w:rsidR="00ED2381" w:rsidRPr="00382403" w:rsidRDefault="00ED2381" w:rsidP="00834104">
      <w:pPr>
        <w:jc w:val="center"/>
        <w:rPr>
          <w:b/>
          <w:bCs/>
          <w:sz w:val="28"/>
          <w:szCs w:val="28"/>
        </w:rPr>
      </w:pPr>
    </w:p>
    <w:p w14:paraId="652C8462" w14:textId="77777777" w:rsidR="000B1896" w:rsidRPr="00382403" w:rsidRDefault="000B1896" w:rsidP="00834104">
      <w:pPr>
        <w:jc w:val="center"/>
        <w:rPr>
          <w:b/>
          <w:bCs/>
          <w:sz w:val="28"/>
          <w:szCs w:val="28"/>
        </w:rPr>
      </w:pPr>
    </w:p>
    <w:p w14:paraId="016A3DD2" w14:textId="77777777" w:rsidR="00834104" w:rsidRPr="00382403" w:rsidRDefault="00834104">
      <w:pPr>
        <w:spacing w:before="0" w:after="160" w:line="259" w:lineRule="auto"/>
        <w:jc w:val="left"/>
        <w:rPr>
          <w:b/>
          <w:bCs/>
          <w:i/>
          <w:iCs/>
          <w:sz w:val="28"/>
          <w:szCs w:val="28"/>
        </w:rPr>
      </w:pPr>
      <w:r w:rsidRPr="00382403">
        <w:rPr>
          <w:b/>
          <w:bCs/>
          <w:i/>
          <w:iCs/>
          <w:sz w:val="28"/>
          <w:szCs w:val="28"/>
        </w:rPr>
        <w:br w:type="page"/>
      </w:r>
    </w:p>
    <w:p w14:paraId="76AD2904" w14:textId="5A493A35" w:rsidR="006D00DB" w:rsidRPr="006D00DB" w:rsidRDefault="006D00DB" w:rsidP="006D00DB">
      <w:pPr>
        <w:spacing w:before="0" w:after="200" w:line="276" w:lineRule="auto"/>
        <w:jc w:val="center"/>
        <w:rPr>
          <w:rFonts w:eastAsia="Calibri"/>
          <w:b/>
          <w:bCs/>
          <w:i/>
          <w:iCs/>
          <w:sz w:val="32"/>
          <w:szCs w:val="32"/>
          <w:lang w:bidi="ar-DZ"/>
        </w:rPr>
      </w:pPr>
      <w:bookmarkStart w:id="0" w:name="_Toc157139834"/>
      <w:r w:rsidRPr="006D00DB">
        <w:rPr>
          <w:rFonts w:eastAsia="Calibri"/>
          <w:b/>
          <w:bCs/>
          <w:i/>
          <w:iCs/>
          <w:sz w:val="32"/>
          <w:szCs w:val="32"/>
          <w:lang w:bidi="ar-DZ"/>
        </w:rPr>
        <w:lastRenderedPageBreak/>
        <w:t>Dédicace</w:t>
      </w:r>
      <w:r w:rsidR="00005629">
        <w:rPr>
          <w:rFonts w:eastAsia="Calibri"/>
          <w:b/>
          <w:bCs/>
          <w:i/>
          <w:iCs/>
          <w:sz w:val="32"/>
          <w:szCs w:val="32"/>
          <w:lang w:bidi="ar-DZ"/>
        </w:rPr>
        <w:t>s</w:t>
      </w:r>
    </w:p>
    <w:p w14:paraId="6C0B68A0" w14:textId="77777777" w:rsidR="006D00DB" w:rsidRPr="006D00DB" w:rsidRDefault="006D00DB" w:rsidP="006D00DB">
      <w:pPr>
        <w:spacing w:before="0" w:after="200" w:line="276" w:lineRule="auto"/>
        <w:jc w:val="center"/>
        <w:rPr>
          <w:rFonts w:eastAsia="Calibri"/>
          <w:i/>
          <w:iCs/>
          <w:lang w:bidi="ar-DZ"/>
        </w:rPr>
      </w:pPr>
    </w:p>
    <w:p w14:paraId="0CB9AACE" w14:textId="77777777" w:rsidR="006D00DB" w:rsidRPr="006D00DB" w:rsidRDefault="006D00DB" w:rsidP="006D00DB">
      <w:pPr>
        <w:spacing w:before="0" w:after="200" w:line="276" w:lineRule="auto"/>
        <w:jc w:val="center"/>
        <w:rPr>
          <w:rFonts w:eastAsia="Calibri"/>
          <w:i/>
          <w:iCs/>
          <w:lang w:bidi="ar-DZ"/>
        </w:rPr>
      </w:pPr>
      <w:r w:rsidRPr="006D00DB">
        <w:rPr>
          <w:rFonts w:eastAsia="Calibri"/>
          <w:i/>
          <w:iCs/>
          <w:lang w:bidi="ar-DZ"/>
        </w:rPr>
        <w:t>Toutes les lettres ne sauraient trouver les mots qu’il faut…Tous les mots ne sauraient exprimer la gratitude, l’amour, Le respect, la reconnaissance aussi, c’est tout simplement que Je dédie ce modeste travail à :</w:t>
      </w:r>
    </w:p>
    <w:p w14:paraId="49DA4ADF" w14:textId="77777777" w:rsidR="006D00DB" w:rsidRPr="006D00DB" w:rsidRDefault="006D00DB" w:rsidP="006D00DB">
      <w:pPr>
        <w:spacing w:before="0" w:after="200" w:line="276" w:lineRule="auto"/>
        <w:jc w:val="center"/>
        <w:rPr>
          <w:rFonts w:eastAsia="Calibri"/>
          <w:i/>
          <w:iCs/>
          <w:lang w:bidi="ar-DZ"/>
        </w:rPr>
      </w:pPr>
      <w:r w:rsidRPr="006D00DB">
        <w:rPr>
          <w:rFonts w:eastAsia="Calibri"/>
          <w:i/>
          <w:iCs/>
          <w:lang w:bidi="ar-DZ"/>
        </w:rPr>
        <w:t>À Dieu, qui a été notre refuge dans les moments les plus difficiles, qui accepte nos prières et facilite notre travail, nous rendons grâce pour sa Majesté et sa grandeur.</w:t>
      </w:r>
    </w:p>
    <w:p w14:paraId="56772307" w14:textId="77777777" w:rsidR="006D00DB" w:rsidRPr="006D00DB" w:rsidRDefault="006D00DB" w:rsidP="006D00DB">
      <w:pPr>
        <w:spacing w:before="0" w:after="200" w:line="276" w:lineRule="auto"/>
        <w:jc w:val="center"/>
        <w:rPr>
          <w:rFonts w:eastAsia="Calibri"/>
          <w:i/>
          <w:iCs/>
          <w:lang w:bidi="ar-DZ"/>
        </w:rPr>
      </w:pPr>
      <w:r w:rsidRPr="006D00DB">
        <w:rPr>
          <w:rFonts w:eastAsia="Calibri"/>
          <w:i/>
          <w:iCs/>
          <w:lang w:bidi="ar-DZ"/>
        </w:rPr>
        <w:t>Chaleureusement, mes parents, ma mère, qui a travaillé pour mon succès grâce à son amour, son soutien, tous les sacrifices acceptés et ses précieux conseils. Je vous remercie pour votre aide et votre présence présente dans ma vie. Mon père, qui peut ressentir de la fierté et voir ici le fruit de longues années de sacrifices et de privations pour m'aider à progresser dans ma vie.</w:t>
      </w:r>
    </w:p>
    <w:p w14:paraId="3387B177" w14:textId="00694F57" w:rsidR="006D00DB" w:rsidRPr="006D00DB" w:rsidRDefault="006D00DB" w:rsidP="006D00DB">
      <w:pPr>
        <w:spacing w:before="0" w:after="200" w:line="276" w:lineRule="auto"/>
        <w:jc w:val="center"/>
        <w:rPr>
          <w:rFonts w:eastAsia="Calibri"/>
          <w:i/>
          <w:iCs/>
          <w:lang w:bidi="ar-DZ"/>
        </w:rPr>
      </w:pPr>
      <w:r w:rsidRPr="006D00DB">
        <w:rPr>
          <w:rFonts w:eastAsia="Calibri"/>
          <w:i/>
          <w:iCs/>
          <w:lang w:bidi="ar-DZ"/>
        </w:rPr>
        <w:t xml:space="preserve">À mes chers frères Moustafa et sa femme Yasmine, Amine, Yasser, Karim et </w:t>
      </w:r>
      <w:r w:rsidR="007D6190" w:rsidRPr="006D00DB">
        <w:rPr>
          <w:rFonts w:eastAsia="Calibri"/>
          <w:i/>
          <w:iCs/>
          <w:lang w:bidi="ar-DZ"/>
        </w:rPr>
        <w:t>Ho</w:t>
      </w:r>
      <w:r w:rsidR="007D6190">
        <w:rPr>
          <w:rFonts w:eastAsia="Calibri"/>
          <w:i/>
          <w:iCs/>
          <w:lang w:bidi="ar-DZ"/>
        </w:rPr>
        <w:t>u</w:t>
      </w:r>
      <w:r w:rsidR="007D6190" w:rsidRPr="006D00DB">
        <w:rPr>
          <w:rFonts w:eastAsia="Calibri"/>
          <w:i/>
          <w:iCs/>
          <w:lang w:bidi="ar-DZ"/>
        </w:rPr>
        <w:t>ari</w:t>
      </w:r>
      <w:r w:rsidRPr="006D00DB">
        <w:rPr>
          <w:rFonts w:eastAsia="Calibri"/>
          <w:i/>
          <w:iCs/>
          <w:lang w:bidi="ar-DZ"/>
        </w:rPr>
        <w:t>,  pour leurs encouragements permanents, et leur soutien moral.</w:t>
      </w:r>
    </w:p>
    <w:p w14:paraId="77AFE79C" w14:textId="77777777" w:rsidR="006D00DB" w:rsidRPr="006D00DB" w:rsidRDefault="006D00DB" w:rsidP="006D00DB">
      <w:pPr>
        <w:spacing w:before="0" w:after="200" w:line="276" w:lineRule="auto"/>
        <w:jc w:val="center"/>
        <w:rPr>
          <w:rFonts w:eastAsia="Calibri"/>
          <w:i/>
          <w:iCs/>
          <w:lang w:bidi="ar-DZ"/>
        </w:rPr>
      </w:pPr>
      <w:r w:rsidRPr="006D00DB">
        <w:rPr>
          <w:rFonts w:eastAsia="Calibri"/>
          <w:i/>
          <w:iCs/>
          <w:lang w:bidi="ar-DZ"/>
        </w:rPr>
        <w:t>À mes meilleurs amies Narimene et Sara qui étaient toujours là avec moi dans les moments difficiles et pour m’encourager de suivre</w:t>
      </w:r>
    </w:p>
    <w:p w14:paraId="32555385" w14:textId="77777777" w:rsidR="006D00DB" w:rsidRPr="006D00DB" w:rsidRDefault="006D00DB" w:rsidP="006D00DB">
      <w:pPr>
        <w:spacing w:before="0" w:after="200" w:line="276" w:lineRule="auto"/>
        <w:jc w:val="center"/>
        <w:rPr>
          <w:rFonts w:eastAsia="Calibri"/>
          <w:i/>
          <w:iCs/>
          <w:lang w:bidi="ar-DZ"/>
        </w:rPr>
      </w:pPr>
      <w:r w:rsidRPr="006D00DB">
        <w:rPr>
          <w:rFonts w:eastAsia="Calibri"/>
          <w:i/>
          <w:iCs/>
          <w:lang w:bidi="ar-DZ"/>
        </w:rPr>
        <w:t xml:space="preserve">À mon trinôme  Hakim qui est participé avec moi à ce travail et de m’aider tout le temps moralement, sans oublier Asma </w:t>
      </w:r>
    </w:p>
    <w:p w14:paraId="0E71D4EF" w14:textId="77777777" w:rsidR="006D00DB" w:rsidRPr="006D00DB" w:rsidRDefault="006D00DB" w:rsidP="006D00DB">
      <w:pPr>
        <w:spacing w:before="0" w:after="200" w:line="276" w:lineRule="auto"/>
        <w:jc w:val="center"/>
        <w:rPr>
          <w:rFonts w:eastAsia="Calibri"/>
          <w:i/>
          <w:iCs/>
          <w:lang w:bidi="ar-DZ"/>
        </w:rPr>
      </w:pPr>
      <w:r w:rsidRPr="006D00DB">
        <w:rPr>
          <w:rFonts w:eastAsia="Calibri"/>
          <w:i/>
          <w:iCs/>
          <w:lang w:bidi="ar-DZ"/>
        </w:rPr>
        <w:t>À tous mes amis, avec qui j’ai partagé un amphi, un café, un repas, tout au long des cinq années,</w:t>
      </w:r>
    </w:p>
    <w:p w14:paraId="40029078" w14:textId="77777777" w:rsidR="006D00DB" w:rsidRPr="006D00DB" w:rsidRDefault="006D00DB" w:rsidP="006D00DB">
      <w:pPr>
        <w:spacing w:before="0" w:after="200" w:line="276" w:lineRule="auto"/>
        <w:jc w:val="center"/>
        <w:rPr>
          <w:rFonts w:eastAsia="Calibri"/>
          <w:i/>
          <w:iCs/>
          <w:lang w:bidi="ar-DZ"/>
        </w:rPr>
      </w:pPr>
      <w:r w:rsidRPr="006D00DB">
        <w:rPr>
          <w:rFonts w:eastAsia="Calibri"/>
          <w:i/>
          <w:iCs/>
          <w:lang w:bidi="ar-DZ"/>
        </w:rPr>
        <w:t>Et à tous ceux qui ont apporté leur contribution, de près ou de loin, pour que ce mémoire puisse être réalisé.</w:t>
      </w:r>
    </w:p>
    <w:p w14:paraId="3D6D158C" w14:textId="77777777" w:rsidR="006D00DB" w:rsidRPr="006D00DB" w:rsidRDefault="006D00DB" w:rsidP="006D00DB">
      <w:pPr>
        <w:spacing w:before="0" w:after="200" w:line="276" w:lineRule="auto"/>
        <w:jc w:val="center"/>
        <w:rPr>
          <w:rFonts w:eastAsia="Calibri"/>
          <w:i/>
          <w:iCs/>
          <w:lang w:bidi="ar-DZ"/>
        </w:rPr>
      </w:pPr>
      <w:r w:rsidRPr="006D00DB">
        <w:rPr>
          <w:rFonts w:eastAsia="Calibri"/>
          <w:i/>
          <w:iCs/>
          <w:lang w:bidi="ar-DZ"/>
        </w:rPr>
        <w:t>Je vous dis merci.</w:t>
      </w:r>
    </w:p>
    <w:p w14:paraId="1CE0806A" w14:textId="77777777" w:rsidR="006D00DB" w:rsidRPr="006D00DB" w:rsidRDefault="006D00DB" w:rsidP="006D00DB">
      <w:pPr>
        <w:spacing w:before="0" w:after="200" w:line="276" w:lineRule="auto"/>
        <w:jc w:val="center"/>
        <w:rPr>
          <w:rFonts w:eastAsia="Calibri"/>
          <w:i/>
          <w:iCs/>
          <w:lang w:bidi="ar-DZ"/>
        </w:rPr>
      </w:pPr>
    </w:p>
    <w:p w14:paraId="6BAB3334" w14:textId="77777777" w:rsidR="006D00DB" w:rsidRPr="006D00DB" w:rsidRDefault="006D00DB" w:rsidP="006D00DB">
      <w:pPr>
        <w:spacing w:before="0" w:after="200" w:line="276" w:lineRule="auto"/>
        <w:jc w:val="center"/>
        <w:rPr>
          <w:rFonts w:eastAsia="Calibri"/>
          <w:i/>
          <w:iCs/>
          <w:lang w:bidi="ar-DZ"/>
        </w:rPr>
      </w:pPr>
    </w:p>
    <w:p w14:paraId="21D843C9" w14:textId="77777777" w:rsidR="006D00DB" w:rsidRPr="006D00DB" w:rsidRDefault="006D00DB" w:rsidP="006D00DB">
      <w:pPr>
        <w:spacing w:before="0" w:after="200" w:line="276" w:lineRule="auto"/>
        <w:jc w:val="center"/>
        <w:rPr>
          <w:rFonts w:eastAsia="Calibri"/>
          <w:i/>
          <w:iCs/>
          <w:lang w:bidi="ar-DZ"/>
        </w:rPr>
      </w:pPr>
    </w:p>
    <w:p w14:paraId="00AD2D19" w14:textId="77777777" w:rsidR="006D00DB" w:rsidRPr="006D00DB" w:rsidRDefault="006D00DB" w:rsidP="006D00DB">
      <w:pPr>
        <w:spacing w:before="0" w:after="200" w:line="276" w:lineRule="auto"/>
        <w:jc w:val="center"/>
        <w:rPr>
          <w:rFonts w:eastAsia="Calibri"/>
          <w:i/>
          <w:iCs/>
          <w:lang w:bidi="ar-DZ"/>
        </w:rPr>
      </w:pPr>
    </w:p>
    <w:p w14:paraId="0EA7B89B" w14:textId="77777777" w:rsidR="006D00DB" w:rsidRPr="006D00DB" w:rsidRDefault="006D00DB" w:rsidP="006D00DB">
      <w:pPr>
        <w:spacing w:before="0" w:after="200" w:line="276" w:lineRule="auto"/>
        <w:jc w:val="center"/>
        <w:rPr>
          <w:rFonts w:eastAsia="Calibri"/>
          <w:i/>
          <w:iCs/>
          <w:lang w:bidi="ar-DZ"/>
        </w:rPr>
      </w:pPr>
    </w:p>
    <w:p w14:paraId="5361BF57" w14:textId="77777777" w:rsidR="006D00DB" w:rsidRPr="006D00DB" w:rsidRDefault="006D00DB" w:rsidP="006D00DB">
      <w:pPr>
        <w:spacing w:before="0" w:after="200" w:line="276" w:lineRule="auto"/>
        <w:jc w:val="center"/>
        <w:rPr>
          <w:rFonts w:eastAsia="Calibri"/>
          <w:i/>
          <w:iCs/>
          <w:lang w:bidi="ar-DZ"/>
        </w:rPr>
      </w:pPr>
    </w:p>
    <w:p w14:paraId="67F65850" w14:textId="77777777" w:rsidR="006D00DB" w:rsidRPr="006D00DB" w:rsidRDefault="006D00DB" w:rsidP="006D00DB">
      <w:pPr>
        <w:spacing w:before="0" w:after="200" w:line="276" w:lineRule="auto"/>
        <w:jc w:val="center"/>
        <w:rPr>
          <w:rFonts w:eastAsia="Calibri"/>
          <w:i/>
          <w:iCs/>
          <w:lang w:bidi="ar-DZ"/>
        </w:rPr>
      </w:pPr>
    </w:p>
    <w:p w14:paraId="70A6E634" w14:textId="5BF60CE2" w:rsidR="006D00DB" w:rsidRPr="006D00DB" w:rsidRDefault="004B41A5" w:rsidP="006D00DB">
      <w:pPr>
        <w:spacing w:before="0" w:after="200" w:line="276" w:lineRule="auto"/>
        <w:jc w:val="center"/>
        <w:rPr>
          <w:rFonts w:eastAsia="Calibri"/>
          <w:sz w:val="28"/>
          <w:szCs w:val="28"/>
          <w:lang w:bidi="ar-DZ"/>
        </w:rPr>
      </w:pPr>
      <w:r>
        <w:rPr>
          <w:rFonts w:eastAsia="Calibri"/>
          <w:i/>
          <w:iCs/>
          <w:lang w:bidi="ar-DZ"/>
        </w:rPr>
        <w:tab/>
      </w:r>
      <w:r>
        <w:rPr>
          <w:rFonts w:eastAsia="Calibri"/>
          <w:i/>
          <w:iCs/>
          <w:lang w:bidi="ar-DZ"/>
        </w:rPr>
        <w:tab/>
      </w:r>
      <w:r>
        <w:rPr>
          <w:rFonts w:eastAsia="Calibri"/>
          <w:i/>
          <w:iCs/>
          <w:lang w:bidi="ar-DZ"/>
        </w:rPr>
        <w:tab/>
      </w:r>
      <w:r>
        <w:rPr>
          <w:rFonts w:eastAsia="Calibri"/>
          <w:i/>
          <w:iCs/>
          <w:lang w:bidi="ar-DZ"/>
        </w:rPr>
        <w:tab/>
      </w:r>
      <w:r>
        <w:rPr>
          <w:rFonts w:eastAsia="Calibri"/>
          <w:i/>
          <w:iCs/>
          <w:lang w:bidi="ar-DZ"/>
        </w:rPr>
        <w:tab/>
      </w:r>
      <w:r>
        <w:rPr>
          <w:rFonts w:eastAsia="Calibri"/>
          <w:i/>
          <w:iCs/>
          <w:lang w:bidi="ar-DZ"/>
        </w:rPr>
        <w:tab/>
      </w:r>
      <w:r>
        <w:rPr>
          <w:rFonts w:eastAsia="Calibri"/>
          <w:i/>
          <w:iCs/>
          <w:lang w:bidi="ar-DZ"/>
        </w:rPr>
        <w:tab/>
      </w:r>
      <w:r>
        <w:rPr>
          <w:rFonts w:eastAsia="Calibri"/>
          <w:i/>
          <w:iCs/>
          <w:lang w:bidi="ar-DZ"/>
        </w:rPr>
        <w:tab/>
      </w:r>
      <w:r>
        <w:rPr>
          <w:rFonts w:eastAsia="Calibri"/>
          <w:i/>
          <w:iCs/>
          <w:lang w:bidi="ar-DZ"/>
        </w:rPr>
        <w:tab/>
        <w:t xml:space="preserve">    </w:t>
      </w:r>
      <w:r w:rsidR="006D00DB" w:rsidRPr="006D00DB">
        <w:rPr>
          <w:rFonts w:eastAsia="Calibri"/>
          <w:i/>
          <w:iCs/>
          <w:lang w:bidi="ar-DZ"/>
        </w:rPr>
        <w:tab/>
      </w:r>
      <w:r w:rsidR="006D00DB" w:rsidRPr="006D00DB">
        <w:rPr>
          <w:rFonts w:eastAsia="Calibri"/>
          <w:i/>
          <w:iCs/>
          <w:sz w:val="28"/>
          <w:szCs w:val="28"/>
          <w:lang w:bidi="ar-DZ"/>
        </w:rPr>
        <w:t>Zeyneb</w:t>
      </w:r>
    </w:p>
    <w:p w14:paraId="2173D25A" w14:textId="77777777" w:rsidR="006D00DB" w:rsidRDefault="006D00DB" w:rsidP="00CF0688">
      <w:pPr>
        <w:spacing w:line="276" w:lineRule="auto"/>
        <w:jc w:val="center"/>
        <w:rPr>
          <w:b/>
          <w:bCs/>
          <w:sz w:val="28"/>
          <w:szCs w:val="28"/>
        </w:rPr>
      </w:pPr>
    </w:p>
    <w:p w14:paraId="7359882E" w14:textId="77777777" w:rsidR="006D00DB" w:rsidRDefault="006D00DB" w:rsidP="00CF0688">
      <w:pPr>
        <w:spacing w:line="276" w:lineRule="auto"/>
        <w:jc w:val="center"/>
        <w:rPr>
          <w:b/>
          <w:bCs/>
          <w:sz w:val="28"/>
          <w:szCs w:val="28"/>
        </w:rPr>
      </w:pPr>
    </w:p>
    <w:p w14:paraId="10BB8A3C" w14:textId="464AE915" w:rsidR="006D00DB" w:rsidRPr="006D00DB" w:rsidRDefault="006D00DB" w:rsidP="004B41A5">
      <w:pPr>
        <w:spacing w:before="0" w:after="200" w:line="276" w:lineRule="auto"/>
        <w:jc w:val="center"/>
        <w:rPr>
          <w:rFonts w:eastAsia="Calibri"/>
          <w:b/>
          <w:bCs/>
          <w:i/>
          <w:iCs/>
          <w:sz w:val="28"/>
          <w:szCs w:val="28"/>
        </w:rPr>
      </w:pPr>
      <w:r w:rsidRPr="006D00DB">
        <w:rPr>
          <w:rFonts w:eastAsia="Calibri"/>
          <w:b/>
          <w:bCs/>
          <w:i/>
          <w:iCs/>
          <w:sz w:val="28"/>
          <w:szCs w:val="28"/>
        </w:rPr>
        <w:lastRenderedPageBreak/>
        <w:t>Dédicace</w:t>
      </w:r>
      <w:r w:rsidR="00005629">
        <w:rPr>
          <w:rFonts w:eastAsia="Calibri"/>
          <w:b/>
          <w:bCs/>
          <w:i/>
          <w:iCs/>
          <w:sz w:val="28"/>
          <w:szCs w:val="28"/>
        </w:rPr>
        <w:t>s</w:t>
      </w:r>
    </w:p>
    <w:p w14:paraId="05B2EC14" w14:textId="77777777" w:rsidR="006D00DB" w:rsidRPr="006D00DB" w:rsidRDefault="006D00DB" w:rsidP="006D00DB">
      <w:pPr>
        <w:spacing w:before="0" w:after="200" w:line="276" w:lineRule="auto"/>
        <w:jc w:val="center"/>
        <w:rPr>
          <w:rFonts w:eastAsia="Calibri"/>
          <w:b/>
          <w:bCs/>
          <w:i/>
          <w:iCs/>
          <w:sz w:val="28"/>
          <w:szCs w:val="28"/>
        </w:rPr>
      </w:pPr>
    </w:p>
    <w:p w14:paraId="3C176B4C" w14:textId="77777777" w:rsidR="006D00DB" w:rsidRPr="006D00DB" w:rsidRDefault="006D00DB" w:rsidP="006D00DB">
      <w:pPr>
        <w:spacing w:before="0" w:after="200" w:line="276" w:lineRule="auto"/>
        <w:jc w:val="center"/>
        <w:rPr>
          <w:rFonts w:eastAsia="Calibri"/>
          <w:i/>
          <w:iCs/>
        </w:rPr>
      </w:pPr>
      <w:r w:rsidRPr="006D00DB">
        <w:rPr>
          <w:rFonts w:eastAsia="Calibri"/>
          <w:i/>
          <w:iCs/>
        </w:rPr>
        <w:t>Je dédie ce travail</w:t>
      </w:r>
    </w:p>
    <w:p w14:paraId="697C06A4" w14:textId="77777777" w:rsidR="006D00DB" w:rsidRPr="006D00DB" w:rsidRDefault="006D00DB" w:rsidP="006D00DB">
      <w:pPr>
        <w:spacing w:before="0" w:after="200" w:line="276" w:lineRule="auto"/>
        <w:jc w:val="center"/>
        <w:rPr>
          <w:rFonts w:eastAsia="Calibri"/>
          <w:i/>
          <w:iCs/>
        </w:rPr>
      </w:pPr>
      <w:r w:rsidRPr="006D00DB">
        <w:rPr>
          <w:rFonts w:eastAsia="Calibri"/>
          <w:i/>
          <w:iCs/>
        </w:rPr>
        <w:t>À mon Dieu,</w:t>
      </w:r>
    </w:p>
    <w:p w14:paraId="5617BF15" w14:textId="77777777" w:rsidR="006D00DB" w:rsidRPr="006D00DB" w:rsidRDefault="006D00DB" w:rsidP="006D00DB">
      <w:pPr>
        <w:spacing w:before="0" w:after="200" w:line="276" w:lineRule="auto"/>
        <w:jc w:val="center"/>
        <w:rPr>
          <w:rFonts w:eastAsia="Calibri"/>
          <w:i/>
          <w:iCs/>
        </w:rPr>
      </w:pPr>
      <w:r w:rsidRPr="006D00DB">
        <w:rPr>
          <w:rFonts w:eastAsia="Calibri"/>
          <w:i/>
          <w:iCs/>
        </w:rPr>
        <w:t>À mes parents, à ma mère pour m'avoir aidé et avoir été à mes côtés tout au long de mes années d'études, à mon père qui m'a apporté leur soutien.</w:t>
      </w:r>
    </w:p>
    <w:p w14:paraId="680A6BFB" w14:textId="77777777" w:rsidR="006D00DB" w:rsidRPr="006D00DB" w:rsidRDefault="006D00DB" w:rsidP="006D00DB">
      <w:pPr>
        <w:spacing w:before="0" w:after="200" w:line="276" w:lineRule="auto"/>
        <w:jc w:val="center"/>
        <w:rPr>
          <w:rFonts w:eastAsia="Calibri"/>
          <w:i/>
          <w:iCs/>
        </w:rPr>
      </w:pPr>
      <w:r w:rsidRPr="006D00DB">
        <w:rPr>
          <w:rFonts w:eastAsia="Calibri"/>
          <w:i/>
          <w:iCs/>
        </w:rPr>
        <w:t>À ma sœur unique Fatima qui est toujours à mes côtés et me conseille, et à mon frère Samir.</w:t>
      </w:r>
    </w:p>
    <w:p w14:paraId="72DD76D7" w14:textId="77777777" w:rsidR="006D00DB" w:rsidRPr="006D00DB" w:rsidRDefault="006D00DB" w:rsidP="006D00DB">
      <w:pPr>
        <w:spacing w:before="0" w:after="200" w:line="276" w:lineRule="auto"/>
        <w:jc w:val="center"/>
        <w:rPr>
          <w:rFonts w:eastAsia="Calibri"/>
          <w:i/>
          <w:iCs/>
        </w:rPr>
      </w:pPr>
      <w:r w:rsidRPr="006D00DB">
        <w:rPr>
          <w:rFonts w:eastAsia="Calibri"/>
          <w:i/>
          <w:iCs/>
        </w:rPr>
        <w:t>À mon trinôme  Zeyneb qui m'a toujours aidé à terminer mon travail et qui était très énergique dans son travail, et à Asma aussi.</w:t>
      </w:r>
    </w:p>
    <w:p w14:paraId="3524FD35" w14:textId="77777777" w:rsidR="006D00DB" w:rsidRPr="006D00DB" w:rsidRDefault="006D00DB" w:rsidP="006D00DB">
      <w:pPr>
        <w:spacing w:before="0" w:after="200" w:line="276" w:lineRule="auto"/>
        <w:jc w:val="center"/>
        <w:rPr>
          <w:rFonts w:eastAsia="Calibri"/>
        </w:rPr>
      </w:pPr>
      <w:r w:rsidRPr="006D00DB">
        <w:rPr>
          <w:rFonts w:eastAsia="Calibri"/>
          <w:i/>
          <w:iCs/>
        </w:rPr>
        <w:t>À tous mes amis de et à tous ceux que je connais à l’université, merci beaucoup d'avoir créé de beaux moments et des souvenirs que nous n'oublierons jamais</w:t>
      </w:r>
      <w:r w:rsidRPr="006D00DB">
        <w:rPr>
          <w:rFonts w:eastAsia="Calibri"/>
        </w:rPr>
        <w:t>.</w:t>
      </w:r>
    </w:p>
    <w:p w14:paraId="6712B1B1" w14:textId="77777777" w:rsidR="006D00DB" w:rsidRPr="006D00DB" w:rsidRDefault="006D00DB" w:rsidP="006D00DB">
      <w:pPr>
        <w:spacing w:before="0" w:after="200" w:line="276" w:lineRule="auto"/>
        <w:jc w:val="left"/>
        <w:rPr>
          <w:rFonts w:ascii="Calibri" w:eastAsia="Calibri" w:hAnsi="Calibri" w:cs="Arial"/>
          <w:sz w:val="22"/>
          <w:szCs w:val="22"/>
        </w:rPr>
      </w:pPr>
    </w:p>
    <w:p w14:paraId="5337D287" w14:textId="77777777" w:rsidR="006D00DB" w:rsidRPr="006D00DB" w:rsidRDefault="006D00DB" w:rsidP="006D00DB">
      <w:pPr>
        <w:spacing w:before="0" w:after="200" w:line="276" w:lineRule="auto"/>
        <w:jc w:val="left"/>
        <w:rPr>
          <w:rFonts w:ascii="Calibri" w:eastAsia="Calibri" w:hAnsi="Calibri" w:cs="Arial"/>
          <w:sz w:val="22"/>
          <w:szCs w:val="22"/>
        </w:rPr>
      </w:pPr>
    </w:p>
    <w:p w14:paraId="1F946F38" w14:textId="77777777" w:rsidR="006D00DB" w:rsidRPr="006D00DB" w:rsidRDefault="006D00DB" w:rsidP="006D00DB">
      <w:pPr>
        <w:spacing w:before="0" w:after="200" w:line="276" w:lineRule="auto"/>
        <w:jc w:val="left"/>
        <w:rPr>
          <w:rFonts w:ascii="Calibri" w:eastAsia="Calibri" w:hAnsi="Calibri" w:cs="Arial"/>
          <w:sz w:val="22"/>
          <w:szCs w:val="22"/>
        </w:rPr>
      </w:pPr>
    </w:p>
    <w:p w14:paraId="1C7B7995" w14:textId="77777777" w:rsidR="006D00DB" w:rsidRPr="006D00DB" w:rsidRDefault="006D00DB" w:rsidP="006D00DB">
      <w:pPr>
        <w:spacing w:before="0" w:after="200" w:line="276" w:lineRule="auto"/>
        <w:jc w:val="left"/>
        <w:rPr>
          <w:rFonts w:ascii="Calibri" w:eastAsia="Calibri" w:hAnsi="Calibri" w:cs="Arial"/>
          <w:sz w:val="22"/>
          <w:szCs w:val="22"/>
        </w:rPr>
      </w:pPr>
    </w:p>
    <w:p w14:paraId="47F4127C" w14:textId="77777777" w:rsidR="006D00DB" w:rsidRPr="006D00DB" w:rsidRDefault="006D00DB" w:rsidP="006D00DB">
      <w:pPr>
        <w:spacing w:before="0" w:after="200" w:line="276" w:lineRule="auto"/>
        <w:jc w:val="left"/>
        <w:rPr>
          <w:rFonts w:ascii="Calibri" w:eastAsia="Calibri" w:hAnsi="Calibri" w:cs="Arial"/>
          <w:sz w:val="22"/>
          <w:szCs w:val="22"/>
        </w:rPr>
      </w:pPr>
    </w:p>
    <w:p w14:paraId="7975F237" w14:textId="77777777" w:rsidR="006D00DB" w:rsidRPr="006D00DB" w:rsidRDefault="006D00DB" w:rsidP="006D00DB">
      <w:pPr>
        <w:spacing w:before="0" w:after="200" w:line="276" w:lineRule="auto"/>
        <w:jc w:val="left"/>
        <w:rPr>
          <w:rFonts w:ascii="Calibri" w:eastAsia="Calibri" w:hAnsi="Calibri" w:cs="Arial"/>
          <w:sz w:val="22"/>
          <w:szCs w:val="22"/>
        </w:rPr>
      </w:pPr>
    </w:p>
    <w:p w14:paraId="3CDA19A6" w14:textId="77777777" w:rsidR="006D00DB" w:rsidRPr="006D00DB" w:rsidRDefault="006D00DB" w:rsidP="006D00DB">
      <w:pPr>
        <w:spacing w:before="0" w:after="200" w:line="276" w:lineRule="auto"/>
        <w:jc w:val="left"/>
        <w:rPr>
          <w:rFonts w:ascii="Calibri" w:eastAsia="Calibri" w:hAnsi="Calibri" w:cs="Arial"/>
          <w:sz w:val="22"/>
          <w:szCs w:val="22"/>
        </w:rPr>
      </w:pPr>
    </w:p>
    <w:p w14:paraId="1616BDEA" w14:textId="77777777" w:rsidR="006D00DB" w:rsidRPr="006D00DB" w:rsidRDefault="006D00DB" w:rsidP="006D00DB">
      <w:pPr>
        <w:spacing w:before="0" w:after="200" w:line="276" w:lineRule="auto"/>
        <w:jc w:val="left"/>
        <w:rPr>
          <w:rFonts w:ascii="Calibri" w:eastAsia="Calibri" w:hAnsi="Calibri" w:cs="Arial"/>
          <w:sz w:val="22"/>
          <w:szCs w:val="22"/>
        </w:rPr>
      </w:pPr>
    </w:p>
    <w:p w14:paraId="01806DDD" w14:textId="77777777" w:rsidR="006D00DB" w:rsidRPr="006D00DB" w:rsidRDefault="006D00DB" w:rsidP="006D00DB">
      <w:pPr>
        <w:spacing w:before="0" w:after="200" w:line="276" w:lineRule="auto"/>
        <w:jc w:val="left"/>
        <w:rPr>
          <w:rFonts w:ascii="Calibri" w:eastAsia="Calibri" w:hAnsi="Calibri" w:cs="Arial"/>
          <w:sz w:val="22"/>
          <w:szCs w:val="22"/>
        </w:rPr>
      </w:pPr>
    </w:p>
    <w:p w14:paraId="37035F13" w14:textId="77777777" w:rsidR="006D00DB" w:rsidRPr="006D00DB" w:rsidRDefault="006D00DB" w:rsidP="006D00DB">
      <w:pPr>
        <w:spacing w:before="0" w:after="200" w:line="276" w:lineRule="auto"/>
        <w:jc w:val="left"/>
        <w:rPr>
          <w:rFonts w:ascii="Calibri" w:eastAsia="Calibri" w:hAnsi="Calibri" w:cs="Arial"/>
          <w:sz w:val="22"/>
          <w:szCs w:val="22"/>
        </w:rPr>
      </w:pPr>
    </w:p>
    <w:p w14:paraId="7C6D5674" w14:textId="77777777" w:rsidR="004B41A5" w:rsidRDefault="004B41A5" w:rsidP="006D00DB">
      <w:pPr>
        <w:spacing w:before="0" w:after="200" w:line="276" w:lineRule="auto"/>
        <w:jc w:val="left"/>
        <w:rPr>
          <w:rFonts w:ascii="Calibri" w:eastAsia="Calibri" w:hAnsi="Calibri" w:cs="Arial"/>
          <w:sz w:val="22"/>
          <w:szCs w:val="22"/>
        </w:rPr>
      </w:pPr>
    </w:p>
    <w:p w14:paraId="099A9A5A" w14:textId="77777777" w:rsidR="004B41A5" w:rsidRDefault="004B41A5" w:rsidP="006D00DB">
      <w:pPr>
        <w:spacing w:before="0" w:after="200" w:line="276" w:lineRule="auto"/>
        <w:jc w:val="left"/>
        <w:rPr>
          <w:rFonts w:ascii="Calibri" w:eastAsia="Calibri" w:hAnsi="Calibri" w:cs="Arial"/>
          <w:sz w:val="22"/>
          <w:szCs w:val="22"/>
        </w:rPr>
      </w:pPr>
    </w:p>
    <w:p w14:paraId="09591511" w14:textId="77777777" w:rsidR="004B41A5" w:rsidRDefault="004B41A5" w:rsidP="006D00DB">
      <w:pPr>
        <w:spacing w:before="0" w:after="200" w:line="276" w:lineRule="auto"/>
        <w:jc w:val="left"/>
        <w:rPr>
          <w:rFonts w:ascii="Calibri" w:eastAsia="Calibri" w:hAnsi="Calibri" w:cs="Arial"/>
          <w:sz w:val="22"/>
          <w:szCs w:val="22"/>
        </w:rPr>
      </w:pPr>
    </w:p>
    <w:p w14:paraId="50E9DB80" w14:textId="77777777" w:rsidR="006D00DB" w:rsidRPr="006D00DB" w:rsidRDefault="006D00DB" w:rsidP="006D00DB">
      <w:pPr>
        <w:spacing w:before="0" w:after="200" w:line="276" w:lineRule="auto"/>
        <w:jc w:val="left"/>
        <w:rPr>
          <w:rFonts w:ascii="Calibri" w:eastAsia="Calibri" w:hAnsi="Calibri" w:cs="Arial"/>
          <w:sz w:val="22"/>
          <w:szCs w:val="22"/>
        </w:rPr>
      </w:pPr>
    </w:p>
    <w:p w14:paraId="369695FE" w14:textId="77777777" w:rsidR="006D00DB" w:rsidRPr="006D00DB" w:rsidRDefault="006D00DB" w:rsidP="006D00DB">
      <w:pPr>
        <w:spacing w:before="0" w:after="200" w:line="276" w:lineRule="auto"/>
        <w:jc w:val="left"/>
        <w:rPr>
          <w:rFonts w:eastAsia="Calibri"/>
          <w:i/>
          <w:iCs/>
          <w:sz w:val="28"/>
          <w:szCs w:val="28"/>
        </w:rPr>
      </w:pPr>
      <w:r w:rsidRPr="006D00DB">
        <w:rPr>
          <w:rFonts w:ascii="Calibri" w:eastAsia="Calibri" w:hAnsi="Calibri" w:cs="Arial"/>
          <w:sz w:val="22"/>
          <w:szCs w:val="22"/>
        </w:rPr>
        <w:tab/>
      </w:r>
      <w:r w:rsidRPr="006D00DB">
        <w:rPr>
          <w:rFonts w:ascii="Calibri" w:eastAsia="Calibri" w:hAnsi="Calibri" w:cs="Arial"/>
          <w:sz w:val="22"/>
          <w:szCs w:val="22"/>
        </w:rPr>
        <w:tab/>
      </w:r>
      <w:r w:rsidRPr="006D00DB">
        <w:rPr>
          <w:rFonts w:ascii="Calibri" w:eastAsia="Calibri" w:hAnsi="Calibri" w:cs="Arial"/>
          <w:sz w:val="22"/>
          <w:szCs w:val="22"/>
        </w:rPr>
        <w:tab/>
      </w:r>
      <w:r w:rsidRPr="006D00DB">
        <w:rPr>
          <w:rFonts w:ascii="Calibri" w:eastAsia="Calibri" w:hAnsi="Calibri" w:cs="Arial"/>
          <w:sz w:val="22"/>
          <w:szCs w:val="22"/>
        </w:rPr>
        <w:tab/>
      </w:r>
      <w:r w:rsidRPr="006D00DB">
        <w:rPr>
          <w:rFonts w:ascii="Calibri" w:eastAsia="Calibri" w:hAnsi="Calibri" w:cs="Arial"/>
          <w:sz w:val="22"/>
          <w:szCs w:val="22"/>
        </w:rPr>
        <w:tab/>
      </w:r>
      <w:r w:rsidRPr="006D00DB">
        <w:rPr>
          <w:rFonts w:ascii="Calibri" w:eastAsia="Calibri" w:hAnsi="Calibri" w:cs="Arial"/>
          <w:sz w:val="22"/>
          <w:szCs w:val="22"/>
        </w:rPr>
        <w:tab/>
      </w:r>
      <w:r w:rsidRPr="006D00DB">
        <w:rPr>
          <w:rFonts w:ascii="Calibri" w:eastAsia="Calibri" w:hAnsi="Calibri" w:cs="Arial"/>
          <w:sz w:val="22"/>
          <w:szCs w:val="22"/>
        </w:rPr>
        <w:tab/>
      </w:r>
      <w:r w:rsidRPr="006D00DB">
        <w:rPr>
          <w:rFonts w:ascii="Calibri" w:eastAsia="Calibri" w:hAnsi="Calibri" w:cs="Arial"/>
          <w:sz w:val="22"/>
          <w:szCs w:val="22"/>
        </w:rPr>
        <w:tab/>
      </w:r>
      <w:r w:rsidRPr="006D00DB">
        <w:rPr>
          <w:rFonts w:ascii="Calibri" w:eastAsia="Calibri" w:hAnsi="Calibri" w:cs="Arial"/>
          <w:sz w:val="22"/>
          <w:szCs w:val="22"/>
        </w:rPr>
        <w:tab/>
      </w:r>
      <w:r w:rsidRPr="006D00DB">
        <w:rPr>
          <w:rFonts w:ascii="Calibri" w:eastAsia="Calibri" w:hAnsi="Calibri" w:cs="Arial"/>
          <w:sz w:val="22"/>
          <w:szCs w:val="22"/>
        </w:rPr>
        <w:tab/>
      </w:r>
      <w:r w:rsidRPr="006D00DB">
        <w:rPr>
          <w:rFonts w:ascii="Calibri" w:eastAsia="Calibri" w:hAnsi="Calibri" w:cs="Arial"/>
          <w:sz w:val="22"/>
          <w:szCs w:val="22"/>
        </w:rPr>
        <w:tab/>
      </w:r>
      <w:r w:rsidRPr="006D00DB">
        <w:rPr>
          <w:rFonts w:eastAsia="Calibri"/>
          <w:i/>
          <w:iCs/>
          <w:sz w:val="28"/>
          <w:szCs w:val="28"/>
        </w:rPr>
        <w:t>Hakim</w:t>
      </w:r>
    </w:p>
    <w:p w14:paraId="068B4F0E" w14:textId="77777777" w:rsidR="006D00DB" w:rsidRDefault="006D00DB" w:rsidP="00CF0688">
      <w:pPr>
        <w:spacing w:line="276" w:lineRule="auto"/>
        <w:jc w:val="center"/>
        <w:rPr>
          <w:b/>
          <w:bCs/>
          <w:sz w:val="28"/>
          <w:szCs w:val="28"/>
        </w:rPr>
      </w:pPr>
    </w:p>
    <w:p w14:paraId="29647440" w14:textId="77777777" w:rsidR="006D00DB" w:rsidRDefault="006D00DB" w:rsidP="00CF0688">
      <w:pPr>
        <w:spacing w:line="276" w:lineRule="auto"/>
        <w:jc w:val="center"/>
        <w:rPr>
          <w:b/>
          <w:bCs/>
          <w:sz w:val="28"/>
          <w:szCs w:val="28"/>
        </w:rPr>
      </w:pPr>
    </w:p>
    <w:p w14:paraId="0DCC7C84" w14:textId="77777777" w:rsidR="006D00DB" w:rsidRDefault="006D00DB" w:rsidP="00CF0688">
      <w:pPr>
        <w:spacing w:line="276" w:lineRule="auto"/>
        <w:jc w:val="center"/>
        <w:rPr>
          <w:b/>
          <w:bCs/>
          <w:sz w:val="28"/>
          <w:szCs w:val="28"/>
        </w:rPr>
      </w:pPr>
    </w:p>
    <w:p w14:paraId="01C42566" w14:textId="77777777" w:rsidR="004B41A5" w:rsidRDefault="004B41A5" w:rsidP="006D00DB">
      <w:pPr>
        <w:spacing w:before="0" w:after="200" w:line="276" w:lineRule="auto"/>
        <w:jc w:val="center"/>
        <w:rPr>
          <w:rFonts w:eastAsia="Calibri"/>
          <w:b/>
          <w:bCs/>
          <w:i/>
          <w:iCs/>
          <w:sz w:val="28"/>
          <w:szCs w:val="28"/>
        </w:rPr>
      </w:pPr>
    </w:p>
    <w:p w14:paraId="5B54ECC6" w14:textId="42DC9EB3" w:rsidR="006D00DB" w:rsidRPr="006D00DB" w:rsidRDefault="006D00DB" w:rsidP="006D00DB">
      <w:pPr>
        <w:spacing w:before="0" w:after="200" w:line="276" w:lineRule="auto"/>
        <w:jc w:val="center"/>
        <w:rPr>
          <w:rFonts w:eastAsia="Calibri"/>
          <w:b/>
          <w:bCs/>
          <w:i/>
          <w:iCs/>
          <w:sz w:val="28"/>
          <w:szCs w:val="28"/>
        </w:rPr>
      </w:pPr>
      <w:r w:rsidRPr="006D00DB">
        <w:rPr>
          <w:rFonts w:eastAsia="Calibri"/>
          <w:b/>
          <w:bCs/>
          <w:i/>
          <w:iCs/>
          <w:sz w:val="28"/>
          <w:szCs w:val="28"/>
        </w:rPr>
        <w:t>Dédicace</w:t>
      </w:r>
      <w:r w:rsidR="00005629">
        <w:rPr>
          <w:rFonts w:eastAsia="Calibri"/>
          <w:b/>
          <w:bCs/>
          <w:i/>
          <w:iCs/>
          <w:sz w:val="28"/>
          <w:szCs w:val="28"/>
        </w:rPr>
        <w:t>s</w:t>
      </w:r>
    </w:p>
    <w:p w14:paraId="640C5194" w14:textId="77777777" w:rsidR="006D00DB" w:rsidRPr="006D00DB" w:rsidRDefault="006D00DB" w:rsidP="006D00DB">
      <w:pPr>
        <w:spacing w:before="0" w:after="200" w:line="276" w:lineRule="auto"/>
        <w:jc w:val="center"/>
        <w:rPr>
          <w:rFonts w:eastAsia="Calibri"/>
          <w:b/>
          <w:bCs/>
          <w:i/>
          <w:iCs/>
          <w:sz w:val="28"/>
          <w:szCs w:val="28"/>
        </w:rPr>
      </w:pPr>
    </w:p>
    <w:p w14:paraId="7A6AE5FE" w14:textId="11FE4922" w:rsidR="00785C11" w:rsidRPr="00785C11" w:rsidRDefault="00785C11" w:rsidP="00785C11">
      <w:pPr>
        <w:spacing w:before="0" w:after="200" w:line="276" w:lineRule="auto"/>
        <w:jc w:val="center"/>
        <w:rPr>
          <w:rFonts w:eastAsia="Calibri"/>
          <w:i/>
          <w:iCs/>
        </w:rPr>
      </w:pPr>
      <w:r w:rsidRPr="00785C11">
        <w:rPr>
          <w:rFonts w:eastAsia="Calibri"/>
          <w:i/>
          <w:iCs/>
        </w:rPr>
        <w:t>Je dédie ce travail</w:t>
      </w:r>
      <w:r w:rsidRPr="00785C11">
        <w:rPr>
          <w:rFonts w:eastAsia="Calibri"/>
          <w:i/>
          <w:iCs/>
        </w:rPr>
        <w:br/>
        <w:t>À mon Dieu</w:t>
      </w:r>
      <w:r w:rsidR="00314144" w:rsidRPr="00785C11">
        <w:rPr>
          <w:rFonts w:eastAsia="Calibri"/>
          <w:i/>
          <w:iCs/>
        </w:rPr>
        <w:t xml:space="preserve">, </w:t>
      </w:r>
      <w:r w:rsidRPr="00785C11">
        <w:rPr>
          <w:rFonts w:eastAsia="Calibri"/>
          <w:i/>
          <w:iCs/>
        </w:rPr>
        <w:br/>
        <w:t>À mes parents, à ma mère pour son soutien inconditionnel tout au long de mes années d'études, à mon père pour son soutien tant psychologique que matériel.</w:t>
      </w:r>
      <w:r w:rsidRPr="00785C11">
        <w:rPr>
          <w:rFonts w:eastAsia="Calibri"/>
          <w:i/>
          <w:iCs/>
        </w:rPr>
        <w:br/>
      </w:r>
      <w:r w:rsidRPr="00785C11">
        <w:rPr>
          <w:rFonts w:eastAsia="Calibri"/>
          <w:i/>
          <w:iCs/>
        </w:rPr>
        <w:br/>
        <w:t xml:space="preserve">À mes </w:t>
      </w:r>
      <w:r w:rsidR="00AE648F" w:rsidRPr="00785C11">
        <w:rPr>
          <w:rFonts w:eastAsia="Calibri"/>
          <w:i/>
          <w:iCs/>
        </w:rPr>
        <w:t>sœurs</w:t>
      </w:r>
      <w:r w:rsidRPr="00785C11">
        <w:rPr>
          <w:rFonts w:eastAsia="Calibri"/>
          <w:i/>
          <w:iCs/>
        </w:rPr>
        <w:t xml:space="preserve"> et mon fiancé qui m'ont beaucoup aidé, et un grand merci à mon frère </w:t>
      </w:r>
      <w:r w:rsidR="00AE648F" w:rsidRPr="00785C11">
        <w:rPr>
          <w:rFonts w:eastAsia="Calibri"/>
          <w:i/>
          <w:iCs/>
        </w:rPr>
        <w:t>Anwar</w:t>
      </w:r>
      <w:r w:rsidRPr="00785C11">
        <w:rPr>
          <w:rFonts w:eastAsia="Calibri"/>
          <w:i/>
          <w:iCs/>
        </w:rPr>
        <w:t xml:space="preserve"> pour ses précieux conseils, ainsi qu'à toutes mes amies, Un grand merci à mes collègues de travail Hakim et Zeyneb qui ont fait un excellent travail et m'ont beaucoup aidé.</w:t>
      </w:r>
      <w:r w:rsidRPr="00785C11">
        <w:rPr>
          <w:rFonts w:eastAsia="Calibri"/>
          <w:i/>
          <w:iCs/>
        </w:rPr>
        <w:br/>
      </w:r>
      <w:r w:rsidRPr="00785C11">
        <w:rPr>
          <w:rFonts w:eastAsia="Calibri"/>
          <w:i/>
          <w:iCs/>
        </w:rPr>
        <w:br/>
        <w:t>Tout mon respect et ma gratitude à tous les excellents professeurs et enseignantes pour leur aide et leur encouragement, ainsi qu'au personnel administratif pour leur dévouement envers nous.</w:t>
      </w:r>
      <w:r w:rsidRPr="00785C11">
        <w:rPr>
          <w:rFonts w:eastAsia="Calibri"/>
          <w:i/>
          <w:iCs/>
        </w:rPr>
        <w:br/>
        <w:t>Je vous suis reconnaissant(e).</w:t>
      </w:r>
    </w:p>
    <w:p w14:paraId="25A909FA" w14:textId="77777777" w:rsidR="006D00DB" w:rsidRPr="006D00DB" w:rsidRDefault="006D00DB" w:rsidP="006D00DB">
      <w:pPr>
        <w:spacing w:before="0" w:after="200" w:line="276" w:lineRule="auto"/>
        <w:jc w:val="center"/>
        <w:rPr>
          <w:rFonts w:eastAsia="Calibri"/>
          <w:i/>
          <w:iCs/>
        </w:rPr>
      </w:pPr>
    </w:p>
    <w:p w14:paraId="60F079B6" w14:textId="77777777" w:rsidR="006D00DB" w:rsidRPr="006D00DB" w:rsidRDefault="006D00DB" w:rsidP="006D00DB">
      <w:pPr>
        <w:spacing w:before="0" w:after="200" w:line="276" w:lineRule="auto"/>
        <w:jc w:val="center"/>
        <w:rPr>
          <w:rFonts w:eastAsia="Calibri"/>
          <w:i/>
          <w:iCs/>
        </w:rPr>
      </w:pPr>
    </w:p>
    <w:p w14:paraId="047A164F" w14:textId="77777777" w:rsidR="006D00DB" w:rsidRPr="006D00DB" w:rsidRDefault="006D00DB" w:rsidP="006D00DB">
      <w:pPr>
        <w:spacing w:before="0" w:after="200" w:line="276" w:lineRule="auto"/>
        <w:jc w:val="center"/>
        <w:rPr>
          <w:rFonts w:eastAsia="Calibri"/>
          <w:i/>
          <w:iCs/>
        </w:rPr>
      </w:pPr>
    </w:p>
    <w:p w14:paraId="5AB68A59" w14:textId="77777777" w:rsidR="006D00DB" w:rsidRPr="006D00DB" w:rsidRDefault="006D00DB" w:rsidP="006D00DB">
      <w:pPr>
        <w:spacing w:before="0" w:after="200" w:line="276" w:lineRule="auto"/>
        <w:jc w:val="center"/>
        <w:rPr>
          <w:rFonts w:eastAsia="Calibri"/>
          <w:i/>
          <w:iCs/>
        </w:rPr>
      </w:pPr>
    </w:p>
    <w:p w14:paraId="27E65445" w14:textId="77777777" w:rsidR="006D00DB" w:rsidRPr="006D00DB" w:rsidRDefault="006D00DB" w:rsidP="006D00DB">
      <w:pPr>
        <w:spacing w:before="0" w:after="200" w:line="276" w:lineRule="auto"/>
        <w:jc w:val="center"/>
        <w:rPr>
          <w:rFonts w:eastAsia="Calibri"/>
          <w:i/>
          <w:iCs/>
        </w:rPr>
      </w:pPr>
    </w:p>
    <w:p w14:paraId="4A3BB009" w14:textId="77777777" w:rsidR="006D00DB" w:rsidRPr="006D00DB" w:rsidRDefault="006D00DB" w:rsidP="006D00DB">
      <w:pPr>
        <w:spacing w:before="0" w:after="200" w:line="276" w:lineRule="auto"/>
        <w:jc w:val="center"/>
        <w:rPr>
          <w:rFonts w:eastAsia="Calibri"/>
          <w:i/>
          <w:iCs/>
        </w:rPr>
      </w:pPr>
    </w:p>
    <w:p w14:paraId="6EDD225B" w14:textId="77777777" w:rsidR="006D00DB" w:rsidRPr="006D00DB" w:rsidRDefault="006D00DB" w:rsidP="006D00DB">
      <w:pPr>
        <w:spacing w:before="0" w:after="200" w:line="276" w:lineRule="auto"/>
        <w:jc w:val="center"/>
        <w:rPr>
          <w:rFonts w:eastAsia="Calibri"/>
          <w:i/>
          <w:iCs/>
        </w:rPr>
      </w:pPr>
    </w:p>
    <w:p w14:paraId="347BFC23" w14:textId="77777777" w:rsidR="006D00DB" w:rsidRPr="006D00DB" w:rsidRDefault="006D00DB" w:rsidP="006D00DB">
      <w:pPr>
        <w:spacing w:before="0" w:after="200" w:line="276" w:lineRule="auto"/>
        <w:jc w:val="center"/>
        <w:rPr>
          <w:rFonts w:eastAsia="Calibri"/>
          <w:i/>
          <w:iCs/>
        </w:rPr>
      </w:pPr>
    </w:p>
    <w:p w14:paraId="1384A6F4" w14:textId="77777777" w:rsidR="006D00DB" w:rsidRPr="006D00DB" w:rsidRDefault="006D00DB" w:rsidP="006D00DB">
      <w:pPr>
        <w:spacing w:before="0" w:after="200" w:line="276" w:lineRule="auto"/>
        <w:jc w:val="center"/>
        <w:rPr>
          <w:rFonts w:eastAsia="Calibri"/>
          <w:i/>
          <w:iCs/>
        </w:rPr>
      </w:pPr>
    </w:p>
    <w:p w14:paraId="6305A91E" w14:textId="77777777" w:rsidR="006D00DB" w:rsidRDefault="006D00DB" w:rsidP="006D00DB">
      <w:pPr>
        <w:spacing w:before="0" w:after="200" w:line="276" w:lineRule="auto"/>
        <w:ind w:left="7788"/>
        <w:jc w:val="left"/>
        <w:rPr>
          <w:rFonts w:eastAsia="Calibri"/>
          <w:i/>
          <w:iCs/>
        </w:rPr>
      </w:pPr>
    </w:p>
    <w:p w14:paraId="7364399F" w14:textId="77777777" w:rsidR="00785C11" w:rsidRDefault="00785C11" w:rsidP="006D00DB">
      <w:pPr>
        <w:spacing w:before="0" w:after="200" w:line="276" w:lineRule="auto"/>
        <w:ind w:left="7788"/>
        <w:jc w:val="left"/>
        <w:rPr>
          <w:rFonts w:eastAsia="Calibri"/>
          <w:i/>
          <w:iCs/>
        </w:rPr>
      </w:pPr>
    </w:p>
    <w:p w14:paraId="67037927" w14:textId="77777777" w:rsidR="00785C11" w:rsidRDefault="00785C11" w:rsidP="006D00DB">
      <w:pPr>
        <w:spacing w:before="0" w:after="200" w:line="276" w:lineRule="auto"/>
        <w:ind w:left="7788"/>
        <w:jc w:val="left"/>
        <w:rPr>
          <w:rFonts w:eastAsia="Calibri"/>
          <w:i/>
          <w:iCs/>
        </w:rPr>
      </w:pPr>
    </w:p>
    <w:p w14:paraId="7220FE90" w14:textId="77777777" w:rsidR="00785C11" w:rsidRPr="006D00DB" w:rsidRDefault="00785C11" w:rsidP="006D00DB">
      <w:pPr>
        <w:spacing w:before="0" w:after="200" w:line="276" w:lineRule="auto"/>
        <w:ind w:left="7788"/>
        <w:jc w:val="left"/>
        <w:rPr>
          <w:rFonts w:eastAsia="Calibri"/>
          <w:i/>
          <w:iCs/>
        </w:rPr>
      </w:pPr>
    </w:p>
    <w:p w14:paraId="6B35D2DD" w14:textId="77777777" w:rsidR="006D00DB" w:rsidRPr="006D00DB" w:rsidRDefault="006D00DB" w:rsidP="006D00DB">
      <w:pPr>
        <w:spacing w:before="0" w:after="200" w:line="276" w:lineRule="auto"/>
        <w:ind w:left="7788"/>
        <w:jc w:val="left"/>
        <w:rPr>
          <w:rFonts w:eastAsia="Calibri"/>
          <w:i/>
          <w:iCs/>
        </w:rPr>
      </w:pPr>
      <w:r w:rsidRPr="006D00DB">
        <w:rPr>
          <w:rFonts w:eastAsia="Calibri"/>
          <w:i/>
          <w:iCs/>
          <w:sz w:val="28"/>
          <w:szCs w:val="28"/>
        </w:rPr>
        <w:t>Asma</w:t>
      </w:r>
    </w:p>
    <w:p w14:paraId="78D18F71" w14:textId="77777777" w:rsidR="006D00DB" w:rsidRDefault="006D00DB" w:rsidP="00CF0688">
      <w:pPr>
        <w:spacing w:line="276" w:lineRule="auto"/>
        <w:jc w:val="center"/>
        <w:rPr>
          <w:b/>
          <w:bCs/>
          <w:sz w:val="28"/>
          <w:szCs w:val="28"/>
        </w:rPr>
      </w:pPr>
    </w:p>
    <w:p w14:paraId="4A04F89B" w14:textId="77777777" w:rsidR="006D00DB" w:rsidRDefault="006D00DB" w:rsidP="00CF0688">
      <w:pPr>
        <w:spacing w:line="276" w:lineRule="auto"/>
        <w:jc w:val="center"/>
        <w:rPr>
          <w:b/>
          <w:bCs/>
          <w:sz w:val="28"/>
          <w:szCs w:val="28"/>
        </w:rPr>
      </w:pPr>
    </w:p>
    <w:p w14:paraId="4029445C" w14:textId="77777777" w:rsidR="00794BF9" w:rsidRDefault="005D31BA" w:rsidP="006D00DB">
      <w:pPr>
        <w:spacing w:line="276" w:lineRule="auto"/>
        <w:jc w:val="center"/>
        <w:rPr>
          <w:b/>
          <w:bCs/>
          <w:sz w:val="28"/>
          <w:szCs w:val="28"/>
        </w:rPr>
      </w:pPr>
      <w:r w:rsidRPr="00D509CA">
        <w:rPr>
          <w:b/>
          <w:bCs/>
          <w:sz w:val="28"/>
          <w:szCs w:val="28"/>
        </w:rPr>
        <w:lastRenderedPageBreak/>
        <w:t>Sommaire</w:t>
      </w:r>
      <w:bookmarkEnd w:id="0"/>
    </w:p>
    <w:p w14:paraId="31B83DB4" w14:textId="77777777" w:rsidR="00794BF9" w:rsidRDefault="00794BF9" w:rsidP="006D00DB">
      <w:pPr>
        <w:spacing w:line="276" w:lineRule="auto"/>
        <w:jc w:val="center"/>
        <w:rPr>
          <w:b/>
          <w:bCs/>
          <w:sz w:val="28"/>
          <w:szCs w:val="28"/>
        </w:rPr>
      </w:pPr>
    </w:p>
    <w:p w14:paraId="26DAE61B" w14:textId="77777777" w:rsidR="009C03B5" w:rsidRDefault="009C03B5">
      <w:pPr>
        <w:pStyle w:val="TM2"/>
        <w:rPr>
          <w:rFonts w:asciiTheme="minorHAnsi" w:eastAsiaTheme="minorEastAsia" w:hAnsiTheme="minorHAnsi" w:cstheme="minorBidi"/>
          <w:b w:val="0"/>
          <w:bCs w:val="0"/>
          <w:sz w:val="22"/>
          <w:szCs w:val="22"/>
          <w:lang w:eastAsia="fr-FR" w:bidi="ar-SA"/>
        </w:rPr>
      </w:pPr>
      <w:r>
        <w:rPr>
          <w:rFonts w:asciiTheme="majorBidi" w:hAnsiTheme="majorBidi" w:cstheme="majorBidi"/>
          <w:sz w:val="28"/>
          <w:szCs w:val="28"/>
        </w:rPr>
        <w:fldChar w:fldCharType="begin"/>
      </w:r>
      <w:r>
        <w:rPr>
          <w:rFonts w:asciiTheme="majorBidi" w:hAnsiTheme="majorBidi" w:cstheme="majorBidi"/>
          <w:sz w:val="28"/>
          <w:szCs w:val="28"/>
        </w:rPr>
        <w:instrText xml:space="preserve"> TOC \o "1-3" \h \z \u </w:instrText>
      </w:r>
      <w:r>
        <w:rPr>
          <w:rFonts w:asciiTheme="majorBidi" w:hAnsiTheme="majorBidi" w:cstheme="majorBidi"/>
          <w:sz w:val="28"/>
          <w:szCs w:val="28"/>
        </w:rPr>
        <w:fldChar w:fldCharType="separate"/>
      </w:r>
      <w:hyperlink w:anchor="_Toc170226650" w:history="1">
        <w:r w:rsidRPr="00E67782">
          <w:rPr>
            <w:rStyle w:val="Lienhypertexte"/>
          </w:rPr>
          <w:t>Résumé</w:t>
        </w:r>
        <w:r>
          <w:rPr>
            <w:webHidden/>
          </w:rPr>
          <w:tab/>
        </w:r>
        <w:r>
          <w:rPr>
            <w:webHidden/>
          </w:rPr>
          <w:fldChar w:fldCharType="begin"/>
        </w:r>
        <w:r>
          <w:rPr>
            <w:webHidden/>
          </w:rPr>
          <w:instrText xml:space="preserve"> PAGEREF _Toc170226650 \h </w:instrText>
        </w:r>
        <w:r>
          <w:rPr>
            <w:webHidden/>
          </w:rPr>
        </w:r>
        <w:r>
          <w:rPr>
            <w:webHidden/>
          </w:rPr>
          <w:fldChar w:fldCharType="separate"/>
        </w:r>
        <w:r>
          <w:rPr>
            <w:webHidden/>
          </w:rPr>
          <w:t>i</w:t>
        </w:r>
        <w:r>
          <w:rPr>
            <w:webHidden/>
          </w:rPr>
          <w:fldChar w:fldCharType="end"/>
        </w:r>
      </w:hyperlink>
    </w:p>
    <w:p w14:paraId="36BA5201" w14:textId="77777777" w:rsidR="009C03B5" w:rsidRDefault="00D15EAC">
      <w:pPr>
        <w:pStyle w:val="TM2"/>
        <w:rPr>
          <w:rFonts w:asciiTheme="minorHAnsi" w:eastAsiaTheme="minorEastAsia" w:hAnsiTheme="minorHAnsi" w:cstheme="minorBidi"/>
          <w:b w:val="0"/>
          <w:bCs w:val="0"/>
          <w:sz w:val="22"/>
          <w:szCs w:val="22"/>
          <w:lang w:eastAsia="fr-FR" w:bidi="ar-SA"/>
        </w:rPr>
      </w:pPr>
      <w:hyperlink w:anchor="_Toc170226651" w:history="1">
        <w:r w:rsidR="009C03B5" w:rsidRPr="00E67782">
          <w:rPr>
            <w:rStyle w:val="Lienhypertexte"/>
            <w:lang w:val="en-US"/>
          </w:rPr>
          <w:t>Liste des abbreviations</w:t>
        </w:r>
        <w:r w:rsidR="009C03B5">
          <w:rPr>
            <w:webHidden/>
          </w:rPr>
          <w:tab/>
        </w:r>
        <w:r w:rsidR="009C03B5">
          <w:rPr>
            <w:webHidden/>
          </w:rPr>
          <w:fldChar w:fldCharType="begin"/>
        </w:r>
        <w:r w:rsidR="009C03B5">
          <w:rPr>
            <w:webHidden/>
          </w:rPr>
          <w:instrText xml:space="preserve"> PAGEREF _Toc170226651 \h </w:instrText>
        </w:r>
        <w:r w:rsidR="009C03B5">
          <w:rPr>
            <w:webHidden/>
          </w:rPr>
        </w:r>
        <w:r w:rsidR="009C03B5">
          <w:rPr>
            <w:webHidden/>
          </w:rPr>
          <w:fldChar w:fldCharType="separate"/>
        </w:r>
        <w:r w:rsidR="009C03B5">
          <w:rPr>
            <w:webHidden/>
          </w:rPr>
          <w:t>ii</w:t>
        </w:r>
        <w:r w:rsidR="009C03B5">
          <w:rPr>
            <w:webHidden/>
          </w:rPr>
          <w:fldChar w:fldCharType="end"/>
        </w:r>
      </w:hyperlink>
    </w:p>
    <w:p w14:paraId="24E8D30C" w14:textId="77777777" w:rsidR="009C03B5" w:rsidRDefault="00D15EAC">
      <w:pPr>
        <w:pStyle w:val="TM2"/>
        <w:rPr>
          <w:rFonts w:asciiTheme="minorHAnsi" w:eastAsiaTheme="minorEastAsia" w:hAnsiTheme="minorHAnsi" w:cstheme="minorBidi"/>
          <w:b w:val="0"/>
          <w:bCs w:val="0"/>
          <w:sz w:val="22"/>
          <w:szCs w:val="22"/>
          <w:lang w:eastAsia="fr-FR" w:bidi="ar-SA"/>
        </w:rPr>
      </w:pPr>
      <w:hyperlink w:anchor="_Toc170226652" w:history="1">
        <w:r w:rsidR="009C03B5" w:rsidRPr="00E67782">
          <w:rPr>
            <w:rStyle w:val="Lienhypertexte"/>
          </w:rPr>
          <w:t>Liste des figures</w:t>
        </w:r>
        <w:r w:rsidR="009C03B5">
          <w:rPr>
            <w:webHidden/>
          </w:rPr>
          <w:tab/>
        </w:r>
        <w:r w:rsidR="009C03B5">
          <w:rPr>
            <w:webHidden/>
          </w:rPr>
          <w:fldChar w:fldCharType="begin"/>
        </w:r>
        <w:r w:rsidR="009C03B5">
          <w:rPr>
            <w:webHidden/>
          </w:rPr>
          <w:instrText xml:space="preserve"> PAGEREF _Toc170226652 \h </w:instrText>
        </w:r>
        <w:r w:rsidR="009C03B5">
          <w:rPr>
            <w:webHidden/>
          </w:rPr>
        </w:r>
        <w:r w:rsidR="009C03B5">
          <w:rPr>
            <w:webHidden/>
          </w:rPr>
          <w:fldChar w:fldCharType="separate"/>
        </w:r>
        <w:r w:rsidR="009C03B5">
          <w:rPr>
            <w:webHidden/>
          </w:rPr>
          <w:t>v</w:t>
        </w:r>
        <w:r w:rsidR="009C03B5">
          <w:rPr>
            <w:webHidden/>
          </w:rPr>
          <w:fldChar w:fldCharType="end"/>
        </w:r>
      </w:hyperlink>
    </w:p>
    <w:p w14:paraId="12F52F4E" w14:textId="77777777" w:rsidR="009C03B5" w:rsidRDefault="00D15EAC">
      <w:pPr>
        <w:pStyle w:val="TM2"/>
        <w:rPr>
          <w:rFonts w:asciiTheme="minorHAnsi" w:eastAsiaTheme="minorEastAsia" w:hAnsiTheme="minorHAnsi" w:cstheme="minorBidi"/>
          <w:b w:val="0"/>
          <w:bCs w:val="0"/>
          <w:sz w:val="22"/>
          <w:szCs w:val="22"/>
          <w:lang w:eastAsia="fr-FR" w:bidi="ar-SA"/>
        </w:rPr>
      </w:pPr>
      <w:hyperlink w:anchor="_Toc170226653" w:history="1">
        <w:r w:rsidR="009C03B5" w:rsidRPr="00E67782">
          <w:rPr>
            <w:rStyle w:val="Lienhypertexte"/>
          </w:rPr>
          <w:t>Liste des tableaux</w:t>
        </w:r>
        <w:r w:rsidR="009C03B5">
          <w:rPr>
            <w:webHidden/>
          </w:rPr>
          <w:tab/>
        </w:r>
        <w:r w:rsidR="009C03B5">
          <w:rPr>
            <w:webHidden/>
          </w:rPr>
          <w:fldChar w:fldCharType="begin"/>
        </w:r>
        <w:r w:rsidR="009C03B5">
          <w:rPr>
            <w:webHidden/>
          </w:rPr>
          <w:instrText xml:space="preserve"> PAGEREF _Toc170226653 \h </w:instrText>
        </w:r>
        <w:r w:rsidR="009C03B5">
          <w:rPr>
            <w:webHidden/>
          </w:rPr>
        </w:r>
        <w:r w:rsidR="009C03B5">
          <w:rPr>
            <w:webHidden/>
          </w:rPr>
          <w:fldChar w:fldCharType="separate"/>
        </w:r>
        <w:r w:rsidR="009C03B5">
          <w:rPr>
            <w:webHidden/>
          </w:rPr>
          <w:t>vi</w:t>
        </w:r>
        <w:r w:rsidR="009C03B5">
          <w:rPr>
            <w:webHidden/>
          </w:rPr>
          <w:fldChar w:fldCharType="end"/>
        </w:r>
      </w:hyperlink>
    </w:p>
    <w:p w14:paraId="632482CC" w14:textId="77777777" w:rsidR="009C03B5" w:rsidRDefault="00D15EAC">
      <w:pPr>
        <w:pStyle w:val="TM1"/>
        <w:rPr>
          <w:rFonts w:asciiTheme="minorHAnsi" w:eastAsiaTheme="minorEastAsia" w:hAnsiTheme="minorHAnsi" w:cstheme="minorBidi"/>
          <w:b w:val="0"/>
          <w:bCs w:val="0"/>
          <w:sz w:val="22"/>
          <w:szCs w:val="22"/>
          <w:lang w:eastAsia="fr-FR"/>
        </w:rPr>
      </w:pPr>
      <w:hyperlink w:anchor="_Toc170226654" w:history="1">
        <w:r w:rsidR="009C03B5" w:rsidRPr="00E67782">
          <w:rPr>
            <w:rStyle w:val="Lienhypertexte"/>
          </w:rPr>
          <w:t>Introduction</w:t>
        </w:r>
        <w:r w:rsidR="009C03B5">
          <w:rPr>
            <w:webHidden/>
          </w:rPr>
          <w:tab/>
        </w:r>
        <w:r w:rsidR="009C03B5">
          <w:rPr>
            <w:webHidden/>
          </w:rPr>
          <w:fldChar w:fldCharType="begin"/>
        </w:r>
        <w:r w:rsidR="009C03B5">
          <w:rPr>
            <w:webHidden/>
          </w:rPr>
          <w:instrText xml:space="preserve"> PAGEREF _Toc170226654 \h </w:instrText>
        </w:r>
        <w:r w:rsidR="009C03B5">
          <w:rPr>
            <w:webHidden/>
          </w:rPr>
        </w:r>
        <w:r w:rsidR="009C03B5">
          <w:rPr>
            <w:webHidden/>
          </w:rPr>
          <w:fldChar w:fldCharType="separate"/>
        </w:r>
        <w:r w:rsidR="009C03B5">
          <w:rPr>
            <w:webHidden/>
          </w:rPr>
          <w:t>1</w:t>
        </w:r>
        <w:r w:rsidR="009C03B5">
          <w:rPr>
            <w:webHidden/>
          </w:rPr>
          <w:fldChar w:fldCharType="end"/>
        </w:r>
      </w:hyperlink>
    </w:p>
    <w:p w14:paraId="0ABAC68C" w14:textId="77777777" w:rsidR="009C03B5" w:rsidRDefault="00D15EAC">
      <w:pPr>
        <w:pStyle w:val="TM1"/>
        <w:rPr>
          <w:rFonts w:asciiTheme="minorHAnsi" w:eastAsiaTheme="minorEastAsia" w:hAnsiTheme="minorHAnsi" w:cstheme="minorBidi"/>
          <w:b w:val="0"/>
          <w:bCs w:val="0"/>
          <w:sz w:val="22"/>
          <w:szCs w:val="22"/>
          <w:lang w:eastAsia="fr-FR"/>
        </w:rPr>
      </w:pPr>
      <w:hyperlink w:anchor="_Toc170226655" w:history="1">
        <w:r w:rsidR="009C03B5" w:rsidRPr="00E67782">
          <w:rPr>
            <w:rStyle w:val="Lienhypertexte"/>
          </w:rPr>
          <w:t>Chapitre I. Sources des adipokines</w:t>
        </w:r>
        <w:r w:rsidR="009C03B5">
          <w:rPr>
            <w:webHidden/>
          </w:rPr>
          <w:tab/>
        </w:r>
        <w:r w:rsidR="009C03B5">
          <w:rPr>
            <w:webHidden/>
          </w:rPr>
          <w:fldChar w:fldCharType="begin"/>
        </w:r>
        <w:r w:rsidR="009C03B5">
          <w:rPr>
            <w:webHidden/>
          </w:rPr>
          <w:instrText xml:space="preserve"> PAGEREF _Toc170226655 \h </w:instrText>
        </w:r>
        <w:r w:rsidR="009C03B5">
          <w:rPr>
            <w:webHidden/>
          </w:rPr>
        </w:r>
        <w:r w:rsidR="009C03B5">
          <w:rPr>
            <w:webHidden/>
          </w:rPr>
          <w:fldChar w:fldCharType="separate"/>
        </w:r>
        <w:r w:rsidR="009C03B5">
          <w:rPr>
            <w:webHidden/>
          </w:rPr>
          <w:t>2</w:t>
        </w:r>
        <w:r w:rsidR="009C03B5">
          <w:rPr>
            <w:webHidden/>
          </w:rPr>
          <w:fldChar w:fldCharType="end"/>
        </w:r>
      </w:hyperlink>
    </w:p>
    <w:p w14:paraId="3A5F94B1" w14:textId="77777777" w:rsidR="009C03B5" w:rsidRDefault="00D15EAC">
      <w:pPr>
        <w:pStyle w:val="TM2"/>
        <w:rPr>
          <w:rFonts w:asciiTheme="minorHAnsi" w:eastAsiaTheme="minorEastAsia" w:hAnsiTheme="minorHAnsi" w:cstheme="minorBidi"/>
          <w:b w:val="0"/>
          <w:bCs w:val="0"/>
          <w:sz w:val="22"/>
          <w:szCs w:val="22"/>
          <w:lang w:eastAsia="fr-FR" w:bidi="ar-SA"/>
        </w:rPr>
      </w:pPr>
      <w:hyperlink w:anchor="_Toc170226656" w:history="1">
        <w:r w:rsidR="009C03B5" w:rsidRPr="00E67782">
          <w:rPr>
            <w:rStyle w:val="Lienhypertexte"/>
            <w14:scene3d>
              <w14:camera w14:prst="orthographicFront"/>
              <w14:lightRig w14:rig="threePt" w14:dir="t">
                <w14:rot w14:lat="0" w14:lon="0" w14:rev="0"/>
              </w14:lightRig>
            </w14:scene3d>
          </w:rPr>
          <w:t>I.1.</w:t>
        </w:r>
        <w:r w:rsidR="009C03B5" w:rsidRPr="00E67782">
          <w:rPr>
            <w:rStyle w:val="Lienhypertexte"/>
          </w:rPr>
          <w:t xml:space="preserve"> Définition de tissu adipeux</w:t>
        </w:r>
        <w:r w:rsidR="009C03B5">
          <w:rPr>
            <w:webHidden/>
          </w:rPr>
          <w:tab/>
        </w:r>
        <w:r w:rsidR="009C03B5">
          <w:rPr>
            <w:webHidden/>
          </w:rPr>
          <w:fldChar w:fldCharType="begin"/>
        </w:r>
        <w:r w:rsidR="009C03B5">
          <w:rPr>
            <w:webHidden/>
          </w:rPr>
          <w:instrText xml:space="preserve"> PAGEREF _Toc170226656 \h </w:instrText>
        </w:r>
        <w:r w:rsidR="009C03B5">
          <w:rPr>
            <w:webHidden/>
          </w:rPr>
        </w:r>
        <w:r w:rsidR="009C03B5">
          <w:rPr>
            <w:webHidden/>
          </w:rPr>
          <w:fldChar w:fldCharType="separate"/>
        </w:r>
        <w:r w:rsidR="009C03B5">
          <w:rPr>
            <w:webHidden/>
          </w:rPr>
          <w:t>2</w:t>
        </w:r>
        <w:r w:rsidR="009C03B5">
          <w:rPr>
            <w:webHidden/>
          </w:rPr>
          <w:fldChar w:fldCharType="end"/>
        </w:r>
      </w:hyperlink>
    </w:p>
    <w:p w14:paraId="7FD82E1A" w14:textId="77777777" w:rsidR="009C03B5" w:rsidRDefault="00D15EAC">
      <w:pPr>
        <w:pStyle w:val="TM2"/>
        <w:rPr>
          <w:rFonts w:asciiTheme="minorHAnsi" w:eastAsiaTheme="minorEastAsia" w:hAnsiTheme="minorHAnsi" w:cstheme="minorBidi"/>
          <w:b w:val="0"/>
          <w:bCs w:val="0"/>
          <w:sz w:val="22"/>
          <w:szCs w:val="22"/>
          <w:lang w:eastAsia="fr-FR" w:bidi="ar-SA"/>
        </w:rPr>
      </w:pPr>
      <w:hyperlink w:anchor="_Toc170226657" w:history="1">
        <w:r w:rsidR="009C03B5" w:rsidRPr="00E67782">
          <w:rPr>
            <w:rStyle w:val="Lienhypertexte"/>
            <w:lang w:eastAsia="fr-FR"/>
            <w14:scene3d>
              <w14:camera w14:prst="orthographicFront"/>
              <w14:lightRig w14:rig="threePt" w14:dir="t">
                <w14:rot w14:lat="0" w14:lon="0" w14:rev="0"/>
              </w14:lightRig>
            </w14:scene3d>
          </w:rPr>
          <w:t>I.2.</w:t>
        </w:r>
        <w:r w:rsidR="009C03B5" w:rsidRPr="00E67782">
          <w:rPr>
            <w:rStyle w:val="Lienhypertexte"/>
            <w:lang w:eastAsia="fr-FR"/>
          </w:rPr>
          <w:t xml:space="preserve"> Types de tissu adipeux et leurs localisations</w:t>
        </w:r>
        <w:r w:rsidR="009C03B5">
          <w:rPr>
            <w:webHidden/>
          </w:rPr>
          <w:tab/>
        </w:r>
        <w:r w:rsidR="009C03B5">
          <w:rPr>
            <w:webHidden/>
          </w:rPr>
          <w:fldChar w:fldCharType="begin"/>
        </w:r>
        <w:r w:rsidR="009C03B5">
          <w:rPr>
            <w:webHidden/>
          </w:rPr>
          <w:instrText xml:space="preserve"> PAGEREF _Toc170226657 \h </w:instrText>
        </w:r>
        <w:r w:rsidR="009C03B5">
          <w:rPr>
            <w:webHidden/>
          </w:rPr>
        </w:r>
        <w:r w:rsidR="009C03B5">
          <w:rPr>
            <w:webHidden/>
          </w:rPr>
          <w:fldChar w:fldCharType="separate"/>
        </w:r>
        <w:r w:rsidR="009C03B5">
          <w:rPr>
            <w:webHidden/>
          </w:rPr>
          <w:t>2</w:t>
        </w:r>
        <w:r w:rsidR="009C03B5">
          <w:rPr>
            <w:webHidden/>
          </w:rPr>
          <w:fldChar w:fldCharType="end"/>
        </w:r>
      </w:hyperlink>
    </w:p>
    <w:p w14:paraId="236D998D" w14:textId="77777777" w:rsidR="009C03B5" w:rsidRPr="009C03B5" w:rsidRDefault="00D15EAC" w:rsidP="009C03B5">
      <w:pPr>
        <w:pStyle w:val="TM3"/>
        <w:rPr>
          <w:rFonts w:asciiTheme="minorHAnsi" w:eastAsiaTheme="minorEastAsia" w:hAnsiTheme="minorHAnsi" w:cstheme="minorBidi"/>
          <w:b w:val="0"/>
          <w:bCs w:val="0"/>
          <w:sz w:val="22"/>
          <w:szCs w:val="22"/>
          <w:lang w:eastAsia="fr-FR" w:bidi="ar-SA"/>
        </w:rPr>
      </w:pPr>
      <w:hyperlink w:anchor="_Toc170226658" w:history="1">
        <w:r w:rsidR="009C03B5" w:rsidRPr="009C03B5">
          <w:rPr>
            <w:rStyle w:val="Lienhypertexte"/>
            <w:b w:val="0"/>
            <w:bCs w:val="0"/>
            <w:lang w:eastAsia="fr-FR"/>
          </w:rPr>
          <w:t>I.2.1. Tissu adipeux blanc</w:t>
        </w:r>
        <w:r w:rsidR="009C03B5" w:rsidRPr="009C03B5">
          <w:rPr>
            <w:b w:val="0"/>
            <w:bCs w:val="0"/>
            <w:webHidden/>
          </w:rPr>
          <w:tab/>
        </w:r>
        <w:r w:rsidR="009C03B5" w:rsidRPr="009C03B5">
          <w:rPr>
            <w:b w:val="0"/>
            <w:bCs w:val="0"/>
            <w:webHidden/>
          </w:rPr>
          <w:fldChar w:fldCharType="begin"/>
        </w:r>
        <w:r w:rsidR="009C03B5" w:rsidRPr="009C03B5">
          <w:rPr>
            <w:b w:val="0"/>
            <w:bCs w:val="0"/>
            <w:webHidden/>
          </w:rPr>
          <w:instrText xml:space="preserve"> PAGEREF _Toc170226658 \h </w:instrText>
        </w:r>
        <w:r w:rsidR="009C03B5" w:rsidRPr="009C03B5">
          <w:rPr>
            <w:b w:val="0"/>
            <w:bCs w:val="0"/>
            <w:webHidden/>
          </w:rPr>
        </w:r>
        <w:r w:rsidR="009C03B5" w:rsidRPr="009C03B5">
          <w:rPr>
            <w:b w:val="0"/>
            <w:bCs w:val="0"/>
            <w:webHidden/>
          </w:rPr>
          <w:fldChar w:fldCharType="separate"/>
        </w:r>
        <w:r w:rsidR="009C03B5" w:rsidRPr="009C03B5">
          <w:rPr>
            <w:b w:val="0"/>
            <w:bCs w:val="0"/>
            <w:webHidden/>
          </w:rPr>
          <w:t>2</w:t>
        </w:r>
        <w:r w:rsidR="009C03B5" w:rsidRPr="009C03B5">
          <w:rPr>
            <w:b w:val="0"/>
            <w:bCs w:val="0"/>
            <w:webHidden/>
          </w:rPr>
          <w:fldChar w:fldCharType="end"/>
        </w:r>
      </w:hyperlink>
    </w:p>
    <w:p w14:paraId="3EA884AC" w14:textId="77777777" w:rsidR="009C03B5" w:rsidRPr="009C03B5" w:rsidRDefault="00D15EAC" w:rsidP="009C03B5">
      <w:pPr>
        <w:pStyle w:val="TM3"/>
        <w:rPr>
          <w:rFonts w:asciiTheme="minorHAnsi" w:eastAsiaTheme="minorEastAsia" w:hAnsiTheme="minorHAnsi" w:cstheme="minorBidi"/>
          <w:b w:val="0"/>
          <w:bCs w:val="0"/>
          <w:sz w:val="22"/>
          <w:szCs w:val="22"/>
          <w:lang w:eastAsia="fr-FR" w:bidi="ar-SA"/>
        </w:rPr>
      </w:pPr>
      <w:hyperlink w:anchor="_Toc170226659" w:history="1">
        <w:r w:rsidR="009C03B5" w:rsidRPr="009C03B5">
          <w:rPr>
            <w:rStyle w:val="Lienhypertexte"/>
            <w:rFonts w:eastAsia="Times New Roman"/>
            <w:b w:val="0"/>
            <w:bCs w:val="0"/>
            <w:lang w:eastAsia="fr-FR"/>
          </w:rPr>
          <w:t>I.2.2. Tissu adipeux brun</w:t>
        </w:r>
        <w:r w:rsidR="009C03B5" w:rsidRPr="009C03B5">
          <w:rPr>
            <w:b w:val="0"/>
            <w:bCs w:val="0"/>
            <w:webHidden/>
          </w:rPr>
          <w:tab/>
        </w:r>
        <w:r w:rsidR="009C03B5" w:rsidRPr="009C03B5">
          <w:rPr>
            <w:b w:val="0"/>
            <w:bCs w:val="0"/>
            <w:webHidden/>
          </w:rPr>
          <w:fldChar w:fldCharType="begin"/>
        </w:r>
        <w:r w:rsidR="009C03B5" w:rsidRPr="009C03B5">
          <w:rPr>
            <w:b w:val="0"/>
            <w:bCs w:val="0"/>
            <w:webHidden/>
          </w:rPr>
          <w:instrText xml:space="preserve"> PAGEREF _Toc170226659 \h </w:instrText>
        </w:r>
        <w:r w:rsidR="009C03B5" w:rsidRPr="009C03B5">
          <w:rPr>
            <w:b w:val="0"/>
            <w:bCs w:val="0"/>
            <w:webHidden/>
          </w:rPr>
        </w:r>
        <w:r w:rsidR="009C03B5" w:rsidRPr="009C03B5">
          <w:rPr>
            <w:b w:val="0"/>
            <w:bCs w:val="0"/>
            <w:webHidden/>
          </w:rPr>
          <w:fldChar w:fldCharType="separate"/>
        </w:r>
        <w:r w:rsidR="009C03B5" w:rsidRPr="009C03B5">
          <w:rPr>
            <w:b w:val="0"/>
            <w:bCs w:val="0"/>
            <w:webHidden/>
          </w:rPr>
          <w:t>3</w:t>
        </w:r>
        <w:r w:rsidR="009C03B5" w:rsidRPr="009C03B5">
          <w:rPr>
            <w:b w:val="0"/>
            <w:bCs w:val="0"/>
            <w:webHidden/>
          </w:rPr>
          <w:fldChar w:fldCharType="end"/>
        </w:r>
      </w:hyperlink>
    </w:p>
    <w:p w14:paraId="61F69B24" w14:textId="77777777" w:rsidR="009C03B5" w:rsidRPr="009C03B5" w:rsidRDefault="00D15EAC" w:rsidP="009C03B5">
      <w:pPr>
        <w:pStyle w:val="TM3"/>
        <w:rPr>
          <w:rFonts w:asciiTheme="minorHAnsi" w:eastAsiaTheme="minorEastAsia" w:hAnsiTheme="minorHAnsi" w:cstheme="minorBidi"/>
          <w:b w:val="0"/>
          <w:bCs w:val="0"/>
          <w:sz w:val="22"/>
          <w:szCs w:val="22"/>
          <w:lang w:eastAsia="fr-FR" w:bidi="ar-SA"/>
        </w:rPr>
      </w:pPr>
      <w:hyperlink w:anchor="_Toc170226660" w:history="1">
        <w:r w:rsidR="009C03B5" w:rsidRPr="009C03B5">
          <w:rPr>
            <w:rStyle w:val="Lienhypertexte"/>
            <w:b w:val="0"/>
            <w:bCs w:val="0"/>
            <w:lang w:eastAsia="fr-FR"/>
          </w:rPr>
          <w:t>I.2.3. Tissu adipeux beige</w:t>
        </w:r>
        <w:r w:rsidR="009C03B5" w:rsidRPr="009C03B5">
          <w:rPr>
            <w:b w:val="0"/>
            <w:bCs w:val="0"/>
            <w:webHidden/>
          </w:rPr>
          <w:tab/>
        </w:r>
        <w:r w:rsidR="009C03B5" w:rsidRPr="009C03B5">
          <w:rPr>
            <w:b w:val="0"/>
            <w:bCs w:val="0"/>
            <w:webHidden/>
          </w:rPr>
          <w:fldChar w:fldCharType="begin"/>
        </w:r>
        <w:r w:rsidR="009C03B5" w:rsidRPr="009C03B5">
          <w:rPr>
            <w:b w:val="0"/>
            <w:bCs w:val="0"/>
            <w:webHidden/>
          </w:rPr>
          <w:instrText xml:space="preserve"> PAGEREF _Toc170226660 \h </w:instrText>
        </w:r>
        <w:r w:rsidR="009C03B5" w:rsidRPr="009C03B5">
          <w:rPr>
            <w:b w:val="0"/>
            <w:bCs w:val="0"/>
            <w:webHidden/>
          </w:rPr>
        </w:r>
        <w:r w:rsidR="009C03B5" w:rsidRPr="009C03B5">
          <w:rPr>
            <w:b w:val="0"/>
            <w:bCs w:val="0"/>
            <w:webHidden/>
          </w:rPr>
          <w:fldChar w:fldCharType="separate"/>
        </w:r>
        <w:r w:rsidR="009C03B5" w:rsidRPr="009C03B5">
          <w:rPr>
            <w:b w:val="0"/>
            <w:bCs w:val="0"/>
            <w:webHidden/>
          </w:rPr>
          <w:t>4</w:t>
        </w:r>
        <w:r w:rsidR="009C03B5" w:rsidRPr="009C03B5">
          <w:rPr>
            <w:b w:val="0"/>
            <w:bCs w:val="0"/>
            <w:webHidden/>
          </w:rPr>
          <w:fldChar w:fldCharType="end"/>
        </w:r>
      </w:hyperlink>
    </w:p>
    <w:p w14:paraId="4CAA9A0E" w14:textId="77777777" w:rsidR="009C03B5" w:rsidRDefault="00D15EAC">
      <w:pPr>
        <w:pStyle w:val="TM2"/>
        <w:rPr>
          <w:rFonts w:asciiTheme="minorHAnsi" w:eastAsiaTheme="minorEastAsia" w:hAnsiTheme="minorHAnsi" w:cstheme="minorBidi"/>
          <w:b w:val="0"/>
          <w:bCs w:val="0"/>
          <w:sz w:val="22"/>
          <w:szCs w:val="22"/>
          <w:lang w:eastAsia="fr-FR" w:bidi="ar-SA"/>
        </w:rPr>
      </w:pPr>
      <w:hyperlink w:anchor="_Toc170226661" w:history="1">
        <w:r w:rsidR="009C03B5" w:rsidRPr="00E67782">
          <w:rPr>
            <w:rStyle w:val="Lienhypertexte"/>
            <w:lang w:eastAsia="fr-FR"/>
            <w14:scene3d>
              <w14:camera w14:prst="orthographicFront"/>
              <w14:lightRig w14:rig="threePt" w14:dir="t">
                <w14:rot w14:lat="0" w14:lon="0" w14:rev="0"/>
              </w14:lightRig>
            </w14:scene3d>
          </w:rPr>
          <w:t>I.3.</w:t>
        </w:r>
        <w:r w:rsidR="009C03B5" w:rsidRPr="00E67782">
          <w:rPr>
            <w:rStyle w:val="Lienhypertexte"/>
            <w:lang w:eastAsia="fr-FR"/>
          </w:rPr>
          <w:t xml:space="preserve"> Adipocyte</w:t>
        </w:r>
        <w:r w:rsidR="009C03B5">
          <w:rPr>
            <w:webHidden/>
          </w:rPr>
          <w:tab/>
        </w:r>
        <w:r w:rsidR="009C03B5">
          <w:rPr>
            <w:webHidden/>
          </w:rPr>
          <w:fldChar w:fldCharType="begin"/>
        </w:r>
        <w:r w:rsidR="009C03B5">
          <w:rPr>
            <w:webHidden/>
          </w:rPr>
          <w:instrText xml:space="preserve"> PAGEREF _Toc170226661 \h </w:instrText>
        </w:r>
        <w:r w:rsidR="009C03B5">
          <w:rPr>
            <w:webHidden/>
          </w:rPr>
        </w:r>
        <w:r w:rsidR="009C03B5">
          <w:rPr>
            <w:webHidden/>
          </w:rPr>
          <w:fldChar w:fldCharType="separate"/>
        </w:r>
        <w:r w:rsidR="009C03B5">
          <w:rPr>
            <w:webHidden/>
          </w:rPr>
          <w:t>5</w:t>
        </w:r>
        <w:r w:rsidR="009C03B5">
          <w:rPr>
            <w:webHidden/>
          </w:rPr>
          <w:fldChar w:fldCharType="end"/>
        </w:r>
      </w:hyperlink>
    </w:p>
    <w:p w14:paraId="47E4ED18" w14:textId="77777777" w:rsidR="009C03B5" w:rsidRPr="009C03B5" w:rsidRDefault="00D15EAC" w:rsidP="009C03B5">
      <w:pPr>
        <w:pStyle w:val="TM3"/>
        <w:rPr>
          <w:rFonts w:asciiTheme="minorHAnsi" w:eastAsiaTheme="minorEastAsia" w:hAnsiTheme="minorHAnsi" w:cstheme="minorBidi"/>
          <w:b w:val="0"/>
          <w:bCs w:val="0"/>
          <w:sz w:val="22"/>
          <w:szCs w:val="22"/>
          <w:lang w:eastAsia="fr-FR" w:bidi="ar-SA"/>
        </w:rPr>
      </w:pPr>
      <w:hyperlink w:anchor="_Toc170226662" w:history="1">
        <w:r w:rsidR="009C03B5" w:rsidRPr="009C03B5">
          <w:rPr>
            <w:rStyle w:val="Lienhypertexte"/>
            <w:b w:val="0"/>
            <w:bCs w:val="0"/>
            <w:lang w:eastAsia="fr-FR"/>
          </w:rPr>
          <w:t>I.3.1. Définition</w:t>
        </w:r>
        <w:r w:rsidR="009C03B5" w:rsidRPr="009C03B5">
          <w:rPr>
            <w:b w:val="0"/>
            <w:bCs w:val="0"/>
            <w:webHidden/>
          </w:rPr>
          <w:tab/>
        </w:r>
        <w:r w:rsidR="009C03B5" w:rsidRPr="009C03B5">
          <w:rPr>
            <w:b w:val="0"/>
            <w:bCs w:val="0"/>
            <w:webHidden/>
          </w:rPr>
          <w:fldChar w:fldCharType="begin"/>
        </w:r>
        <w:r w:rsidR="009C03B5" w:rsidRPr="009C03B5">
          <w:rPr>
            <w:b w:val="0"/>
            <w:bCs w:val="0"/>
            <w:webHidden/>
          </w:rPr>
          <w:instrText xml:space="preserve"> PAGEREF _Toc170226662 \h </w:instrText>
        </w:r>
        <w:r w:rsidR="009C03B5" w:rsidRPr="009C03B5">
          <w:rPr>
            <w:b w:val="0"/>
            <w:bCs w:val="0"/>
            <w:webHidden/>
          </w:rPr>
        </w:r>
        <w:r w:rsidR="009C03B5" w:rsidRPr="009C03B5">
          <w:rPr>
            <w:b w:val="0"/>
            <w:bCs w:val="0"/>
            <w:webHidden/>
          </w:rPr>
          <w:fldChar w:fldCharType="separate"/>
        </w:r>
        <w:r w:rsidR="009C03B5" w:rsidRPr="009C03B5">
          <w:rPr>
            <w:b w:val="0"/>
            <w:bCs w:val="0"/>
            <w:webHidden/>
          </w:rPr>
          <w:t>5</w:t>
        </w:r>
        <w:r w:rsidR="009C03B5" w:rsidRPr="009C03B5">
          <w:rPr>
            <w:b w:val="0"/>
            <w:bCs w:val="0"/>
            <w:webHidden/>
          </w:rPr>
          <w:fldChar w:fldCharType="end"/>
        </w:r>
      </w:hyperlink>
    </w:p>
    <w:p w14:paraId="34687BAD" w14:textId="77777777" w:rsidR="009C03B5" w:rsidRPr="009C03B5" w:rsidRDefault="00D15EAC" w:rsidP="009C03B5">
      <w:pPr>
        <w:pStyle w:val="TM3"/>
        <w:rPr>
          <w:rFonts w:asciiTheme="minorHAnsi" w:eastAsiaTheme="minorEastAsia" w:hAnsiTheme="minorHAnsi" w:cstheme="minorBidi"/>
          <w:b w:val="0"/>
          <w:bCs w:val="0"/>
          <w:sz w:val="22"/>
          <w:szCs w:val="22"/>
          <w:lang w:eastAsia="fr-FR" w:bidi="ar-SA"/>
        </w:rPr>
      </w:pPr>
      <w:hyperlink w:anchor="_Toc170226663" w:history="1">
        <w:r w:rsidR="009C03B5" w:rsidRPr="009C03B5">
          <w:rPr>
            <w:rStyle w:val="Lienhypertexte"/>
            <w:b w:val="0"/>
            <w:bCs w:val="0"/>
            <w:lang w:eastAsia="fr-FR"/>
          </w:rPr>
          <w:t>I.3.2. Principaux types d’adipocyte :</w:t>
        </w:r>
        <w:r w:rsidR="009C03B5" w:rsidRPr="009C03B5">
          <w:rPr>
            <w:b w:val="0"/>
            <w:bCs w:val="0"/>
            <w:webHidden/>
          </w:rPr>
          <w:tab/>
        </w:r>
        <w:r w:rsidR="009C03B5" w:rsidRPr="009C03B5">
          <w:rPr>
            <w:b w:val="0"/>
            <w:bCs w:val="0"/>
            <w:webHidden/>
          </w:rPr>
          <w:fldChar w:fldCharType="begin"/>
        </w:r>
        <w:r w:rsidR="009C03B5" w:rsidRPr="009C03B5">
          <w:rPr>
            <w:b w:val="0"/>
            <w:bCs w:val="0"/>
            <w:webHidden/>
          </w:rPr>
          <w:instrText xml:space="preserve"> PAGEREF _Toc170226663 \h </w:instrText>
        </w:r>
        <w:r w:rsidR="009C03B5" w:rsidRPr="009C03B5">
          <w:rPr>
            <w:b w:val="0"/>
            <w:bCs w:val="0"/>
            <w:webHidden/>
          </w:rPr>
        </w:r>
        <w:r w:rsidR="009C03B5" w:rsidRPr="009C03B5">
          <w:rPr>
            <w:b w:val="0"/>
            <w:bCs w:val="0"/>
            <w:webHidden/>
          </w:rPr>
          <w:fldChar w:fldCharType="separate"/>
        </w:r>
        <w:r w:rsidR="009C03B5" w:rsidRPr="009C03B5">
          <w:rPr>
            <w:b w:val="0"/>
            <w:bCs w:val="0"/>
            <w:webHidden/>
          </w:rPr>
          <w:t>6</w:t>
        </w:r>
        <w:r w:rsidR="009C03B5" w:rsidRPr="009C03B5">
          <w:rPr>
            <w:b w:val="0"/>
            <w:bCs w:val="0"/>
            <w:webHidden/>
          </w:rPr>
          <w:fldChar w:fldCharType="end"/>
        </w:r>
      </w:hyperlink>
    </w:p>
    <w:p w14:paraId="275D5A0A" w14:textId="77777777" w:rsidR="009C03B5" w:rsidRPr="009C03B5" w:rsidRDefault="00D15EAC" w:rsidP="009C03B5">
      <w:pPr>
        <w:pStyle w:val="TM3"/>
        <w:rPr>
          <w:rFonts w:asciiTheme="minorHAnsi" w:eastAsiaTheme="minorEastAsia" w:hAnsiTheme="minorHAnsi" w:cstheme="minorBidi"/>
          <w:b w:val="0"/>
          <w:bCs w:val="0"/>
          <w:sz w:val="22"/>
          <w:szCs w:val="22"/>
          <w:lang w:eastAsia="fr-FR" w:bidi="ar-SA"/>
        </w:rPr>
      </w:pPr>
      <w:hyperlink w:anchor="_Toc170226664" w:history="1">
        <w:r w:rsidR="009C03B5" w:rsidRPr="009C03B5">
          <w:rPr>
            <w:rStyle w:val="Lienhypertexte"/>
            <w:b w:val="0"/>
            <w:bCs w:val="0"/>
            <w:lang w:eastAsia="fr-FR"/>
          </w:rPr>
          <w:t>I.3.3. Fonctions endocriniennes de l’adipocyte</w:t>
        </w:r>
        <w:r w:rsidR="009C03B5" w:rsidRPr="009C03B5">
          <w:rPr>
            <w:b w:val="0"/>
            <w:bCs w:val="0"/>
            <w:webHidden/>
          </w:rPr>
          <w:tab/>
        </w:r>
        <w:r w:rsidR="009C03B5" w:rsidRPr="009C03B5">
          <w:rPr>
            <w:b w:val="0"/>
            <w:bCs w:val="0"/>
            <w:webHidden/>
          </w:rPr>
          <w:fldChar w:fldCharType="begin"/>
        </w:r>
        <w:r w:rsidR="009C03B5" w:rsidRPr="009C03B5">
          <w:rPr>
            <w:b w:val="0"/>
            <w:bCs w:val="0"/>
            <w:webHidden/>
          </w:rPr>
          <w:instrText xml:space="preserve"> PAGEREF _Toc170226664 \h </w:instrText>
        </w:r>
        <w:r w:rsidR="009C03B5" w:rsidRPr="009C03B5">
          <w:rPr>
            <w:b w:val="0"/>
            <w:bCs w:val="0"/>
            <w:webHidden/>
          </w:rPr>
        </w:r>
        <w:r w:rsidR="009C03B5" w:rsidRPr="009C03B5">
          <w:rPr>
            <w:b w:val="0"/>
            <w:bCs w:val="0"/>
            <w:webHidden/>
          </w:rPr>
          <w:fldChar w:fldCharType="separate"/>
        </w:r>
        <w:r w:rsidR="009C03B5" w:rsidRPr="009C03B5">
          <w:rPr>
            <w:b w:val="0"/>
            <w:bCs w:val="0"/>
            <w:webHidden/>
          </w:rPr>
          <w:t>7</w:t>
        </w:r>
        <w:r w:rsidR="009C03B5" w:rsidRPr="009C03B5">
          <w:rPr>
            <w:b w:val="0"/>
            <w:bCs w:val="0"/>
            <w:webHidden/>
          </w:rPr>
          <w:fldChar w:fldCharType="end"/>
        </w:r>
      </w:hyperlink>
    </w:p>
    <w:p w14:paraId="43540255" w14:textId="77777777" w:rsidR="009C03B5" w:rsidRDefault="00D15EAC">
      <w:pPr>
        <w:pStyle w:val="TM1"/>
        <w:rPr>
          <w:rFonts w:asciiTheme="minorHAnsi" w:eastAsiaTheme="minorEastAsia" w:hAnsiTheme="minorHAnsi" w:cstheme="minorBidi"/>
          <w:b w:val="0"/>
          <w:bCs w:val="0"/>
          <w:sz w:val="22"/>
          <w:szCs w:val="22"/>
          <w:lang w:eastAsia="fr-FR"/>
        </w:rPr>
      </w:pPr>
      <w:hyperlink w:anchor="_Toc170226665" w:history="1">
        <w:r w:rsidR="009C03B5" w:rsidRPr="00E67782">
          <w:rPr>
            <w:rStyle w:val="Lienhypertexte"/>
          </w:rPr>
          <w:t>Chapitre II. Adipokines et leurs rôles physiologiques</w:t>
        </w:r>
        <w:r w:rsidR="009C03B5">
          <w:rPr>
            <w:webHidden/>
          </w:rPr>
          <w:tab/>
        </w:r>
        <w:r w:rsidR="009C03B5">
          <w:rPr>
            <w:webHidden/>
          </w:rPr>
          <w:fldChar w:fldCharType="begin"/>
        </w:r>
        <w:r w:rsidR="009C03B5">
          <w:rPr>
            <w:webHidden/>
          </w:rPr>
          <w:instrText xml:space="preserve"> PAGEREF _Toc170226665 \h </w:instrText>
        </w:r>
        <w:r w:rsidR="009C03B5">
          <w:rPr>
            <w:webHidden/>
          </w:rPr>
        </w:r>
        <w:r w:rsidR="009C03B5">
          <w:rPr>
            <w:webHidden/>
          </w:rPr>
          <w:fldChar w:fldCharType="separate"/>
        </w:r>
        <w:r w:rsidR="009C03B5">
          <w:rPr>
            <w:webHidden/>
          </w:rPr>
          <w:t>8</w:t>
        </w:r>
        <w:r w:rsidR="009C03B5">
          <w:rPr>
            <w:webHidden/>
          </w:rPr>
          <w:fldChar w:fldCharType="end"/>
        </w:r>
      </w:hyperlink>
    </w:p>
    <w:p w14:paraId="08EA4269" w14:textId="77777777" w:rsidR="009C03B5" w:rsidRDefault="00D15EAC">
      <w:pPr>
        <w:pStyle w:val="TM2"/>
        <w:rPr>
          <w:rFonts w:asciiTheme="minorHAnsi" w:eastAsiaTheme="minorEastAsia" w:hAnsiTheme="minorHAnsi" w:cstheme="minorBidi"/>
          <w:b w:val="0"/>
          <w:bCs w:val="0"/>
          <w:sz w:val="22"/>
          <w:szCs w:val="22"/>
          <w:lang w:eastAsia="fr-FR" w:bidi="ar-SA"/>
        </w:rPr>
      </w:pPr>
      <w:hyperlink w:anchor="_Toc170226666" w:history="1">
        <w:r w:rsidR="009C03B5" w:rsidRPr="00E67782">
          <w:rPr>
            <w:rStyle w:val="Lienhypertexte"/>
            <w:lang w:eastAsia="fr-FR"/>
            <w14:scene3d>
              <w14:camera w14:prst="orthographicFront"/>
              <w14:lightRig w14:rig="threePt" w14:dir="t">
                <w14:rot w14:lat="0" w14:lon="0" w14:rev="0"/>
              </w14:lightRig>
            </w14:scene3d>
          </w:rPr>
          <w:t>II.1.</w:t>
        </w:r>
        <w:r w:rsidR="009C03B5" w:rsidRPr="00E67782">
          <w:rPr>
            <w:rStyle w:val="Lienhypertexte"/>
            <w:lang w:eastAsia="fr-FR"/>
          </w:rPr>
          <w:t xml:space="preserve"> Adipokines</w:t>
        </w:r>
        <w:r w:rsidR="009C03B5">
          <w:rPr>
            <w:webHidden/>
          </w:rPr>
          <w:tab/>
        </w:r>
        <w:r w:rsidR="009C03B5">
          <w:rPr>
            <w:webHidden/>
          </w:rPr>
          <w:fldChar w:fldCharType="begin"/>
        </w:r>
        <w:r w:rsidR="009C03B5">
          <w:rPr>
            <w:webHidden/>
          </w:rPr>
          <w:instrText xml:space="preserve"> PAGEREF _Toc170226666 \h </w:instrText>
        </w:r>
        <w:r w:rsidR="009C03B5">
          <w:rPr>
            <w:webHidden/>
          </w:rPr>
        </w:r>
        <w:r w:rsidR="009C03B5">
          <w:rPr>
            <w:webHidden/>
          </w:rPr>
          <w:fldChar w:fldCharType="separate"/>
        </w:r>
        <w:r w:rsidR="009C03B5">
          <w:rPr>
            <w:webHidden/>
          </w:rPr>
          <w:t>8</w:t>
        </w:r>
        <w:r w:rsidR="009C03B5">
          <w:rPr>
            <w:webHidden/>
          </w:rPr>
          <w:fldChar w:fldCharType="end"/>
        </w:r>
      </w:hyperlink>
    </w:p>
    <w:p w14:paraId="1E026D38" w14:textId="77777777" w:rsidR="009C03B5" w:rsidRDefault="00D15EAC">
      <w:pPr>
        <w:pStyle w:val="TM2"/>
        <w:rPr>
          <w:rFonts w:asciiTheme="minorHAnsi" w:eastAsiaTheme="minorEastAsia" w:hAnsiTheme="minorHAnsi" w:cstheme="minorBidi"/>
          <w:b w:val="0"/>
          <w:bCs w:val="0"/>
          <w:sz w:val="22"/>
          <w:szCs w:val="22"/>
          <w:lang w:eastAsia="fr-FR" w:bidi="ar-SA"/>
        </w:rPr>
      </w:pPr>
      <w:hyperlink w:anchor="_Toc170226667" w:history="1">
        <w:r w:rsidR="009C03B5" w:rsidRPr="00E67782">
          <w:rPr>
            <w:rStyle w:val="Lienhypertexte"/>
            <w14:scene3d>
              <w14:camera w14:prst="orthographicFront"/>
              <w14:lightRig w14:rig="threePt" w14:dir="t">
                <w14:rot w14:lat="0" w14:lon="0" w14:rev="0"/>
              </w14:lightRig>
            </w14:scene3d>
          </w:rPr>
          <w:t>II.2.</w:t>
        </w:r>
        <w:r w:rsidR="009C03B5" w:rsidRPr="00E67782">
          <w:rPr>
            <w:rStyle w:val="Lienhypertexte"/>
          </w:rPr>
          <w:t xml:space="preserve"> Différents types d’adipokines</w:t>
        </w:r>
        <w:r w:rsidR="009C03B5">
          <w:rPr>
            <w:webHidden/>
          </w:rPr>
          <w:tab/>
        </w:r>
        <w:r w:rsidR="009C03B5">
          <w:rPr>
            <w:webHidden/>
          </w:rPr>
          <w:fldChar w:fldCharType="begin"/>
        </w:r>
        <w:r w:rsidR="009C03B5">
          <w:rPr>
            <w:webHidden/>
          </w:rPr>
          <w:instrText xml:space="preserve"> PAGEREF _Toc170226667 \h </w:instrText>
        </w:r>
        <w:r w:rsidR="009C03B5">
          <w:rPr>
            <w:webHidden/>
          </w:rPr>
        </w:r>
        <w:r w:rsidR="009C03B5">
          <w:rPr>
            <w:webHidden/>
          </w:rPr>
          <w:fldChar w:fldCharType="separate"/>
        </w:r>
        <w:r w:rsidR="009C03B5">
          <w:rPr>
            <w:webHidden/>
          </w:rPr>
          <w:t>8</w:t>
        </w:r>
        <w:r w:rsidR="009C03B5">
          <w:rPr>
            <w:webHidden/>
          </w:rPr>
          <w:fldChar w:fldCharType="end"/>
        </w:r>
      </w:hyperlink>
    </w:p>
    <w:p w14:paraId="5E24C439" w14:textId="77777777" w:rsidR="009C03B5" w:rsidRPr="009C03B5" w:rsidRDefault="00D15EAC" w:rsidP="009C03B5">
      <w:pPr>
        <w:pStyle w:val="TM3"/>
        <w:rPr>
          <w:rFonts w:asciiTheme="minorHAnsi" w:eastAsiaTheme="minorEastAsia" w:hAnsiTheme="minorHAnsi" w:cstheme="minorBidi"/>
          <w:b w:val="0"/>
          <w:bCs w:val="0"/>
          <w:sz w:val="22"/>
          <w:szCs w:val="22"/>
          <w:lang w:eastAsia="fr-FR" w:bidi="ar-SA"/>
        </w:rPr>
      </w:pPr>
      <w:hyperlink w:anchor="_Toc170226668" w:history="1">
        <w:r w:rsidR="009C03B5" w:rsidRPr="009C03B5">
          <w:rPr>
            <w:rStyle w:val="Lienhypertexte"/>
            <w:b w:val="0"/>
            <w:bCs w:val="0"/>
          </w:rPr>
          <w:t>II.2.1. Adiponectine</w:t>
        </w:r>
        <w:r w:rsidR="009C03B5" w:rsidRPr="009C03B5">
          <w:rPr>
            <w:b w:val="0"/>
            <w:bCs w:val="0"/>
            <w:webHidden/>
          </w:rPr>
          <w:tab/>
        </w:r>
        <w:r w:rsidR="009C03B5" w:rsidRPr="009C03B5">
          <w:rPr>
            <w:b w:val="0"/>
            <w:bCs w:val="0"/>
            <w:webHidden/>
          </w:rPr>
          <w:fldChar w:fldCharType="begin"/>
        </w:r>
        <w:r w:rsidR="009C03B5" w:rsidRPr="009C03B5">
          <w:rPr>
            <w:b w:val="0"/>
            <w:bCs w:val="0"/>
            <w:webHidden/>
          </w:rPr>
          <w:instrText xml:space="preserve"> PAGEREF _Toc170226668 \h </w:instrText>
        </w:r>
        <w:r w:rsidR="009C03B5" w:rsidRPr="009C03B5">
          <w:rPr>
            <w:b w:val="0"/>
            <w:bCs w:val="0"/>
            <w:webHidden/>
          </w:rPr>
        </w:r>
        <w:r w:rsidR="009C03B5" w:rsidRPr="009C03B5">
          <w:rPr>
            <w:b w:val="0"/>
            <w:bCs w:val="0"/>
            <w:webHidden/>
          </w:rPr>
          <w:fldChar w:fldCharType="separate"/>
        </w:r>
        <w:r w:rsidR="009C03B5" w:rsidRPr="009C03B5">
          <w:rPr>
            <w:b w:val="0"/>
            <w:bCs w:val="0"/>
            <w:webHidden/>
          </w:rPr>
          <w:t>8</w:t>
        </w:r>
        <w:r w:rsidR="009C03B5" w:rsidRPr="009C03B5">
          <w:rPr>
            <w:b w:val="0"/>
            <w:bCs w:val="0"/>
            <w:webHidden/>
          </w:rPr>
          <w:fldChar w:fldCharType="end"/>
        </w:r>
      </w:hyperlink>
    </w:p>
    <w:p w14:paraId="4388B877" w14:textId="77777777" w:rsidR="009C03B5" w:rsidRPr="009C03B5" w:rsidRDefault="00D15EAC" w:rsidP="009C03B5">
      <w:pPr>
        <w:pStyle w:val="TM3"/>
        <w:rPr>
          <w:rFonts w:asciiTheme="minorHAnsi" w:eastAsiaTheme="minorEastAsia" w:hAnsiTheme="minorHAnsi" w:cstheme="minorBidi"/>
          <w:b w:val="0"/>
          <w:bCs w:val="0"/>
          <w:sz w:val="22"/>
          <w:szCs w:val="22"/>
          <w:lang w:eastAsia="fr-FR" w:bidi="ar-SA"/>
        </w:rPr>
      </w:pPr>
      <w:hyperlink w:anchor="_Toc170226669" w:history="1">
        <w:r w:rsidR="009C03B5" w:rsidRPr="009C03B5">
          <w:rPr>
            <w:rStyle w:val="Lienhypertexte"/>
            <w:b w:val="0"/>
            <w:bCs w:val="0"/>
          </w:rPr>
          <w:t>II.2.2. Leptine</w:t>
        </w:r>
        <w:r w:rsidR="009C03B5" w:rsidRPr="009C03B5">
          <w:rPr>
            <w:b w:val="0"/>
            <w:bCs w:val="0"/>
            <w:webHidden/>
          </w:rPr>
          <w:tab/>
        </w:r>
        <w:r w:rsidR="009C03B5" w:rsidRPr="009C03B5">
          <w:rPr>
            <w:b w:val="0"/>
            <w:bCs w:val="0"/>
            <w:webHidden/>
          </w:rPr>
          <w:fldChar w:fldCharType="begin"/>
        </w:r>
        <w:r w:rsidR="009C03B5" w:rsidRPr="009C03B5">
          <w:rPr>
            <w:b w:val="0"/>
            <w:bCs w:val="0"/>
            <w:webHidden/>
          </w:rPr>
          <w:instrText xml:space="preserve"> PAGEREF _Toc170226669 \h </w:instrText>
        </w:r>
        <w:r w:rsidR="009C03B5" w:rsidRPr="009C03B5">
          <w:rPr>
            <w:b w:val="0"/>
            <w:bCs w:val="0"/>
            <w:webHidden/>
          </w:rPr>
        </w:r>
        <w:r w:rsidR="009C03B5" w:rsidRPr="009C03B5">
          <w:rPr>
            <w:b w:val="0"/>
            <w:bCs w:val="0"/>
            <w:webHidden/>
          </w:rPr>
          <w:fldChar w:fldCharType="separate"/>
        </w:r>
        <w:r w:rsidR="009C03B5" w:rsidRPr="009C03B5">
          <w:rPr>
            <w:b w:val="0"/>
            <w:bCs w:val="0"/>
            <w:webHidden/>
          </w:rPr>
          <w:t>12</w:t>
        </w:r>
        <w:r w:rsidR="009C03B5" w:rsidRPr="009C03B5">
          <w:rPr>
            <w:b w:val="0"/>
            <w:bCs w:val="0"/>
            <w:webHidden/>
          </w:rPr>
          <w:fldChar w:fldCharType="end"/>
        </w:r>
      </w:hyperlink>
    </w:p>
    <w:p w14:paraId="6F198D70" w14:textId="77777777" w:rsidR="009C03B5" w:rsidRPr="009C03B5" w:rsidRDefault="00D15EAC" w:rsidP="009C03B5">
      <w:pPr>
        <w:pStyle w:val="TM3"/>
        <w:rPr>
          <w:rFonts w:asciiTheme="minorHAnsi" w:eastAsiaTheme="minorEastAsia" w:hAnsiTheme="minorHAnsi" w:cstheme="minorBidi"/>
          <w:b w:val="0"/>
          <w:bCs w:val="0"/>
          <w:sz w:val="22"/>
          <w:szCs w:val="22"/>
          <w:lang w:eastAsia="fr-FR" w:bidi="ar-SA"/>
        </w:rPr>
      </w:pPr>
      <w:hyperlink w:anchor="_Toc170226670" w:history="1">
        <w:r w:rsidR="009C03B5" w:rsidRPr="009C03B5">
          <w:rPr>
            <w:rStyle w:val="Lienhypertexte"/>
            <w:b w:val="0"/>
            <w:bCs w:val="0"/>
          </w:rPr>
          <w:t>II.2.3. Visfatine</w:t>
        </w:r>
        <w:r w:rsidR="009C03B5" w:rsidRPr="009C03B5">
          <w:rPr>
            <w:b w:val="0"/>
            <w:bCs w:val="0"/>
            <w:webHidden/>
          </w:rPr>
          <w:tab/>
        </w:r>
        <w:r w:rsidR="009C03B5" w:rsidRPr="009C03B5">
          <w:rPr>
            <w:b w:val="0"/>
            <w:bCs w:val="0"/>
            <w:webHidden/>
          </w:rPr>
          <w:fldChar w:fldCharType="begin"/>
        </w:r>
        <w:r w:rsidR="009C03B5" w:rsidRPr="009C03B5">
          <w:rPr>
            <w:b w:val="0"/>
            <w:bCs w:val="0"/>
            <w:webHidden/>
          </w:rPr>
          <w:instrText xml:space="preserve"> PAGEREF _Toc170226670 \h </w:instrText>
        </w:r>
        <w:r w:rsidR="009C03B5" w:rsidRPr="009C03B5">
          <w:rPr>
            <w:b w:val="0"/>
            <w:bCs w:val="0"/>
            <w:webHidden/>
          </w:rPr>
        </w:r>
        <w:r w:rsidR="009C03B5" w:rsidRPr="009C03B5">
          <w:rPr>
            <w:b w:val="0"/>
            <w:bCs w:val="0"/>
            <w:webHidden/>
          </w:rPr>
          <w:fldChar w:fldCharType="separate"/>
        </w:r>
        <w:r w:rsidR="009C03B5" w:rsidRPr="009C03B5">
          <w:rPr>
            <w:b w:val="0"/>
            <w:bCs w:val="0"/>
            <w:webHidden/>
          </w:rPr>
          <w:t>13</w:t>
        </w:r>
        <w:r w:rsidR="009C03B5" w:rsidRPr="009C03B5">
          <w:rPr>
            <w:b w:val="0"/>
            <w:bCs w:val="0"/>
            <w:webHidden/>
          </w:rPr>
          <w:fldChar w:fldCharType="end"/>
        </w:r>
      </w:hyperlink>
    </w:p>
    <w:p w14:paraId="4253E438" w14:textId="77777777" w:rsidR="009C03B5" w:rsidRPr="009C03B5" w:rsidRDefault="00D15EAC" w:rsidP="009C03B5">
      <w:pPr>
        <w:pStyle w:val="TM3"/>
        <w:rPr>
          <w:rFonts w:asciiTheme="minorHAnsi" w:eastAsiaTheme="minorEastAsia" w:hAnsiTheme="minorHAnsi" w:cstheme="minorBidi"/>
          <w:b w:val="0"/>
          <w:bCs w:val="0"/>
          <w:sz w:val="22"/>
          <w:szCs w:val="22"/>
          <w:lang w:eastAsia="fr-FR" w:bidi="ar-SA"/>
        </w:rPr>
      </w:pPr>
      <w:hyperlink w:anchor="_Toc170226671" w:history="1">
        <w:r w:rsidR="009C03B5" w:rsidRPr="009C03B5">
          <w:rPr>
            <w:rStyle w:val="Lienhypertexte"/>
            <w:b w:val="0"/>
            <w:bCs w:val="0"/>
          </w:rPr>
          <w:t>II.2.4. TNF-α</w:t>
        </w:r>
        <w:r w:rsidR="009C03B5" w:rsidRPr="009C03B5">
          <w:rPr>
            <w:b w:val="0"/>
            <w:bCs w:val="0"/>
            <w:webHidden/>
          </w:rPr>
          <w:tab/>
        </w:r>
        <w:r w:rsidR="009C03B5" w:rsidRPr="009C03B5">
          <w:rPr>
            <w:b w:val="0"/>
            <w:bCs w:val="0"/>
            <w:webHidden/>
          </w:rPr>
          <w:fldChar w:fldCharType="begin"/>
        </w:r>
        <w:r w:rsidR="009C03B5" w:rsidRPr="009C03B5">
          <w:rPr>
            <w:b w:val="0"/>
            <w:bCs w:val="0"/>
            <w:webHidden/>
          </w:rPr>
          <w:instrText xml:space="preserve"> PAGEREF _Toc170226671 \h </w:instrText>
        </w:r>
        <w:r w:rsidR="009C03B5" w:rsidRPr="009C03B5">
          <w:rPr>
            <w:b w:val="0"/>
            <w:bCs w:val="0"/>
            <w:webHidden/>
          </w:rPr>
        </w:r>
        <w:r w:rsidR="009C03B5" w:rsidRPr="009C03B5">
          <w:rPr>
            <w:b w:val="0"/>
            <w:bCs w:val="0"/>
            <w:webHidden/>
          </w:rPr>
          <w:fldChar w:fldCharType="separate"/>
        </w:r>
        <w:r w:rsidR="009C03B5" w:rsidRPr="009C03B5">
          <w:rPr>
            <w:b w:val="0"/>
            <w:bCs w:val="0"/>
            <w:webHidden/>
          </w:rPr>
          <w:t>15</w:t>
        </w:r>
        <w:r w:rsidR="009C03B5" w:rsidRPr="009C03B5">
          <w:rPr>
            <w:b w:val="0"/>
            <w:bCs w:val="0"/>
            <w:webHidden/>
          </w:rPr>
          <w:fldChar w:fldCharType="end"/>
        </w:r>
      </w:hyperlink>
    </w:p>
    <w:p w14:paraId="27670CCA" w14:textId="77777777" w:rsidR="009C03B5" w:rsidRPr="009C03B5" w:rsidRDefault="00D15EAC" w:rsidP="009C03B5">
      <w:pPr>
        <w:pStyle w:val="TM3"/>
        <w:rPr>
          <w:rFonts w:asciiTheme="minorHAnsi" w:eastAsiaTheme="minorEastAsia" w:hAnsiTheme="minorHAnsi" w:cstheme="minorBidi"/>
          <w:b w:val="0"/>
          <w:bCs w:val="0"/>
          <w:sz w:val="22"/>
          <w:szCs w:val="22"/>
          <w:lang w:eastAsia="fr-FR" w:bidi="ar-SA"/>
        </w:rPr>
      </w:pPr>
      <w:hyperlink w:anchor="_Toc170226672" w:history="1">
        <w:r w:rsidR="009C03B5" w:rsidRPr="009C03B5">
          <w:rPr>
            <w:rStyle w:val="Lienhypertexte"/>
            <w:b w:val="0"/>
            <w:bCs w:val="0"/>
          </w:rPr>
          <w:t>II.2.5. La chémerine</w:t>
        </w:r>
        <w:r w:rsidR="009C03B5" w:rsidRPr="009C03B5">
          <w:rPr>
            <w:b w:val="0"/>
            <w:bCs w:val="0"/>
            <w:webHidden/>
          </w:rPr>
          <w:tab/>
        </w:r>
        <w:r w:rsidR="009C03B5" w:rsidRPr="009C03B5">
          <w:rPr>
            <w:b w:val="0"/>
            <w:bCs w:val="0"/>
            <w:webHidden/>
          </w:rPr>
          <w:fldChar w:fldCharType="begin"/>
        </w:r>
        <w:r w:rsidR="009C03B5" w:rsidRPr="009C03B5">
          <w:rPr>
            <w:b w:val="0"/>
            <w:bCs w:val="0"/>
            <w:webHidden/>
          </w:rPr>
          <w:instrText xml:space="preserve"> PAGEREF _Toc170226672 \h </w:instrText>
        </w:r>
        <w:r w:rsidR="009C03B5" w:rsidRPr="009C03B5">
          <w:rPr>
            <w:b w:val="0"/>
            <w:bCs w:val="0"/>
            <w:webHidden/>
          </w:rPr>
        </w:r>
        <w:r w:rsidR="009C03B5" w:rsidRPr="009C03B5">
          <w:rPr>
            <w:b w:val="0"/>
            <w:bCs w:val="0"/>
            <w:webHidden/>
          </w:rPr>
          <w:fldChar w:fldCharType="separate"/>
        </w:r>
        <w:r w:rsidR="009C03B5" w:rsidRPr="009C03B5">
          <w:rPr>
            <w:b w:val="0"/>
            <w:bCs w:val="0"/>
            <w:webHidden/>
          </w:rPr>
          <w:t>17</w:t>
        </w:r>
        <w:r w:rsidR="009C03B5" w:rsidRPr="009C03B5">
          <w:rPr>
            <w:b w:val="0"/>
            <w:bCs w:val="0"/>
            <w:webHidden/>
          </w:rPr>
          <w:fldChar w:fldCharType="end"/>
        </w:r>
      </w:hyperlink>
    </w:p>
    <w:p w14:paraId="3762700F" w14:textId="77777777" w:rsidR="009C03B5" w:rsidRPr="009C03B5" w:rsidRDefault="00D15EAC" w:rsidP="009C03B5">
      <w:pPr>
        <w:pStyle w:val="TM3"/>
        <w:rPr>
          <w:rFonts w:asciiTheme="minorHAnsi" w:eastAsiaTheme="minorEastAsia" w:hAnsiTheme="minorHAnsi" w:cstheme="minorBidi"/>
          <w:b w:val="0"/>
          <w:bCs w:val="0"/>
          <w:sz w:val="22"/>
          <w:szCs w:val="22"/>
          <w:lang w:eastAsia="fr-FR" w:bidi="ar-SA"/>
        </w:rPr>
      </w:pPr>
      <w:hyperlink w:anchor="_Toc170226673" w:history="1">
        <w:r w:rsidR="009C03B5" w:rsidRPr="009C03B5">
          <w:rPr>
            <w:rStyle w:val="Lienhypertexte"/>
            <w:b w:val="0"/>
            <w:bCs w:val="0"/>
          </w:rPr>
          <w:t>II.2.6. Résistine</w:t>
        </w:r>
        <w:r w:rsidR="009C03B5" w:rsidRPr="009C03B5">
          <w:rPr>
            <w:b w:val="0"/>
            <w:bCs w:val="0"/>
            <w:webHidden/>
          </w:rPr>
          <w:tab/>
        </w:r>
        <w:r w:rsidR="009C03B5" w:rsidRPr="009C03B5">
          <w:rPr>
            <w:b w:val="0"/>
            <w:bCs w:val="0"/>
            <w:webHidden/>
          </w:rPr>
          <w:fldChar w:fldCharType="begin"/>
        </w:r>
        <w:r w:rsidR="009C03B5" w:rsidRPr="009C03B5">
          <w:rPr>
            <w:b w:val="0"/>
            <w:bCs w:val="0"/>
            <w:webHidden/>
          </w:rPr>
          <w:instrText xml:space="preserve"> PAGEREF _Toc170226673 \h </w:instrText>
        </w:r>
        <w:r w:rsidR="009C03B5" w:rsidRPr="009C03B5">
          <w:rPr>
            <w:b w:val="0"/>
            <w:bCs w:val="0"/>
            <w:webHidden/>
          </w:rPr>
        </w:r>
        <w:r w:rsidR="009C03B5" w:rsidRPr="009C03B5">
          <w:rPr>
            <w:b w:val="0"/>
            <w:bCs w:val="0"/>
            <w:webHidden/>
          </w:rPr>
          <w:fldChar w:fldCharType="separate"/>
        </w:r>
        <w:r w:rsidR="009C03B5" w:rsidRPr="009C03B5">
          <w:rPr>
            <w:b w:val="0"/>
            <w:bCs w:val="0"/>
            <w:webHidden/>
          </w:rPr>
          <w:t>19</w:t>
        </w:r>
        <w:r w:rsidR="009C03B5" w:rsidRPr="009C03B5">
          <w:rPr>
            <w:b w:val="0"/>
            <w:bCs w:val="0"/>
            <w:webHidden/>
          </w:rPr>
          <w:fldChar w:fldCharType="end"/>
        </w:r>
      </w:hyperlink>
    </w:p>
    <w:p w14:paraId="5671BEA6" w14:textId="77777777" w:rsidR="009C03B5" w:rsidRPr="009C03B5" w:rsidRDefault="00D15EAC" w:rsidP="009C03B5">
      <w:pPr>
        <w:pStyle w:val="TM3"/>
        <w:rPr>
          <w:rFonts w:asciiTheme="minorHAnsi" w:eastAsiaTheme="minorEastAsia" w:hAnsiTheme="minorHAnsi" w:cstheme="minorBidi"/>
          <w:b w:val="0"/>
          <w:bCs w:val="0"/>
          <w:sz w:val="22"/>
          <w:szCs w:val="22"/>
          <w:lang w:eastAsia="fr-FR" w:bidi="ar-SA"/>
        </w:rPr>
      </w:pPr>
      <w:hyperlink w:anchor="_Toc170226674" w:history="1">
        <w:r w:rsidR="009C03B5" w:rsidRPr="009C03B5">
          <w:rPr>
            <w:rStyle w:val="Lienhypertexte"/>
            <w:b w:val="0"/>
            <w:bCs w:val="0"/>
          </w:rPr>
          <w:t>II.2.7. Omentine</w:t>
        </w:r>
        <w:r w:rsidR="009C03B5" w:rsidRPr="009C03B5">
          <w:rPr>
            <w:b w:val="0"/>
            <w:bCs w:val="0"/>
            <w:webHidden/>
          </w:rPr>
          <w:tab/>
        </w:r>
        <w:r w:rsidR="009C03B5" w:rsidRPr="009C03B5">
          <w:rPr>
            <w:b w:val="0"/>
            <w:bCs w:val="0"/>
            <w:webHidden/>
          </w:rPr>
          <w:fldChar w:fldCharType="begin"/>
        </w:r>
        <w:r w:rsidR="009C03B5" w:rsidRPr="009C03B5">
          <w:rPr>
            <w:b w:val="0"/>
            <w:bCs w:val="0"/>
            <w:webHidden/>
          </w:rPr>
          <w:instrText xml:space="preserve"> PAGEREF _Toc170226674 \h </w:instrText>
        </w:r>
        <w:r w:rsidR="009C03B5" w:rsidRPr="009C03B5">
          <w:rPr>
            <w:b w:val="0"/>
            <w:bCs w:val="0"/>
            <w:webHidden/>
          </w:rPr>
        </w:r>
        <w:r w:rsidR="009C03B5" w:rsidRPr="009C03B5">
          <w:rPr>
            <w:b w:val="0"/>
            <w:bCs w:val="0"/>
            <w:webHidden/>
          </w:rPr>
          <w:fldChar w:fldCharType="separate"/>
        </w:r>
        <w:r w:rsidR="009C03B5" w:rsidRPr="009C03B5">
          <w:rPr>
            <w:b w:val="0"/>
            <w:bCs w:val="0"/>
            <w:webHidden/>
          </w:rPr>
          <w:t>20</w:t>
        </w:r>
        <w:r w:rsidR="009C03B5" w:rsidRPr="009C03B5">
          <w:rPr>
            <w:b w:val="0"/>
            <w:bCs w:val="0"/>
            <w:webHidden/>
          </w:rPr>
          <w:fldChar w:fldCharType="end"/>
        </w:r>
      </w:hyperlink>
    </w:p>
    <w:p w14:paraId="64ABBFEB" w14:textId="77777777" w:rsidR="009C03B5" w:rsidRPr="009C03B5" w:rsidRDefault="00D15EAC" w:rsidP="009C03B5">
      <w:pPr>
        <w:pStyle w:val="TM3"/>
        <w:rPr>
          <w:rFonts w:asciiTheme="minorHAnsi" w:eastAsiaTheme="minorEastAsia" w:hAnsiTheme="minorHAnsi" w:cstheme="minorBidi"/>
          <w:b w:val="0"/>
          <w:bCs w:val="0"/>
          <w:sz w:val="22"/>
          <w:szCs w:val="22"/>
          <w:lang w:eastAsia="fr-FR" w:bidi="ar-SA"/>
        </w:rPr>
      </w:pPr>
      <w:hyperlink w:anchor="_Toc170226675" w:history="1">
        <w:r w:rsidR="009C03B5" w:rsidRPr="009C03B5">
          <w:rPr>
            <w:rStyle w:val="Lienhypertexte"/>
            <w:b w:val="0"/>
            <w:bCs w:val="0"/>
          </w:rPr>
          <w:t>II.2.8. Vaspine</w:t>
        </w:r>
        <w:r w:rsidR="009C03B5" w:rsidRPr="009C03B5">
          <w:rPr>
            <w:b w:val="0"/>
            <w:bCs w:val="0"/>
            <w:webHidden/>
          </w:rPr>
          <w:tab/>
        </w:r>
        <w:r w:rsidR="009C03B5" w:rsidRPr="009C03B5">
          <w:rPr>
            <w:b w:val="0"/>
            <w:bCs w:val="0"/>
            <w:webHidden/>
          </w:rPr>
          <w:fldChar w:fldCharType="begin"/>
        </w:r>
        <w:r w:rsidR="009C03B5" w:rsidRPr="009C03B5">
          <w:rPr>
            <w:b w:val="0"/>
            <w:bCs w:val="0"/>
            <w:webHidden/>
          </w:rPr>
          <w:instrText xml:space="preserve"> PAGEREF _Toc170226675 \h </w:instrText>
        </w:r>
        <w:r w:rsidR="009C03B5" w:rsidRPr="009C03B5">
          <w:rPr>
            <w:b w:val="0"/>
            <w:bCs w:val="0"/>
            <w:webHidden/>
          </w:rPr>
        </w:r>
        <w:r w:rsidR="009C03B5" w:rsidRPr="009C03B5">
          <w:rPr>
            <w:b w:val="0"/>
            <w:bCs w:val="0"/>
            <w:webHidden/>
          </w:rPr>
          <w:fldChar w:fldCharType="separate"/>
        </w:r>
        <w:r w:rsidR="009C03B5" w:rsidRPr="009C03B5">
          <w:rPr>
            <w:b w:val="0"/>
            <w:bCs w:val="0"/>
            <w:webHidden/>
          </w:rPr>
          <w:t>20</w:t>
        </w:r>
        <w:r w:rsidR="009C03B5" w:rsidRPr="009C03B5">
          <w:rPr>
            <w:b w:val="0"/>
            <w:bCs w:val="0"/>
            <w:webHidden/>
          </w:rPr>
          <w:fldChar w:fldCharType="end"/>
        </w:r>
      </w:hyperlink>
    </w:p>
    <w:p w14:paraId="2BEE7D81" w14:textId="77777777" w:rsidR="009C03B5" w:rsidRDefault="00D15EAC">
      <w:pPr>
        <w:pStyle w:val="TM1"/>
        <w:rPr>
          <w:rFonts w:asciiTheme="minorHAnsi" w:eastAsiaTheme="minorEastAsia" w:hAnsiTheme="minorHAnsi" w:cstheme="minorBidi"/>
          <w:b w:val="0"/>
          <w:bCs w:val="0"/>
          <w:sz w:val="22"/>
          <w:szCs w:val="22"/>
          <w:lang w:eastAsia="fr-FR"/>
        </w:rPr>
      </w:pPr>
      <w:hyperlink w:anchor="_Toc170226676" w:history="1">
        <w:r w:rsidR="009C03B5" w:rsidRPr="00E67782">
          <w:rPr>
            <w:rStyle w:val="Lienhypertexte"/>
          </w:rPr>
          <w:t>Chapitre III. Implication des adipokines dans la physiopathologie de différentes maladies</w:t>
        </w:r>
        <w:r w:rsidR="009C03B5">
          <w:rPr>
            <w:webHidden/>
          </w:rPr>
          <w:tab/>
        </w:r>
        <w:r w:rsidR="009C03B5">
          <w:rPr>
            <w:webHidden/>
          </w:rPr>
          <w:fldChar w:fldCharType="begin"/>
        </w:r>
        <w:r w:rsidR="009C03B5">
          <w:rPr>
            <w:webHidden/>
          </w:rPr>
          <w:instrText xml:space="preserve"> PAGEREF _Toc170226676 \h </w:instrText>
        </w:r>
        <w:r w:rsidR="009C03B5">
          <w:rPr>
            <w:webHidden/>
          </w:rPr>
        </w:r>
        <w:r w:rsidR="009C03B5">
          <w:rPr>
            <w:webHidden/>
          </w:rPr>
          <w:fldChar w:fldCharType="separate"/>
        </w:r>
        <w:r w:rsidR="009C03B5">
          <w:rPr>
            <w:webHidden/>
          </w:rPr>
          <w:t>22</w:t>
        </w:r>
        <w:r w:rsidR="009C03B5">
          <w:rPr>
            <w:webHidden/>
          </w:rPr>
          <w:fldChar w:fldCharType="end"/>
        </w:r>
      </w:hyperlink>
    </w:p>
    <w:p w14:paraId="77517D40" w14:textId="77777777" w:rsidR="009C03B5" w:rsidRDefault="00D15EAC">
      <w:pPr>
        <w:pStyle w:val="TM2"/>
        <w:rPr>
          <w:rFonts w:asciiTheme="minorHAnsi" w:eastAsiaTheme="minorEastAsia" w:hAnsiTheme="minorHAnsi" w:cstheme="minorBidi"/>
          <w:b w:val="0"/>
          <w:bCs w:val="0"/>
          <w:sz w:val="22"/>
          <w:szCs w:val="22"/>
          <w:lang w:eastAsia="fr-FR" w:bidi="ar-SA"/>
        </w:rPr>
      </w:pPr>
      <w:hyperlink w:anchor="_Toc170226677" w:history="1">
        <w:r w:rsidR="009C03B5" w:rsidRPr="00E67782">
          <w:rPr>
            <w:rStyle w:val="Lienhypertexte"/>
            <w14:scene3d>
              <w14:camera w14:prst="orthographicFront"/>
              <w14:lightRig w14:rig="threePt" w14:dir="t">
                <w14:rot w14:lat="0" w14:lon="0" w14:rev="0"/>
              </w14:lightRig>
            </w14:scene3d>
          </w:rPr>
          <w:t>III.1.</w:t>
        </w:r>
        <w:r w:rsidR="009C03B5" w:rsidRPr="00E67782">
          <w:rPr>
            <w:rStyle w:val="Lienhypertexte"/>
          </w:rPr>
          <w:t xml:space="preserve"> L’obésité</w:t>
        </w:r>
        <w:r w:rsidR="009C03B5">
          <w:rPr>
            <w:webHidden/>
          </w:rPr>
          <w:tab/>
        </w:r>
        <w:r w:rsidR="009C03B5">
          <w:rPr>
            <w:webHidden/>
          </w:rPr>
          <w:fldChar w:fldCharType="begin"/>
        </w:r>
        <w:r w:rsidR="009C03B5">
          <w:rPr>
            <w:webHidden/>
          </w:rPr>
          <w:instrText xml:space="preserve"> PAGEREF _Toc170226677 \h </w:instrText>
        </w:r>
        <w:r w:rsidR="009C03B5">
          <w:rPr>
            <w:webHidden/>
          </w:rPr>
        </w:r>
        <w:r w:rsidR="009C03B5">
          <w:rPr>
            <w:webHidden/>
          </w:rPr>
          <w:fldChar w:fldCharType="separate"/>
        </w:r>
        <w:r w:rsidR="009C03B5">
          <w:rPr>
            <w:webHidden/>
          </w:rPr>
          <w:t>22</w:t>
        </w:r>
        <w:r w:rsidR="009C03B5">
          <w:rPr>
            <w:webHidden/>
          </w:rPr>
          <w:fldChar w:fldCharType="end"/>
        </w:r>
      </w:hyperlink>
    </w:p>
    <w:p w14:paraId="3DEFA4E0" w14:textId="77777777" w:rsidR="009C03B5" w:rsidRDefault="00D15EAC">
      <w:pPr>
        <w:pStyle w:val="TM2"/>
        <w:rPr>
          <w:rFonts w:asciiTheme="minorHAnsi" w:eastAsiaTheme="minorEastAsia" w:hAnsiTheme="minorHAnsi" w:cstheme="minorBidi"/>
          <w:b w:val="0"/>
          <w:bCs w:val="0"/>
          <w:sz w:val="22"/>
          <w:szCs w:val="22"/>
          <w:lang w:eastAsia="fr-FR" w:bidi="ar-SA"/>
        </w:rPr>
      </w:pPr>
      <w:hyperlink w:anchor="_Toc170226682" w:history="1">
        <w:r w:rsidR="009C03B5" w:rsidRPr="00E67782">
          <w:rPr>
            <w:rStyle w:val="Lienhypertexte"/>
            <w14:scene3d>
              <w14:camera w14:prst="orthographicFront"/>
              <w14:lightRig w14:rig="threePt" w14:dir="t">
                <w14:rot w14:lat="0" w14:lon="0" w14:rev="0"/>
              </w14:lightRig>
            </w14:scene3d>
          </w:rPr>
          <w:t>III.2.</w:t>
        </w:r>
        <w:r w:rsidR="009C03B5" w:rsidRPr="00E67782">
          <w:rPr>
            <w:rStyle w:val="Lienhypertexte"/>
          </w:rPr>
          <w:t xml:space="preserve"> Le diabète</w:t>
        </w:r>
        <w:r w:rsidR="009C03B5">
          <w:rPr>
            <w:webHidden/>
          </w:rPr>
          <w:tab/>
        </w:r>
        <w:r w:rsidR="009C03B5">
          <w:rPr>
            <w:webHidden/>
          </w:rPr>
          <w:fldChar w:fldCharType="begin"/>
        </w:r>
        <w:r w:rsidR="009C03B5">
          <w:rPr>
            <w:webHidden/>
          </w:rPr>
          <w:instrText xml:space="preserve"> PAGEREF _Toc170226682 \h </w:instrText>
        </w:r>
        <w:r w:rsidR="009C03B5">
          <w:rPr>
            <w:webHidden/>
          </w:rPr>
        </w:r>
        <w:r w:rsidR="009C03B5">
          <w:rPr>
            <w:webHidden/>
          </w:rPr>
          <w:fldChar w:fldCharType="separate"/>
        </w:r>
        <w:r w:rsidR="009C03B5">
          <w:rPr>
            <w:webHidden/>
          </w:rPr>
          <w:t>24</w:t>
        </w:r>
        <w:r w:rsidR="009C03B5">
          <w:rPr>
            <w:webHidden/>
          </w:rPr>
          <w:fldChar w:fldCharType="end"/>
        </w:r>
      </w:hyperlink>
    </w:p>
    <w:p w14:paraId="2D94F9AC"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683" w:history="1">
        <w:r w:rsidR="009C03B5" w:rsidRPr="009C03B5">
          <w:rPr>
            <w:rStyle w:val="Lienhypertexte"/>
            <w:b w:val="0"/>
            <w:bCs w:val="0"/>
          </w:rPr>
          <w:t>Le diabète type 2 (DT2)</w:t>
        </w:r>
        <w:r w:rsidR="009C03B5" w:rsidRPr="009C03B5">
          <w:rPr>
            <w:webHidden/>
          </w:rPr>
          <w:tab/>
        </w:r>
        <w:r w:rsidR="009C03B5" w:rsidRPr="009C03B5">
          <w:rPr>
            <w:webHidden/>
          </w:rPr>
          <w:fldChar w:fldCharType="begin"/>
        </w:r>
        <w:r w:rsidR="009C03B5" w:rsidRPr="009C03B5">
          <w:rPr>
            <w:webHidden/>
          </w:rPr>
          <w:instrText xml:space="preserve"> PAGEREF _Toc170226683 \h </w:instrText>
        </w:r>
        <w:r w:rsidR="009C03B5" w:rsidRPr="009C03B5">
          <w:rPr>
            <w:webHidden/>
          </w:rPr>
        </w:r>
        <w:r w:rsidR="009C03B5" w:rsidRPr="009C03B5">
          <w:rPr>
            <w:webHidden/>
          </w:rPr>
          <w:fldChar w:fldCharType="separate"/>
        </w:r>
        <w:r w:rsidR="009C03B5" w:rsidRPr="009C03B5">
          <w:rPr>
            <w:webHidden/>
          </w:rPr>
          <w:t>24</w:t>
        </w:r>
        <w:r w:rsidR="009C03B5" w:rsidRPr="009C03B5">
          <w:rPr>
            <w:webHidden/>
          </w:rPr>
          <w:fldChar w:fldCharType="end"/>
        </w:r>
      </w:hyperlink>
    </w:p>
    <w:p w14:paraId="473AFC39"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684" w:history="1">
        <w:r w:rsidR="009C03B5" w:rsidRPr="009C03B5">
          <w:rPr>
            <w:rStyle w:val="Lienhypertexte"/>
            <w:b w:val="0"/>
            <w:bCs w:val="0"/>
          </w:rPr>
          <w:t>III.2.1. Diabète gestationnelle (DG)</w:t>
        </w:r>
        <w:r w:rsidR="009C03B5" w:rsidRPr="009C03B5">
          <w:rPr>
            <w:webHidden/>
          </w:rPr>
          <w:tab/>
        </w:r>
        <w:r w:rsidR="009C03B5" w:rsidRPr="009C03B5">
          <w:rPr>
            <w:webHidden/>
          </w:rPr>
          <w:fldChar w:fldCharType="begin"/>
        </w:r>
        <w:r w:rsidR="009C03B5" w:rsidRPr="009C03B5">
          <w:rPr>
            <w:webHidden/>
          </w:rPr>
          <w:instrText xml:space="preserve"> PAGEREF _Toc170226684 \h </w:instrText>
        </w:r>
        <w:r w:rsidR="009C03B5" w:rsidRPr="009C03B5">
          <w:rPr>
            <w:webHidden/>
          </w:rPr>
        </w:r>
        <w:r w:rsidR="009C03B5" w:rsidRPr="009C03B5">
          <w:rPr>
            <w:webHidden/>
          </w:rPr>
          <w:fldChar w:fldCharType="separate"/>
        </w:r>
        <w:r w:rsidR="009C03B5" w:rsidRPr="009C03B5">
          <w:rPr>
            <w:webHidden/>
          </w:rPr>
          <w:t>25</w:t>
        </w:r>
        <w:r w:rsidR="009C03B5" w:rsidRPr="009C03B5">
          <w:rPr>
            <w:webHidden/>
          </w:rPr>
          <w:fldChar w:fldCharType="end"/>
        </w:r>
      </w:hyperlink>
    </w:p>
    <w:p w14:paraId="3CEAEE26"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685" w:history="1">
        <w:r w:rsidR="009C03B5" w:rsidRPr="009C03B5">
          <w:rPr>
            <w:rStyle w:val="Lienhypertexte"/>
            <w:b w:val="0"/>
            <w:bCs w:val="0"/>
          </w:rPr>
          <w:t>III.2.2. L’hémostasie de glucose</w:t>
        </w:r>
        <w:r w:rsidR="009C03B5" w:rsidRPr="009C03B5">
          <w:rPr>
            <w:webHidden/>
          </w:rPr>
          <w:tab/>
        </w:r>
        <w:r w:rsidR="009C03B5" w:rsidRPr="009C03B5">
          <w:rPr>
            <w:webHidden/>
          </w:rPr>
          <w:fldChar w:fldCharType="begin"/>
        </w:r>
        <w:r w:rsidR="009C03B5" w:rsidRPr="009C03B5">
          <w:rPr>
            <w:webHidden/>
          </w:rPr>
          <w:instrText xml:space="preserve"> PAGEREF _Toc170226685 \h </w:instrText>
        </w:r>
        <w:r w:rsidR="009C03B5" w:rsidRPr="009C03B5">
          <w:rPr>
            <w:webHidden/>
          </w:rPr>
        </w:r>
        <w:r w:rsidR="009C03B5" w:rsidRPr="009C03B5">
          <w:rPr>
            <w:webHidden/>
          </w:rPr>
          <w:fldChar w:fldCharType="separate"/>
        </w:r>
        <w:r w:rsidR="009C03B5" w:rsidRPr="009C03B5">
          <w:rPr>
            <w:webHidden/>
          </w:rPr>
          <w:t>26</w:t>
        </w:r>
        <w:r w:rsidR="009C03B5" w:rsidRPr="009C03B5">
          <w:rPr>
            <w:webHidden/>
          </w:rPr>
          <w:fldChar w:fldCharType="end"/>
        </w:r>
      </w:hyperlink>
    </w:p>
    <w:p w14:paraId="1BBF00AC"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686" w:history="1">
        <w:r w:rsidR="009C03B5" w:rsidRPr="009C03B5">
          <w:rPr>
            <w:rStyle w:val="Lienhypertexte"/>
            <w:b w:val="0"/>
            <w:bCs w:val="0"/>
          </w:rPr>
          <w:t>III.2.3. Sensibilité à l’insuline</w:t>
        </w:r>
        <w:r w:rsidR="009C03B5" w:rsidRPr="009C03B5">
          <w:rPr>
            <w:webHidden/>
          </w:rPr>
          <w:tab/>
        </w:r>
        <w:r w:rsidR="009C03B5" w:rsidRPr="009C03B5">
          <w:rPr>
            <w:webHidden/>
          </w:rPr>
          <w:fldChar w:fldCharType="begin"/>
        </w:r>
        <w:r w:rsidR="009C03B5" w:rsidRPr="009C03B5">
          <w:rPr>
            <w:webHidden/>
          </w:rPr>
          <w:instrText xml:space="preserve"> PAGEREF _Toc170226686 \h </w:instrText>
        </w:r>
        <w:r w:rsidR="009C03B5" w:rsidRPr="009C03B5">
          <w:rPr>
            <w:webHidden/>
          </w:rPr>
        </w:r>
        <w:r w:rsidR="009C03B5" w:rsidRPr="009C03B5">
          <w:rPr>
            <w:webHidden/>
          </w:rPr>
          <w:fldChar w:fldCharType="separate"/>
        </w:r>
        <w:r w:rsidR="009C03B5" w:rsidRPr="009C03B5">
          <w:rPr>
            <w:webHidden/>
          </w:rPr>
          <w:t>27</w:t>
        </w:r>
        <w:r w:rsidR="009C03B5" w:rsidRPr="009C03B5">
          <w:rPr>
            <w:webHidden/>
          </w:rPr>
          <w:fldChar w:fldCharType="end"/>
        </w:r>
      </w:hyperlink>
    </w:p>
    <w:p w14:paraId="09898A4C" w14:textId="77777777" w:rsidR="009C03B5" w:rsidRDefault="00D15EAC">
      <w:pPr>
        <w:pStyle w:val="TM2"/>
        <w:rPr>
          <w:rFonts w:asciiTheme="minorHAnsi" w:eastAsiaTheme="minorEastAsia" w:hAnsiTheme="minorHAnsi" w:cstheme="minorBidi"/>
          <w:b w:val="0"/>
          <w:bCs w:val="0"/>
          <w:sz w:val="22"/>
          <w:szCs w:val="22"/>
          <w:lang w:eastAsia="fr-FR" w:bidi="ar-SA"/>
        </w:rPr>
      </w:pPr>
      <w:hyperlink w:anchor="_Toc170226687" w:history="1">
        <w:r w:rsidR="009C03B5" w:rsidRPr="00E67782">
          <w:rPr>
            <w:rStyle w:val="Lienhypertexte"/>
            <w14:scene3d>
              <w14:camera w14:prst="orthographicFront"/>
              <w14:lightRig w14:rig="threePt" w14:dir="t">
                <w14:rot w14:lat="0" w14:lon="0" w14:rev="0"/>
              </w14:lightRig>
            </w14:scene3d>
          </w:rPr>
          <w:t>III.3.</w:t>
        </w:r>
        <w:r w:rsidR="009C03B5" w:rsidRPr="00E67782">
          <w:rPr>
            <w:rStyle w:val="Lienhypertexte"/>
          </w:rPr>
          <w:t xml:space="preserve"> Maladies cardiovasculaire</w:t>
        </w:r>
        <w:r w:rsidR="009C03B5">
          <w:rPr>
            <w:webHidden/>
          </w:rPr>
          <w:tab/>
        </w:r>
        <w:r w:rsidR="009C03B5">
          <w:rPr>
            <w:webHidden/>
          </w:rPr>
          <w:fldChar w:fldCharType="begin"/>
        </w:r>
        <w:r w:rsidR="009C03B5">
          <w:rPr>
            <w:webHidden/>
          </w:rPr>
          <w:instrText xml:space="preserve"> PAGEREF _Toc170226687 \h </w:instrText>
        </w:r>
        <w:r w:rsidR="009C03B5">
          <w:rPr>
            <w:webHidden/>
          </w:rPr>
        </w:r>
        <w:r w:rsidR="009C03B5">
          <w:rPr>
            <w:webHidden/>
          </w:rPr>
          <w:fldChar w:fldCharType="separate"/>
        </w:r>
        <w:r w:rsidR="009C03B5">
          <w:rPr>
            <w:webHidden/>
          </w:rPr>
          <w:t>28</w:t>
        </w:r>
        <w:r w:rsidR="009C03B5">
          <w:rPr>
            <w:webHidden/>
          </w:rPr>
          <w:fldChar w:fldCharType="end"/>
        </w:r>
      </w:hyperlink>
    </w:p>
    <w:p w14:paraId="7C8B47D8"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688" w:history="1">
        <w:r w:rsidR="009C03B5" w:rsidRPr="009C03B5">
          <w:rPr>
            <w:rStyle w:val="Lienhypertexte"/>
            <w:b w:val="0"/>
            <w:bCs w:val="0"/>
          </w:rPr>
          <w:t>III.3.1. L’athérosclérose</w:t>
        </w:r>
        <w:r w:rsidR="009C03B5" w:rsidRPr="009C03B5">
          <w:rPr>
            <w:webHidden/>
          </w:rPr>
          <w:tab/>
        </w:r>
        <w:r w:rsidR="009C03B5" w:rsidRPr="009C03B5">
          <w:rPr>
            <w:webHidden/>
          </w:rPr>
          <w:fldChar w:fldCharType="begin"/>
        </w:r>
        <w:r w:rsidR="009C03B5" w:rsidRPr="009C03B5">
          <w:rPr>
            <w:webHidden/>
          </w:rPr>
          <w:instrText xml:space="preserve"> PAGEREF _Toc170226688 \h </w:instrText>
        </w:r>
        <w:r w:rsidR="009C03B5" w:rsidRPr="009C03B5">
          <w:rPr>
            <w:webHidden/>
          </w:rPr>
        </w:r>
        <w:r w:rsidR="009C03B5" w:rsidRPr="009C03B5">
          <w:rPr>
            <w:webHidden/>
          </w:rPr>
          <w:fldChar w:fldCharType="separate"/>
        </w:r>
        <w:r w:rsidR="009C03B5" w:rsidRPr="009C03B5">
          <w:rPr>
            <w:webHidden/>
          </w:rPr>
          <w:t>29</w:t>
        </w:r>
        <w:r w:rsidR="009C03B5" w:rsidRPr="009C03B5">
          <w:rPr>
            <w:webHidden/>
          </w:rPr>
          <w:fldChar w:fldCharType="end"/>
        </w:r>
      </w:hyperlink>
    </w:p>
    <w:p w14:paraId="06501931"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689" w:history="1">
        <w:r w:rsidR="009C03B5" w:rsidRPr="009C03B5">
          <w:rPr>
            <w:rStyle w:val="Lienhypertexte"/>
            <w:b w:val="0"/>
            <w:bCs w:val="0"/>
          </w:rPr>
          <w:t>III.3.2. L’hypertension</w:t>
        </w:r>
        <w:r w:rsidR="009C03B5" w:rsidRPr="009C03B5">
          <w:rPr>
            <w:webHidden/>
          </w:rPr>
          <w:tab/>
        </w:r>
        <w:r w:rsidR="009C03B5" w:rsidRPr="009C03B5">
          <w:rPr>
            <w:webHidden/>
          </w:rPr>
          <w:fldChar w:fldCharType="begin"/>
        </w:r>
        <w:r w:rsidR="009C03B5" w:rsidRPr="009C03B5">
          <w:rPr>
            <w:webHidden/>
          </w:rPr>
          <w:instrText xml:space="preserve"> PAGEREF _Toc170226689 \h </w:instrText>
        </w:r>
        <w:r w:rsidR="009C03B5" w:rsidRPr="009C03B5">
          <w:rPr>
            <w:webHidden/>
          </w:rPr>
        </w:r>
        <w:r w:rsidR="009C03B5" w:rsidRPr="009C03B5">
          <w:rPr>
            <w:webHidden/>
          </w:rPr>
          <w:fldChar w:fldCharType="separate"/>
        </w:r>
        <w:r w:rsidR="009C03B5" w:rsidRPr="009C03B5">
          <w:rPr>
            <w:webHidden/>
          </w:rPr>
          <w:t>29</w:t>
        </w:r>
        <w:r w:rsidR="009C03B5" w:rsidRPr="009C03B5">
          <w:rPr>
            <w:webHidden/>
          </w:rPr>
          <w:fldChar w:fldCharType="end"/>
        </w:r>
      </w:hyperlink>
    </w:p>
    <w:p w14:paraId="49E319AF" w14:textId="77777777" w:rsidR="009C03B5" w:rsidRDefault="00D15EAC">
      <w:pPr>
        <w:pStyle w:val="TM2"/>
        <w:rPr>
          <w:rFonts w:asciiTheme="minorHAnsi" w:eastAsiaTheme="minorEastAsia" w:hAnsiTheme="minorHAnsi" w:cstheme="minorBidi"/>
          <w:b w:val="0"/>
          <w:bCs w:val="0"/>
          <w:sz w:val="22"/>
          <w:szCs w:val="22"/>
          <w:lang w:eastAsia="fr-FR" w:bidi="ar-SA"/>
        </w:rPr>
      </w:pPr>
      <w:hyperlink w:anchor="_Toc170226690" w:history="1">
        <w:r w:rsidR="009C03B5" w:rsidRPr="00E67782">
          <w:rPr>
            <w:rStyle w:val="Lienhypertexte"/>
            <w14:scene3d>
              <w14:camera w14:prst="orthographicFront"/>
              <w14:lightRig w14:rig="threePt" w14:dir="t">
                <w14:rot w14:lat="0" w14:lon="0" w14:rev="0"/>
              </w14:lightRig>
            </w14:scene3d>
          </w:rPr>
          <w:t>III.4.</w:t>
        </w:r>
        <w:r w:rsidR="009C03B5" w:rsidRPr="00E67782">
          <w:rPr>
            <w:rStyle w:val="Lienhypertexte"/>
          </w:rPr>
          <w:t xml:space="preserve"> Cancer</w:t>
        </w:r>
        <w:r w:rsidR="009C03B5">
          <w:rPr>
            <w:webHidden/>
          </w:rPr>
          <w:tab/>
        </w:r>
        <w:r w:rsidR="009C03B5">
          <w:rPr>
            <w:webHidden/>
          </w:rPr>
          <w:fldChar w:fldCharType="begin"/>
        </w:r>
        <w:r w:rsidR="009C03B5">
          <w:rPr>
            <w:webHidden/>
          </w:rPr>
          <w:instrText xml:space="preserve"> PAGEREF _Toc170226690 \h </w:instrText>
        </w:r>
        <w:r w:rsidR="009C03B5">
          <w:rPr>
            <w:webHidden/>
          </w:rPr>
        </w:r>
        <w:r w:rsidR="009C03B5">
          <w:rPr>
            <w:webHidden/>
          </w:rPr>
          <w:fldChar w:fldCharType="separate"/>
        </w:r>
        <w:r w:rsidR="009C03B5">
          <w:rPr>
            <w:webHidden/>
          </w:rPr>
          <w:t>30</w:t>
        </w:r>
        <w:r w:rsidR="009C03B5">
          <w:rPr>
            <w:webHidden/>
          </w:rPr>
          <w:fldChar w:fldCharType="end"/>
        </w:r>
      </w:hyperlink>
    </w:p>
    <w:p w14:paraId="285D20D9"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691" w:history="1">
        <w:r w:rsidR="009C03B5" w:rsidRPr="009C03B5">
          <w:rPr>
            <w:rStyle w:val="Lienhypertexte"/>
            <w:b w:val="0"/>
            <w:bCs w:val="0"/>
          </w:rPr>
          <w:t>III.4.1. Cancer de sein</w:t>
        </w:r>
        <w:r w:rsidR="009C03B5" w:rsidRPr="009C03B5">
          <w:rPr>
            <w:webHidden/>
          </w:rPr>
          <w:tab/>
        </w:r>
        <w:r w:rsidR="009C03B5" w:rsidRPr="009C03B5">
          <w:rPr>
            <w:webHidden/>
          </w:rPr>
          <w:fldChar w:fldCharType="begin"/>
        </w:r>
        <w:r w:rsidR="009C03B5" w:rsidRPr="009C03B5">
          <w:rPr>
            <w:webHidden/>
          </w:rPr>
          <w:instrText xml:space="preserve"> PAGEREF _Toc170226691 \h </w:instrText>
        </w:r>
        <w:r w:rsidR="009C03B5" w:rsidRPr="009C03B5">
          <w:rPr>
            <w:webHidden/>
          </w:rPr>
        </w:r>
        <w:r w:rsidR="009C03B5" w:rsidRPr="009C03B5">
          <w:rPr>
            <w:webHidden/>
          </w:rPr>
          <w:fldChar w:fldCharType="separate"/>
        </w:r>
        <w:r w:rsidR="009C03B5" w:rsidRPr="009C03B5">
          <w:rPr>
            <w:webHidden/>
          </w:rPr>
          <w:t>31</w:t>
        </w:r>
        <w:r w:rsidR="009C03B5" w:rsidRPr="009C03B5">
          <w:rPr>
            <w:webHidden/>
          </w:rPr>
          <w:fldChar w:fldCharType="end"/>
        </w:r>
      </w:hyperlink>
    </w:p>
    <w:p w14:paraId="17C1E93F"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692" w:history="1">
        <w:r w:rsidR="009C03B5" w:rsidRPr="009C03B5">
          <w:rPr>
            <w:rStyle w:val="Lienhypertexte"/>
            <w:b w:val="0"/>
            <w:bCs w:val="0"/>
          </w:rPr>
          <w:t>III.4.2. Cancer du côlon</w:t>
        </w:r>
        <w:r w:rsidR="009C03B5" w:rsidRPr="009C03B5">
          <w:rPr>
            <w:webHidden/>
          </w:rPr>
          <w:tab/>
        </w:r>
        <w:r w:rsidR="009C03B5" w:rsidRPr="009C03B5">
          <w:rPr>
            <w:webHidden/>
          </w:rPr>
          <w:fldChar w:fldCharType="begin"/>
        </w:r>
        <w:r w:rsidR="009C03B5" w:rsidRPr="009C03B5">
          <w:rPr>
            <w:webHidden/>
          </w:rPr>
          <w:instrText xml:space="preserve"> PAGEREF _Toc170226692 \h </w:instrText>
        </w:r>
        <w:r w:rsidR="009C03B5" w:rsidRPr="009C03B5">
          <w:rPr>
            <w:webHidden/>
          </w:rPr>
        </w:r>
        <w:r w:rsidR="009C03B5" w:rsidRPr="009C03B5">
          <w:rPr>
            <w:webHidden/>
          </w:rPr>
          <w:fldChar w:fldCharType="separate"/>
        </w:r>
        <w:r w:rsidR="009C03B5" w:rsidRPr="009C03B5">
          <w:rPr>
            <w:webHidden/>
          </w:rPr>
          <w:t>32</w:t>
        </w:r>
        <w:r w:rsidR="009C03B5" w:rsidRPr="009C03B5">
          <w:rPr>
            <w:webHidden/>
          </w:rPr>
          <w:fldChar w:fldCharType="end"/>
        </w:r>
      </w:hyperlink>
    </w:p>
    <w:p w14:paraId="051DC326"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693" w:history="1">
        <w:r w:rsidR="009C03B5" w:rsidRPr="009C03B5">
          <w:rPr>
            <w:rStyle w:val="Lienhypertexte"/>
            <w:b w:val="0"/>
            <w:bCs w:val="0"/>
          </w:rPr>
          <w:t>III.4.3. Cancer du pancréas</w:t>
        </w:r>
        <w:r w:rsidR="009C03B5" w:rsidRPr="009C03B5">
          <w:rPr>
            <w:webHidden/>
          </w:rPr>
          <w:tab/>
        </w:r>
        <w:r w:rsidR="009C03B5" w:rsidRPr="009C03B5">
          <w:rPr>
            <w:webHidden/>
          </w:rPr>
          <w:fldChar w:fldCharType="begin"/>
        </w:r>
        <w:r w:rsidR="009C03B5" w:rsidRPr="009C03B5">
          <w:rPr>
            <w:webHidden/>
          </w:rPr>
          <w:instrText xml:space="preserve"> PAGEREF _Toc170226693 \h </w:instrText>
        </w:r>
        <w:r w:rsidR="009C03B5" w:rsidRPr="009C03B5">
          <w:rPr>
            <w:webHidden/>
          </w:rPr>
        </w:r>
        <w:r w:rsidR="009C03B5" w:rsidRPr="009C03B5">
          <w:rPr>
            <w:webHidden/>
          </w:rPr>
          <w:fldChar w:fldCharType="separate"/>
        </w:r>
        <w:r w:rsidR="009C03B5" w:rsidRPr="009C03B5">
          <w:rPr>
            <w:webHidden/>
          </w:rPr>
          <w:t>33</w:t>
        </w:r>
        <w:r w:rsidR="009C03B5" w:rsidRPr="009C03B5">
          <w:rPr>
            <w:webHidden/>
          </w:rPr>
          <w:fldChar w:fldCharType="end"/>
        </w:r>
      </w:hyperlink>
    </w:p>
    <w:p w14:paraId="61D43130" w14:textId="77777777" w:rsidR="009C03B5" w:rsidRDefault="00D15EAC">
      <w:pPr>
        <w:pStyle w:val="TM2"/>
        <w:rPr>
          <w:rFonts w:asciiTheme="minorHAnsi" w:eastAsiaTheme="minorEastAsia" w:hAnsiTheme="minorHAnsi" w:cstheme="minorBidi"/>
          <w:b w:val="0"/>
          <w:bCs w:val="0"/>
          <w:sz w:val="22"/>
          <w:szCs w:val="22"/>
          <w:lang w:eastAsia="fr-FR" w:bidi="ar-SA"/>
        </w:rPr>
      </w:pPr>
      <w:hyperlink w:anchor="_Toc170226694" w:history="1">
        <w:r w:rsidR="009C03B5" w:rsidRPr="00E67782">
          <w:rPr>
            <w:rStyle w:val="Lienhypertexte"/>
            <w14:scene3d>
              <w14:camera w14:prst="orthographicFront"/>
              <w14:lightRig w14:rig="threePt" w14:dir="t">
                <w14:rot w14:lat="0" w14:lon="0" w14:rev="0"/>
              </w14:lightRig>
            </w14:scene3d>
          </w:rPr>
          <w:t>III.5.</w:t>
        </w:r>
        <w:r w:rsidR="009C03B5" w:rsidRPr="00E67782">
          <w:rPr>
            <w:rStyle w:val="Lienhypertexte"/>
          </w:rPr>
          <w:t xml:space="preserve"> Psoriasis</w:t>
        </w:r>
        <w:r w:rsidR="009C03B5">
          <w:rPr>
            <w:webHidden/>
          </w:rPr>
          <w:tab/>
        </w:r>
        <w:r w:rsidR="009C03B5">
          <w:rPr>
            <w:webHidden/>
          </w:rPr>
          <w:fldChar w:fldCharType="begin"/>
        </w:r>
        <w:r w:rsidR="009C03B5">
          <w:rPr>
            <w:webHidden/>
          </w:rPr>
          <w:instrText xml:space="preserve"> PAGEREF _Toc170226694 \h </w:instrText>
        </w:r>
        <w:r w:rsidR="009C03B5">
          <w:rPr>
            <w:webHidden/>
          </w:rPr>
        </w:r>
        <w:r w:rsidR="009C03B5">
          <w:rPr>
            <w:webHidden/>
          </w:rPr>
          <w:fldChar w:fldCharType="separate"/>
        </w:r>
        <w:r w:rsidR="009C03B5">
          <w:rPr>
            <w:webHidden/>
          </w:rPr>
          <w:t>33</w:t>
        </w:r>
        <w:r w:rsidR="009C03B5">
          <w:rPr>
            <w:webHidden/>
          </w:rPr>
          <w:fldChar w:fldCharType="end"/>
        </w:r>
      </w:hyperlink>
    </w:p>
    <w:p w14:paraId="246FFAF8" w14:textId="77777777" w:rsidR="009C03B5" w:rsidRDefault="00D15EAC">
      <w:pPr>
        <w:pStyle w:val="TM2"/>
        <w:rPr>
          <w:rFonts w:asciiTheme="minorHAnsi" w:eastAsiaTheme="minorEastAsia" w:hAnsiTheme="minorHAnsi" w:cstheme="minorBidi"/>
          <w:b w:val="0"/>
          <w:bCs w:val="0"/>
          <w:sz w:val="22"/>
          <w:szCs w:val="22"/>
          <w:lang w:eastAsia="fr-FR" w:bidi="ar-SA"/>
        </w:rPr>
      </w:pPr>
      <w:hyperlink w:anchor="_Toc170226695" w:history="1">
        <w:r w:rsidR="009C03B5" w:rsidRPr="00E67782">
          <w:rPr>
            <w:rStyle w:val="Lienhypertexte"/>
            <w14:scene3d>
              <w14:camera w14:prst="orthographicFront"/>
              <w14:lightRig w14:rig="threePt" w14:dir="t">
                <w14:rot w14:lat="0" w14:lon="0" w14:rev="0"/>
              </w14:lightRig>
            </w14:scene3d>
          </w:rPr>
          <w:t>III.6.</w:t>
        </w:r>
        <w:r w:rsidR="009C03B5" w:rsidRPr="00E67782">
          <w:rPr>
            <w:rStyle w:val="Lienhypertexte"/>
          </w:rPr>
          <w:t xml:space="preserve"> Adipokines et  les maladies inflammatoires</w:t>
        </w:r>
        <w:r w:rsidR="009C03B5">
          <w:rPr>
            <w:webHidden/>
          </w:rPr>
          <w:tab/>
        </w:r>
        <w:r w:rsidR="009C03B5">
          <w:rPr>
            <w:webHidden/>
          </w:rPr>
          <w:fldChar w:fldCharType="begin"/>
        </w:r>
        <w:r w:rsidR="009C03B5">
          <w:rPr>
            <w:webHidden/>
          </w:rPr>
          <w:instrText xml:space="preserve"> PAGEREF _Toc170226695 \h </w:instrText>
        </w:r>
        <w:r w:rsidR="009C03B5">
          <w:rPr>
            <w:webHidden/>
          </w:rPr>
        </w:r>
        <w:r w:rsidR="009C03B5">
          <w:rPr>
            <w:webHidden/>
          </w:rPr>
          <w:fldChar w:fldCharType="separate"/>
        </w:r>
        <w:r w:rsidR="009C03B5">
          <w:rPr>
            <w:webHidden/>
          </w:rPr>
          <w:t>35</w:t>
        </w:r>
        <w:r w:rsidR="009C03B5">
          <w:rPr>
            <w:webHidden/>
          </w:rPr>
          <w:fldChar w:fldCharType="end"/>
        </w:r>
      </w:hyperlink>
    </w:p>
    <w:p w14:paraId="76FBD195"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696" w:history="1">
        <w:r w:rsidR="009C03B5" w:rsidRPr="009C03B5">
          <w:rPr>
            <w:rStyle w:val="Lienhypertexte"/>
            <w:b w:val="0"/>
            <w:bCs w:val="0"/>
          </w:rPr>
          <w:t>III.6.1. Les maladies inflammatoires de l’intestin</w:t>
        </w:r>
        <w:r w:rsidR="009C03B5" w:rsidRPr="009C03B5">
          <w:rPr>
            <w:webHidden/>
          </w:rPr>
          <w:tab/>
        </w:r>
        <w:r w:rsidR="009C03B5" w:rsidRPr="009C03B5">
          <w:rPr>
            <w:webHidden/>
          </w:rPr>
          <w:fldChar w:fldCharType="begin"/>
        </w:r>
        <w:r w:rsidR="009C03B5" w:rsidRPr="009C03B5">
          <w:rPr>
            <w:webHidden/>
          </w:rPr>
          <w:instrText xml:space="preserve"> PAGEREF _Toc170226696 \h </w:instrText>
        </w:r>
        <w:r w:rsidR="009C03B5" w:rsidRPr="009C03B5">
          <w:rPr>
            <w:webHidden/>
          </w:rPr>
        </w:r>
        <w:r w:rsidR="009C03B5" w:rsidRPr="009C03B5">
          <w:rPr>
            <w:webHidden/>
          </w:rPr>
          <w:fldChar w:fldCharType="separate"/>
        </w:r>
        <w:r w:rsidR="009C03B5" w:rsidRPr="009C03B5">
          <w:rPr>
            <w:webHidden/>
          </w:rPr>
          <w:t>35</w:t>
        </w:r>
        <w:r w:rsidR="009C03B5" w:rsidRPr="009C03B5">
          <w:rPr>
            <w:webHidden/>
          </w:rPr>
          <w:fldChar w:fldCharType="end"/>
        </w:r>
      </w:hyperlink>
    </w:p>
    <w:p w14:paraId="35A44AFF"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697" w:history="1">
        <w:r w:rsidR="009C03B5" w:rsidRPr="009C03B5">
          <w:rPr>
            <w:rStyle w:val="Lienhypertexte"/>
            <w:b w:val="0"/>
            <w:bCs w:val="0"/>
          </w:rPr>
          <w:t>III.6.2. La polyarthrite rhumatoïde (PR)</w:t>
        </w:r>
        <w:r w:rsidR="009C03B5" w:rsidRPr="009C03B5">
          <w:rPr>
            <w:webHidden/>
          </w:rPr>
          <w:tab/>
        </w:r>
        <w:r w:rsidR="009C03B5" w:rsidRPr="009C03B5">
          <w:rPr>
            <w:webHidden/>
          </w:rPr>
          <w:fldChar w:fldCharType="begin"/>
        </w:r>
        <w:r w:rsidR="009C03B5" w:rsidRPr="009C03B5">
          <w:rPr>
            <w:webHidden/>
          </w:rPr>
          <w:instrText xml:space="preserve"> PAGEREF _Toc170226697 \h </w:instrText>
        </w:r>
        <w:r w:rsidR="009C03B5" w:rsidRPr="009C03B5">
          <w:rPr>
            <w:webHidden/>
          </w:rPr>
        </w:r>
        <w:r w:rsidR="009C03B5" w:rsidRPr="009C03B5">
          <w:rPr>
            <w:webHidden/>
          </w:rPr>
          <w:fldChar w:fldCharType="separate"/>
        </w:r>
        <w:r w:rsidR="009C03B5" w:rsidRPr="009C03B5">
          <w:rPr>
            <w:webHidden/>
          </w:rPr>
          <w:t>36</w:t>
        </w:r>
        <w:r w:rsidR="009C03B5" w:rsidRPr="009C03B5">
          <w:rPr>
            <w:webHidden/>
          </w:rPr>
          <w:fldChar w:fldCharType="end"/>
        </w:r>
      </w:hyperlink>
    </w:p>
    <w:p w14:paraId="7ADDFADD" w14:textId="77777777" w:rsidR="009C03B5" w:rsidRDefault="00D15EAC">
      <w:pPr>
        <w:pStyle w:val="TM2"/>
        <w:rPr>
          <w:rFonts w:asciiTheme="minorHAnsi" w:eastAsiaTheme="minorEastAsia" w:hAnsiTheme="minorHAnsi" w:cstheme="minorBidi"/>
          <w:b w:val="0"/>
          <w:bCs w:val="0"/>
          <w:sz w:val="22"/>
          <w:szCs w:val="22"/>
          <w:lang w:eastAsia="fr-FR" w:bidi="ar-SA"/>
        </w:rPr>
      </w:pPr>
      <w:hyperlink w:anchor="_Toc170226698" w:history="1">
        <w:r w:rsidR="009C03B5" w:rsidRPr="00E67782">
          <w:rPr>
            <w:rStyle w:val="Lienhypertexte"/>
            <w14:scene3d>
              <w14:camera w14:prst="orthographicFront"/>
              <w14:lightRig w14:rig="threePt" w14:dir="t">
                <w14:rot w14:lat="0" w14:lon="0" w14:rev="0"/>
              </w14:lightRig>
            </w14:scene3d>
          </w:rPr>
          <w:t>III.7.</w:t>
        </w:r>
        <w:r w:rsidR="009C03B5" w:rsidRPr="00E67782">
          <w:rPr>
            <w:rStyle w:val="Lienhypertexte"/>
          </w:rPr>
          <w:t xml:space="preserve"> Autres maladies</w:t>
        </w:r>
        <w:r w:rsidR="009C03B5">
          <w:rPr>
            <w:webHidden/>
          </w:rPr>
          <w:tab/>
        </w:r>
        <w:r w:rsidR="009C03B5">
          <w:rPr>
            <w:webHidden/>
          </w:rPr>
          <w:fldChar w:fldCharType="begin"/>
        </w:r>
        <w:r w:rsidR="009C03B5">
          <w:rPr>
            <w:webHidden/>
          </w:rPr>
          <w:instrText xml:space="preserve"> PAGEREF _Toc170226698 \h </w:instrText>
        </w:r>
        <w:r w:rsidR="009C03B5">
          <w:rPr>
            <w:webHidden/>
          </w:rPr>
        </w:r>
        <w:r w:rsidR="009C03B5">
          <w:rPr>
            <w:webHidden/>
          </w:rPr>
          <w:fldChar w:fldCharType="separate"/>
        </w:r>
        <w:r w:rsidR="009C03B5">
          <w:rPr>
            <w:webHidden/>
          </w:rPr>
          <w:t>37</w:t>
        </w:r>
        <w:r w:rsidR="009C03B5">
          <w:rPr>
            <w:webHidden/>
          </w:rPr>
          <w:fldChar w:fldCharType="end"/>
        </w:r>
      </w:hyperlink>
    </w:p>
    <w:p w14:paraId="30EDF582"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699" w:history="1">
        <w:r w:rsidR="009C03B5" w:rsidRPr="009C03B5">
          <w:rPr>
            <w:rStyle w:val="Lienhypertexte"/>
            <w:b w:val="0"/>
            <w:bCs w:val="0"/>
          </w:rPr>
          <w:t>III.7.1. Les adipokines et le foie</w:t>
        </w:r>
        <w:r w:rsidR="009C03B5" w:rsidRPr="009C03B5">
          <w:rPr>
            <w:webHidden/>
          </w:rPr>
          <w:tab/>
        </w:r>
        <w:r w:rsidR="009C03B5" w:rsidRPr="009C03B5">
          <w:rPr>
            <w:webHidden/>
          </w:rPr>
          <w:fldChar w:fldCharType="begin"/>
        </w:r>
        <w:r w:rsidR="009C03B5" w:rsidRPr="009C03B5">
          <w:rPr>
            <w:webHidden/>
          </w:rPr>
          <w:instrText xml:space="preserve"> PAGEREF _Toc170226699 \h </w:instrText>
        </w:r>
        <w:r w:rsidR="009C03B5" w:rsidRPr="009C03B5">
          <w:rPr>
            <w:webHidden/>
          </w:rPr>
        </w:r>
        <w:r w:rsidR="009C03B5" w:rsidRPr="009C03B5">
          <w:rPr>
            <w:webHidden/>
          </w:rPr>
          <w:fldChar w:fldCharType="separate"/>
        </w:r>
        <w:r w:rsidR="009C03B5" w:rsidRPr="009C03B5">
          <w:rPr>
            <w:webHidden/>
          </w:rPr>
          <w:t>37</w:t>
        </w:r>
        <w:r w:rsidR="009C03B5" w:rsidRPr="009C03B5">
          <w:rPr>
            <w:webHidden/>
          </w:rPr>
          <w:fldChar w:fldCharType="end"/>
        </w:r>
      </w:hyperlink>
    </w:p>
    <w:p w14:paraId="33F05491"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700" w:history="1">
        <w:r w:rsidR="009C03B5" w:rsidRPr="009C03B5">
          <w:rPr>
            <w:rStyle w:val="Lienhypertexte"/>
            <w:b w:val="0"/>
            <w:bCs w:val="0"/>
          </w:rPr>
          <w:t>III.7.2. Hépatite virale</w:t>
        </w:r>
        <w:r w:rsidR="009C03B5" w:rsidRPr="009C03B5">
          <w:rPr>
            <w:webHidden/>
          </w:rPr>
          <w:tab/>
        </w:r>
        <w:r w:rsidR="009C03B5" w:rsidRPr="009C03B5">
          <w:rPr>
            <w:webHidden/>
          </w:rPr>
          <w:fldChar w:fldCharType="begin"/>
        </w:r>
        <w:r w:rsidR="009C03B5" w:rsidRPr="009C03B5">
          <w:rPr>
            <w:webHidden/>
          </w:rPr>
          <w:instrText xml:space="preserve"> PAGEREF _Toc170226700 \h </w:instrText>
        </w:r>
        <w:r w:rsidR="009C03B5" w:rsidRPr="009C03B5">
          <w:rPr>
            <w:webHidden/>
          </w:rPr>
        </w:r>
        <w:r w:rsidR="009C03B5" w:rsidRPr="009C03B5">
          <w:rPr>
            <w:webHidden/>
          </w:rPr>
          <w:fldChar w:fldCharType="separate"/>
        </w:r>
        <w:r w:rsidR="009C03B5" w:rsidRPr="009C03B5">
          <w:rPr>
            <w:webHidden/>
          </w:rPr>
          <w:t>38</w:t>
        </w:r>
        <w:r w:rsidR="009C03B5" w:rsidRPr="009C03B5">
          <w:rPr>
            <w:webHidden/>
          </w:rPr>
          <w:fldChar w:fldCharType="end"/>
        </w:r>
      </w:hyperlink>
    </w:p>
    <w:p w14:paraId="25E91E70"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701" w:history="1">
        <w:r w:rsidR="009C03B5" w:rsidRPr="009C03B5">
          <w:rPr>
            <w:rStyle w:val="Lienhypertexte"/>
            <w:b w:val="0"/>
            <w:bCs w:val="0"/>
          </w:rPr>
          <w:t>III.7.3. Les adipokines et les maladies mentales et le syndrome métabolique</w:t>
        </w:r>
        <w:r w:rsidR="009C03B5" w:rsidRPr="009C03B5">
          <w:rPr>
            <w:webHidden/>
          </w:rPr>
          <w:tab/>
        </w:r>
        <w:r w:rsidR="009C03B5" w:rsidRPr="009C03B5">
          <w:rPr>
            <w:webHidden/>
          </w:rPr>
          <w:fldChar w:fldCharType="begin"/>
        </w:r>
        <w:r w:rsidR="009C03B5" w:rsidRPr="009C03B5">
          <w:rPr>
            <w:webHidden/>
          </w:rPr>
          <w:instrText xml:space="preserve"> PAGEREF _Toc170226701 \h </w:instrText>
        </w:r>
        <w:r w:rsidR="009C03B5" w:rsidRPr="009C03B5">
          <w:rPr>
            <w:webHidden/>
          </w:rPr>
        </w:r>
        <w:r w:rsidR="009C03B5" w:rsidRPr="009C03B5">
          <w:rPr>
            <w:webHidden/>
          </w:rPr>
          <w:fldChar w:fldCharType="separate"/>
        </w:r>
        <w:r w:rsidR="009C03B5" w:rsidRPr="009C03B5">
          <w:rPr>
            <w:webHidden/>
          </w:rPr>
          <w:t>40</w:t>
        </w:r>
        <w:r w:rsidR="009C03B5" w:rsidRPr="009C03B5">
          <w:rPr>
            <w:webHidden/>
          </w:rPr>
          <w:fldChar w:fldCharType="end"/>
        </w:r>
      </w:hyperlink>
    </w:p>
    <w:p w14:paraId="7B416768"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702" w:history="1">
        <w:r w:rsidR="009C03B5" w:rsidRPr="009C03B5">
          <w:rPr>
            <w:rStyle w:val="Lienhypertexte"/>
            <w:b w:val="0"/>
            <w:bCs w:val="0"/>
          </w:rPr>
          <w:t>III.7.4. Les adipokines favorisent l’insuffisance rénale chronique</w:t>
        </w:r>
        <w:r w:rsidR="009C03B5" w:rsidRPr="009C03B5">
          <w:rPr>
            <w:webHidden/>
          </w:rPr>
          <w:tab/>
        </w:r>
        <w:r w:rsidR="009C03B5" w:rsidRPr="009C03B5">
          <w:rPr>
            <w:webHidden/>
          </w:rPr>
          <w:fldChar w:fldCharType="begin"/>
        </w:r>
        <w:r w:rsidR="009C03B5" w:rsidRPr="009C03B5">
          <w:rPr>
            <w:webHidden/>
          </w:rPr>
          <w:instrText xml:space="preserve"> PAGEREF _Toc170226702 \h </w:instrText>
        </w:r>
        <w:r w:rsidR="009C03B5" w:rsidRPr="009C03B5">
          <w:rPr>
            <w:webHidden/>
          </w:rPr>
        </w:r>
        <w:r w:rsidR="009C03B5" w:rsidRPr="009C03B5">
          <w:rPr>
            <w:webHidden/>
          </w:rPr>
          <w:fldChar w:fldCharType="separate"/>
        </w:r>
        <w:r w:rsidR="009C03B5" w:rsidRPr="009C03B5">
          <w:rPr>
            <w:webHidden/>
          </w:rPr>
          <w:t>41</w:t>
        </w:r>
        <w:r w:rsidR="009C03B5" w:rsidRPr="009C03B5">
          <w:rPr>
            <w:webHidden/>
          </w:rPr>
          <w:fldChar w:fldCharType="end"/>
        </w:r>
      </w:hyperlink>
    </w:p>
    <w:p w14:paraId="1728EDE1"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703" w:history="1">
        <w:r w:rsidR="009C03B5" w:rsidRPr="009C03B5">
          <w:rPr>
            <w:rStyle w:val="Lienhypertexte"/>
            <w:b w:val="0"/>
            <w:bCs w:val="0"/>
          </w:rPr>
          <w:t>III.7.5. L'adiponectine dans les myopathies</w:t>
        </w:r>
        <w:r w:rsidR="009C03B5" w:rsidRPr="009C03B5">
          <w:rPr>
            <w:webHidden/>
          </w:rPr>
          <w:tab/>
        </w:r>
        <w:r w:rsidR="009C03B5" w:rsidRPr="009C03B5">
          <w:rPr>
            <w:webHidden/>
          </w:rPr>
          <w:fldChar w:fldCharType="begin"/>
        </w:r>
        <w:r w:rsidR="009C03B5" w:rsidRPr="009C03B5">
          <w:rPr>
            <w:webHidden/>
          </w:rPr>
          <w:instrText xml:space="preserve"> PAGEREF _Toc170226703 \h </w:instrText>
        </w:r>
        <w:r w:rsidR="009C03B5" w:rsidRPr="009C03B5">
          <w:rPr>
            <w:webHidden/>
          </w:rPr>
        </w:r>
        <w:r w:rsidR="009C03B5" w:rsidRPr="009C03B5">
          <w:rPr>
            <w:webHidden/>
          </w:rPr>
          <w:fldChar w:fldCharType="separate"/>
        </w:r>
        <w:r w:rsidR="009C03B5" w:rsidRPr="009C03B5">
          <w:rPr>
            <w:webHidden/>
          </w:rPr>
          <w:t>42</w:t>
        </w:r>
        <w:r w:rsidR="009C03B5" w:rsidRPr="009C03B5">
          <w:rPr>
            <w:webHidden/>
          </w:rPr>
          <w:fldChar w:fldCharType="end"/>
        </w:r>
      </w:hyperlink>
    </w:p>
    <w:p w14:paraId="183A9633"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704" w:history="1">
        <w:r w:rsidR="009C03B5" w:rsidRPr="009C03B5">
          <w:rPr>
            <w:rStyle w:val="Lienhypertexte"/>
            <w:b w:val="0"/>
            <w:bCs w:val="0"/>
          </w:rPr>
          <w:t>III.7.6. Les adipokines dans le système nerveux central</w:t>
        </w:r>
        <w:r w:rsidR="009C03B5" w:rsidRPr="009C03B5">
          <w:rPr>
            <w:webHidden/>
          </w:rPr>
          <w:tab/>
        </w:r>
        <w:r w:rsidR="009C03B5" w:rsidRPr="009C03B5">
          <w:rPr>
            <w:webHidden/>
          </w:rPr>
          <w:fldChar w:fldCharType="begin"/>
        </w:r>
        <w:r w:rsidR="009C03B5" w:rsidRPr="009C03B5">
          <w:rPr>
            <w:webHidden/>
          </w:rPr>
          <w:instrText xml:space="preserve"> PAGEREF _Toc170226704 \h </w:instrText>
        </w:r>
        <w:r w:rsidR="009C03B5" w:rsidRPr="009C03B5">
          <w:rPr>
            <w:webHidden/>
          </w:rPr>
        </w:r>
        <w:r w:rsidR="009C03B5" w:rsidRPr="009C03B5">
          <w:rPr>
            <w:webHidden/>
          </w:rPr>
          <w:fldChar w:fldCharType="separate"/>
        </w:r>
        <w:r w:rsidR="009C03B5" w:rsidRPr="009C03B5">
          <w:rPr>
            <w:webHidden/>
          </w:rPr>
          <w:t>43</w:t>
        </w:r>
        <w:r w:rsidR="009C03B5" w:rsidRPr="009C03B5">
          <w:rPr>
            <w:webHidden/>
          </w:rPr>
          <w:fldChar w:fldCharType="end"/>
        </w:r>
      </w:hyperlink>
    </w:p>
    <w:p w14:paraId="1AA0E49E" w14:textId="77777777" w:rsidR="009C03B5" w:rsidRPr="009C03B5" w:rsidRDefault="00D15EAC" w:rsidP="009C03B5">
      <w:pPr>
        <w:pStyle w:val="TM3"/>
        <w:rPr>
          <w:rFonts w:asciiTheme="minorHAnsi" w:eastAsiaTheme="minorEastAsia" w:hAnsiTheme="minorHAnsi" w:cstheme="minorBidi"/>
          <w:sz w:val="22"/>
          <w:szCs w:val="22"/>
          <w:lang w:eastAsia="fr-FR" w:bidi="ar-SA"/>
        </w:rPr>
      </w:pPr>
      <w:hyperlink w:anchor="_Toc170226705" w:history="1">
        <w:r w:rsidR="009C03B5" w:rsidRPr="009C03B5">
          <w:rPr>
            <w:rStyle w:val="Lienhypertexte"/>
            <w:b w:val="0"/>
            <w:bCs w:val="0"/>
          </w:rPr>
          <w:t>III.7.7. Troubles psychiatriques</w:t>
        </w:r>
        <w:r w:rsidR="009C03B5" w:rsidRPr="009C03B5">
          <w:rPr>
            <w:webHidden/>
          </w:rPr>
          <w:tab/>
        </w:r>
        <w:r w:rsidR="009C03B5" w:rsidRPr="009C03B5">
          <w:rPr>
            <w:webHidden/>
          </w:rPr>
          <w:fldChar w:fldCharType="begin"/>
        </w:r>
        <w:r w:rsidR="009C03B5" w:rsidRPr="009C03B5">
          <w:rPr>
            <w:webHidden/>
          </w:rPr>
          <w:instrText xml:space="preserve"> PAGEREF _Toc170226705 \h </w:instrText>
        </w:r>
        <w:r w:rsidR="009C03B5" w:rsidRPr="009C03B5">
          <w:rPr>
            <w:webHidden/>
          </w:rPr>
        </w:r>
        <w:r w:rsidR="009C03B5" w:rsidRPr="009C03B5">
          <w:rPr>
            <w:webHidden/>
          </w:rPr>
          <w:fldChar w:fldCharType="separate"/>
        </w:r>
        <w:r w:rsidR="009C03B5" w:rsidRPr="009C03B5">
          <w:rPr>
            <w:webHidden/>
          </w:rPr>
          <w:t>43</w:t>
        </w:r>
        <w:r w:rsidR="009C03B5" w:rsidRPr="009C03B5">
          <w:rPr>
            <w:webHidden/>
          </w:rPr>
          <w:fldChar w:fldCharType="end"/>
        </w:r>
      </w:hyperlink>
    </w:p>
    <w:p w14:paraId="296F3CD1" w14:textId="77777777" w:rsidR="009C03B5" w:rsidRDefault="00D15EAC">
      <w:pPr>
        <w:pStyle w:val="TM1"/>
        <w:rPr>
          <w:rFonts w:asciiTheme="minorHAnsi" w:eastAsiaTheme="minorEastAsia" w:hAnsiTheme="minorHAnsi" w:cstheme="minorBidi"/>
          <w:b w:val="0"/>
          <w:bCs w:val="0"/>
          <w:sz w:val="22"/>
          <w:szCs w:val="22"/>
          <w:lang w:eastAsia="fr-FR"/>
        </w:rPr>
      </w:pPr>
      <w:hyperlink w:anchor="_Toc170226706" w:history="1">
        <w:r w:rsidR="009C03B5" w:rsidRPr="00E67782">
          <w:rPr>
            <w:rStyle w:val="Lienhypertexte"/>
          </w:rPr>
          <w:t>Conclusion</w:t>
        </w:r>
        <w:r w:rsidR="009C03B5">
          <w:rPr>
            <w:webHidden/>
          </w:rPr>
          <w:tab/>
        </w:r>
        <w:r w:rsidR="009C03B5">
          <w:rPr>
            <w:webHidden/>
          </w:rPr>
          <w:fldChar w:fldCharType="begin"/>
        </w:r>
        <w:r w:rsidR="009C03B5">
          <w:rPr>
            <w:webHidden/>
          </w:rPr>
          <w:instrText xml:space="preserve"> PAGEREF _Toc170226706 \h </w:instrText>
        </w:r>
        <w:r w:rsidR="009C03B5">
          <w:rPr>
            <w:webHidden/>
          </w:rPr>
        </w:r>
        <w:r w:rsidR="009C03B5">
          <w:rPr>
            <w:webHidden/>
          </w:rPr>
          <w:fldChar w:fldCharType="separate"/>
        </w:r>
        <w:r w:rsidR="009C03B5">
          <w:rPr>
            <w:webHidden/>
          </w:rPr>
          <w:t>44</w:t>
        </w:r>
        <w:r w:rsidR="009C03B5">
          <w:rPr>
            <w:webHidden/>
          </w:rPr>
          <w:fldChar w:fldCharType="end"/>
        </w:r>
      </w:hyperlink>
    </w:p>
    <w:p w14:paraId="2B7CF957" w14:textId="77777777" w:rsidR="009C03B5" w:rsidRDefault="00D15EAC">
      <w:pPr>
        <w:pStyle w:val="TM1"/>
        <w:rPr>
          <w:rFonts w:asciiTheme="minorHAnsi" w:eastAsiaTheme="minorEastAsia" w:hAnsiTheme="minorHAnsi" w:cstheme="minorBidi"/>
          <w:b w:val="0"/>
          <w:bCs w:val="0"/>
          <w:sz w:val="22"/>
          <w:szCs w:val="22"/>
          <w:lang w:eastAsia="fr-FR"/>
        </w:rPr>
      </w:pPr>
      <w:hyperlink w:anchor="_Toc170226707" w:history="1">
        <w:r w:rsidR="009C03B5" w:rsidRPr="00E67782">
          <w:rPr>
            <w:rStyle w:val="Lienhypertexte"/>
          </w:rPr>
          <w:t>Références bibliographiques</w:t>
        </w:r>
        <w:r w:rsidR="009C03B5">
          <w:rPr>
            <w:webHidden/>
          </w:rPr>
          <w:tab/>
        </w:r>
        <w:r w:rsidR="009C03B5">
          <w:rPr>
            <w:webHidden/>
          </w:rPr>
          <w:fldChar w:fldCharType="begin"/>
        </w:r>
        <w:r w:rsidR="009C03B5">
          <w:rPr>
            <w:webHidden/>
          </w:rPr>
          <w:instrText xml:space="preserve"> PAGEREF _Toc170226707 \h </w:instrText>
        </w:r>
        <w:r w:rsidR="009C03B5">
          <w:rPr>
            <w:webHidden/>
          </w:rPr>
        </w:r>
        <w:r w:rsidR="009C03B5">
          <w:rPr>
            <w:webHidden/>
          </w:rPr>
          <w:fldChar w:fldCharType="separate"/>
        </w:r>
        <w:r w:rsidR="009C03B5">
          <w:rPr>
            <w:webHidden/>
          </w:rPr>
          <w:t>45</w:t>
        </w:r>
        <w:r w:rsidR="009C03B5">
          <w:rPr>
            <w:webHidden/>
          </w:rPr>
          <w:fldChar w:fldCharType="end"/>
        </w:r>
      </w:hyperlink>
    </w:p>
    <w:p w14:paraId="5F19A3FE" w14:textId="0D5FB2F5" w:rsidR="005D31BA" w:rsidRDefault="009C03B5" w:rsidP="00CF0688">
      <w:pPr>
        <w:spacing w:line="276" w:lineRule="auto"/>
        <w:rPr>
          <w:rFonts w:asciiTheme="majorBidi" w:eastAsiaTheme="majorEastAsia" w:hAnsiTheme="majorBidi" w:cstheme="majorBidi"/>
          <w:b/>
          <w:bCs/>
          <w:sz w:val="28"/>
          <w:szCs w:val="28"/>
          <w:rtl/>
        </w:rPr>
      </w:pPr>
      <w:r>
        <w:rPr>
          <w:rFonts w:asciiTheme="majorBidi" w:eastAsiaTheme="majorEastAsia" w:hAnsiTheme="majorBidi" w:cstheme="majorBidi"/>
          <w:noProof/>
          <w:sz w:val="28"/>
          <w:szCs w:val="28"/>
          <w:lang w:bidi="ar-DZ"/>
        </w:rPr>
        <w:fldChar w:fldCharType="end"/>
      </w:r>
    </w:p>
    <w:p w14:paraId="6771B776" w14:textId="77777777" w:rsidR="00DB21B1" w:rsidRDefault="00DB21B1" w:rsidP="00CF0688">
      <w:pPr>
        <w:spacing w:line="276" w:lineRule="auto"/>
        <w:rPr>
          <w:rFonts w:asciiTheme="majorBidi" w:eastAsiaTheme="majorEastAsia" w:hAnsiTheme="majorBidi" w:cstheme="majorBidi"/>
          <w:b/>
          <w:bCs/>
          <w:sz w:val="28"/>
          <w:szCs w:val="28"/>
          <w:rtl/>
        </w:rPr>
      </w:pPr>
    </w:p>
    <w:p w14:paraId="10981132" w14:textId="77777777" w:rsidR="00DB21B1" w:rsidRDefault="00DB21B1" w:rsidP="00CF0688">
      <w:pPr>
        <w:spacing w:line="276" w:lineRule="auto"/>
        <w:rPr>
          <w:rFonts w:asciiTheme="majorBidi" w:eastAsiaTheme="majorEastAsia" w:hAnsiTheme="majorBidi" w:cstheme="majorBidi"/>
          <w:b/>
          <w:bCs/>
          <w:sz w:val="28"/>
          <w:szCs w:val="28"/>
          <w:rtl/>
        </w:rPr>
      </w:pPr>
    </w:p>
    <w:p w14:paraId="34D87126" w14:textId="77777777" w:rsidR="00DB21B1" w:rsidRDefault="00DB21B1" w:rsidP="00CF0688">
      <w:pPr>
        <w:spacing w:line="276" w:lineRule="auto"/>
        <w:rPr>
          <w:rFonts w:asciiTheme="majorBidi" w:eastAsiaTheme="majorEastAsia" w:hAnsiTheme="majorBidi" w:cstheme="majorBidi"/>
          <w:b/>
          <w:bCs/>
          <w:sz w:val="28"/>
          <w:szCs w:val="28"/>
          <w:rtl/>
        </w:rPr>
      </w:pPr>
    </w:p>
    <w:p w14:paraId="6E798B4E" w14:textId="77777777" w:rsidR="00DB21B1" w:rsidRDefault="00DB21B1" w:rsidP="00CF0688">
      <w:pPr>
        <w:spacing w:line="276" w:lineRule="auto"/>
        <w:rPr>
          <w:rFonts w:asciiTheme="majorBidi" w:eastAsiaTheme="majorEastAsia" w:hAnsiTheme="majorBidi" w:cstheme="majorBidi"/>
          <w:b/>
          <w:bCs/>
          <w:sz w:val="28"/>
          <w:szCs w:val="28"/>
          <w:rtl/>
        </w:rPr>
      </w:pPr>
    </w:p>
    <w:p w14:paraId="47E21AA2" w14:textId="77777777" w:rsidR="00DB21B1" w:rsidRDefault="00DB21B1" w:rsidP="00CF0688">
      <w:pPr>
        <w:spacing w:line="276" w:lineRule="auto"/>
        <w:rPr>
          <w:rFonts w:asciiTheme="majorBidi" w:eastAsiaTheme="majorEastAsia" w:hAnsiTheme="majorBidi" w:cstheme="majorBidi"/>
          <w:b/>
          <w:bCs/>
          <w:sz w:val="28"/>
          <w:szCs w:val="28"/>
          <w:rtl/>
        </w:rPr>
      </w:pPr>
    </w:p>
    <w:p w14:paraId="482496E3" w14:textId="77777777" w:rsidR="00DB21B1" w:rsidRDefault="00DB21B1" w:rsidP="00CF0688">
      <w:pPr>
        <w:spacing w:line="276" w:lineRule="auto"/>
        <w:rPr>
          <w:rFonts w:asciiTheme="majorBidi" w:eastAsiaTheme="majorEastAsia" w:hAnsiTheme="majorBidi" w:cstheme="majorBidi"/>
          <w:b/>
          <w:bCs/>
          <w:sz w:val="28"/>
          <w:szCs w:val="28"/>
          <w:rtl/>
        </w:rPr>
      </w:pPr>
    </w:p>
    <w:p w14:paraId="3EBD5ABB" w14:textId="77777777" w:rsidR="00DB21B1" w:rsidRDefault="00DB21B1" w:rsidP="00CF0688">
      <w:pPr>
        <w:spacing w:line="276" w:lineRule="auto"/>
        <w:rPr>
          <w:rFonts w:asciiTheme="majorBidi" w:eastAsiaTheme="majorEastAsia" w:hAnsiTheme="majorBidi" w:cstheme="majorBidi"/>
          <w:b/>
          <w:bCs/>
          <w:sz w:val="28"/>
          <w:szCs w:val="28"/>
          <w:rtl/>
        </w:rPr>
      </w:pPr>
    </w:p>
    <w:p w14:paraId="014E90BA" w14:textId="77777777" w:rsidR="00DB21B1" w:rsidRDefault="00DB21B1" w:rsidP="00CF0688">
      <w:pPr>
        <w:spacing w:line="276" w:lineRule="auto"/>
        <w:rPr>
          <w:rFonts w:asciiTheme="majorBidi" w:eastAsiaTheme="majorEastAsia" w:hAnsiTheme="majorBidi" w:cstheme="majorBidi"/>
          <w:b/>
          <w:bCs/>
          <w:sz w:val="28"/>
          <w:szCs w:val="28"/>
          <w:rtl/>
        </w:rPr>
      </w:pPr>
    </w:p>
    <w:p w14:paraId="3E12EC6A" w14:textId="77777777" w:rsidR="00DB21B1" w:rsidRDefault="00DB21B1" w:rsidP="00CF0688">
      <w:pPr>
        <w:spacing w:line="276" w:lineRule="auto"/>
        <w:rPr>
          <w:rFonts w:asciiTheme="majorBidi" w:eastAsiaTheme="majorEastAsia" w:hAnsiTheme="majorBidi" w:cstheme="majorBidi"/>
          <w:b/>
          <w:bCs/>
          <w:sz w:val="28"/>
          <w:szCs w:val="28"/>
          <w:rtl/>
        </w:rPr>
      </w:pPr>
    </w:p>
    <w:p w14:paraId="770464DD" w14:textId="77777777" w:rsidR="00DB21B1" w:rsidRDefault="00DB21B1" w:rsidP="00CF0688">
      <w:pPr>
        <w:spacing w:line="276" w:lineRule="auto"/>
        <w:rPr>
          <w:rFonts w:asciiTheme="majorBidi" w:eastAsiaTheme="majorEastAsia" w:hAnsiTheme="majorBidi" w:cstheme="majorBidi"/>
          <w:b/>
          <w:bCs/>
          <w:sz w:val="28"/>
          <w:szCs w:val="28"/>
          <w:rtl/>
        </w:rPr>
      </w:pPr>
    </w:p>
    <w:p w14:paraId="5290DB34" w14:textId="77777777" w:rsidR="00DB21B1" w:rsidRDefault="00DB21B1" w:rsidP="00CF0688">
      <w:pPr>
        <w:spacing w:line="276" w:lineRule="auto"/>
        <w:rPr>
          <w:rFonts w:asciiTheme="majorBidi" w:eastAsiaTheme="majorEastAsia" w:hAnsiTheme="majorBidi" w:cstheme="majorBidi"/>
          <w:b/>
          <w:bCs/>
          <w:sz w:val="28"/>
          <w:szCs w:val="28"/>
        </w:rPr>
      </w:pPr>
    </w:p>
    <w:p w14:paraId="7CFDC6D5" w14:textId="77777777" w:rsidR="007578E0" w:rsidRDefault="007578E0" w:rsidP="00CF0688">
      <w:pPr>
        <w:spacing w:line="276" w:lineRule="auto"/>
      </w:pPr>
    </w:p>
    <w:p w14:paraId="0E0D86A0" w14:textId="37F259F4" w:rsidR="00DB21B1" w:rsidRDefault="005D31BA" w:rsidP="00DB21B1">
      <w:pPr>
        <w:bidi/>
        <w:jc w:val="left"/>
        <w:rPr>
          <w:b/>
          <w:bCs/>
          <w:sz w:val="40"/>
          <w:szCs w:val="40"/>
        </w:rPr>
      </w:pPr>
      <w:r w:rsidRPr="005D31BA">
        <w:rPr>
          <w:b/>
          <w:bCs/>
          <w:sz w:val="40"/>
          <w:szCs w:val="40"/>
          <w:rtl/>
        </w:rPr>
        <w:t>ملخص</w:t>
      </w:r>
    </w:p>
    <w:p w14:paraId="4C20A593" w14:textId="77777777" w:rsidR="00275CEE" w:rsidRDefault="00266406" w:rsidP="00275CEE">
      <w:pPr>
        <w:bidi/>
        <w:spacing w:before="0" w:after="0" w:line="240" w:lineRule="auto"/>
        <w:rPr>
          <w:rtl/>
          <w:lang w:eastAsia="fr-FR" w:bidi="ar-DZ"/>
        </w:rPr>
      </w:pPr>
      <w:r>
        <w:rPr>
          <w:rFonts w:hint="cs"/>
          <w:rtl/>
          <w:lang w:eastAsia="fr-FR"/>
        </w:rPr>
        <w:t xml:space="preserve">ان </w:t>
      </w:r>
      <w:r w:rsidR="00F302BB" w:rsidRPr="00F302BB">
        <w:rPr>
          <w:rtl/>
          <w:lang w:eastAsia="fr-FR"/>
        </w:rPr>
        <w:t>الخلايا الشحمية البشرية</w:t>
      </w:r>
      <w:r>
        <w:t xml:space="preserve"> </w:t>
      </w:r>
      <w:r>
        <w:rPr>
          <w:rFonts w:hint="cs"/>
          <w:rtl/>
          <w:lang w:eastAsia="fr-FR" w:bidi="ar-DZ"/>
        </w:rPr>
        <w:t>تعتبر</w:t>
      </w:r>
      <w:r w:rsidR="00F302BB" w:rsidRPr="00F302BB">
        <w:rPr>
          <w:rtl/>
          <w:lang w:eastAsia="fr-FR"/>
        </w:rPr>
        <w:t xml:space="preserve"> جزءاً من النسيج الدهني الذي يُعدّ عضوًا صمّاءً مهمًا. هذا النسيج الضام كان يُعتبر في البداية مخزنًا خاملاً للدهون، لكن الأبحاث الحديثة أظهرت أنه يؤدي وظائف معقدة تشمل النشاطات الصمّاء، الأوتوكرينية، والباراكرينية، من خلال إفراز جزيئات تُسمى الأدبوسايتوكينات. هذه الأدبوسايتوكينات، مثل اللبتين و</w:t>
      </w:r>
      <w:r w:rsidR="00F302BB" w:rsidRPr="00F302BB">
        <w:rPr>
          <w:lang w:eastAsia="fr-FR"/>
        </w:rPr>
        <w:t>TNF-α</w:t>
      </w:r>
      <w:r w:rsidR="00F302BB" w:rsidRPr="00F302BB">
        <w:rPr>
          <w:rtl/>
          <w:lang w:eastAsia="fr-FR"/>
        </w:rPr>
        <w:t>، تلعب دورًا حيويًا في تنظيم التمثيل الغذائي والاستجابة المناعية والالتهابية في الجسم. التغيرات في كمية النسيج الدهني والأدبوسايتوكينات ترتبط ارتباطًا وثيقًا بالاستجابات المناعية والالتهابية، خاصةً في الحالات المرضية. تركز هذه المراجعة على دور الأدبوسايتوكينات في تطور مرض الشريان التاجي، الذي يختلف في أسبابه وآلياته عن السمنة والسكري من النوع الثاني والسرطان، ولكنه يشترك في آليات التهابية مشابهة لتلك الموجودة في أمراض مثل التهاب المفاصل الروماتويدي وتصلب الشرايين</w:t>
      </w:r>
      <w:r w:rsidR="00275CEE">
        <w:rPr>
          <w:lang w:eastAsia="fr-FR"/>
        </w:rPr>
        <w:t>.</w:t>
      </w:r>
    </w:p>
    <w:p w14:paraId="2018B4FF" w14:textId="77777777" w:rsidR="00275CEE" w:rsidRDefault="00275CEE" w:rsidP="00275CEE">
      <w:pPr>
        <w:bidi/>
        <w:spacing w:before="0" w:after="0" w:line="240" w:lineRule="auto"/>
        <w:rPr>
          <w:rtl/>
          <w:lang w:eastAsia="fr-FR" w:bidi="ar-DZ"/>
        </w:rPr>
      </w:pPr>
    </w:p>
    <w:p w14:paraId="0591A6BF" w14:textId="481A2EBC" w:rsidR="00275CEE" w:rsidRPr="00275CEE" w:rsidRDefault="001539BA" w:rsidP="00275CEE">
      <w:pPr>
        <w:bidi/>
        <w:spacing w:before="0" w:after="0" w:line="240" w:lineRule="auto"/>
        <w:rPr>
          <w:lang w:eastAsia="fr-FR"/>
        </w:rPr>
      </w:pPr>
      <w:r w:rsidRPr="00275CEE">
        <w:rPr>
          <w:rFonts w:hint="cs"/>
          <w:rtl/>
        </w:rPr>
        <w:t>الكلمات المفتاحية :</w:t>
      </w:r>
      <w:r w:rsidR="00275CEE" w:rsidRPr="00275CEE">
        <w:rPr>
          <w:rtl/>
        </w:rPr>
        <w:t xml:space="preserve"> الخلايا</w:t>
      </w:r>
      <w:r w:rsidR="00275CEE">
        <w:rPr>
          <w:rtl/>
        </w:rPr>
        <w:t xml:space="preserve"> الدهنية, الأنسجة الدهنية, الأد</w:t>
      </w:r>
      <w:r w:rsidR="00275CEE" w:rsidRPr="00275CEE">
        <w:rPr>
          <w:rtl/>
        </w:rPr>
        <w:t>يبوكينا</w:t>
      </w:r>
      <w:r w:rsidR="00275CEE">
        <w:rPr>
          <w:rtl/>
        </w:rPr>
        <w:t>ت,  الأمر</w:t>
      </w:r>
      <w:r w:rsidR="00275CEE">
        <w:rPr>
          <w:rFonts w:hint="cs"/>
          <w:rtl/>
        </w:rPr>
        <w:t>اض</w:t>
      </w:r>
      <w:r w:rsidR="00275CEE">
        <w:t>.</w:t>
      </w:r>
      <w:r w:rsidR="00275CEE">
        <w:rPr>
          <w:rFonts w:hint="cs"/>
          <w:rtl/>
        </w:rPr>
        <w:t xml:space="preserve">                                                       </w:t>
      </w:r>
    </w:p>
    <w:p w14:paraId="3FB6A1FD" w14:textId="77777777" w:rsidR="00275CEE" w:rsidRPr="00275CEE" w:rsidRDefault="00275CEE" w:rsidP="00275CEE">
      <w:pPr>
        <w:pBdr>
          <w:bottom w:val="single" w:sz="6" w:space="1" w:color="auto"/>
        </w:pBdr>
        <w:spacing w:before="0" w:after="0" w:line="240" w:lineRule="auto"/>
        <w:jc w:val="center"/>
        <w:rPr>
          <w:rFonts w:ascii="Arial" w:hAnsi="Arial" w:cs="Arial"/>
          <w:vanish/>
          <w:sz w:val="16"/>
          <w:szCs w:val="16"/>
          <w:lang w:eastAsia="fr-FR"/>
        </w:rPr>
      </w:pPr>
      <w:r w:rsidRPr="00275CEE">
        <w:rPr>
          <w:rFonts w:ascii="Arial" w:hAnsi="Arial" w:cs="Arial"/>
          <w:vanish/>
          <w:sz w:val="16"/>
          <w:szCs w:val="16"/>
          <w:lang w:eastAsia="fr-FR"/>
        </w:rPr>
        <w:t>Haut du formulaire</w:t>
      </w:r>
    </w:p>
    <w:p w14:paraId="5C712E04" w14:textId="77777777" w:rsidR="00275CEE" w:rsidRPr="00275CEE" w:rsidRDefault="00275CEE" w:rsidP="00275CEE">
      <w:pPr>
        <w:pBdr>
          <w:top w:val="single" w:sz="6" w:space="1" w:color="auto"/>
        </w:pBdr>
        <w:spacing w:before="0" w:after="0" w:line="240" w:lineRule="auto"/>
        <w:jc w:val="center"/>
        <w:rPr>
          <w:rFonts w:ascii="Arial" w:hAnsi="Arial" w:cs="Arial"/>
          <w:vanish/>
          <w:sz w:val="16"/>
          <w:szCs w:val="16"/>
          <w:lang w:eastAsia="fr-FR"/>
        </w:rPr>
      </w:pPr>
      <w:r w:rsidRPr="00275CEE">
        <w:rPr>
          <w:rFonts w:ascii="Arial" w:hAnsi="Arial" w:cs="Arial"/>
          <w:vanish/>
          <w:sz w:val="16"/>
          <w:szCs w:val="16"/>
          <w:lang w:eastAsia="fr-FR"/>
        </w:rPr>
        <w:t>Bas du formulaire</w:t>
      </w:r>
    </w:p>
    <w:p w14:paraId="38297C53" w14:textId="517B02D3" w:rsidR="00785C11" w:rsidRPr="00275CEE" w:rsidRDefault="00785C11" w:rsidP="00785C11">
      <w:pPr>
        <w:bidi/>
        <w:jc w:val="left"/>
        <w:rPr>
          <w:sz w:val="40"/>
          <w:szCs w:val="40"/>
          <w:rtl/>
          <w:lang w:bidi="ar-DZ"/>
        </w:rPr>
      </w:pPr>
    </w:p>
    <w:p w14:paraId="6D9CCEB5" w14:textId="77777777" w:rsidR="005D31BA" w:rsidRPr="00785C11" w:rsidRDefault="005D31BA">
      <w:pPr>
        <w:spacing w:before="0" w:after="160" w:line="259" w:lineRule="auto"/>
        <w:jc w:val="left"/>
        <w:rPr>
          <w:sz w:val="40"/>
          <w:szCs w:val="40"/>
          <w:rtl/>
        </w:rPr>
      </w:pPr>
      <w:r>
        <w:rPr>
          <w:b/>
          <w:bCs/>
          <w:sz w:val="40"/>
          <w:szCs w:val="40"/>
          <w:rtl/>
        </w:rPr>
        <w:br w:type="page"/>
      </w:r>
    </w:p>
    <w:p w14:paraId="61657B3A" w14:textId="47E6D756" w:rsidR="00266406" w:rsidRPr="00266406" w:rsidRDefault="005D31BA" w:rsidP="00266406">
      <w:pPr>
        <w:jc w:val="left"/>
        <w:rPr>
          <w:b/>
          <w:bCs/>
          <w:sz w:val="28"/>
          <w:szCs w:val="28"/>
          <w:rtl/>
          <w:lang w:val="en-US"/>
        </w:rPr>
      </w:pPr>
      <w:r w:rsidRPr="005D4197">
        <w:rPr>
          <w:b/>
          <w:bCs/>
          <w:sz w:val="28"/>
          <w:szCs w:val="28"/>
          <w:lang w:val="en-US"/>
        </w:rPr>
        <w:lastRenderedPageBreak/>
        <w:t>Abstract</w:t>
      </w:r>
    </w:p>
    <w:p w14:paraId="0D35521D" w14:textId="5670FEAB" w:rsidR="00266406" w:rsidRDefault="00266406" w:rsidP="00266406">
      <w:pPr>
        <w:jc w:val="left"/>
        <w:rPr>
          <w:lang w:val="en-US"/>
        </w:rPr>
      </w:pPr>
      <w:r w:rsidRPr="001539BA">
        <w:rPr>
          <w:lang w:val="en-US"/>
        </w:rPr>
        <w:t>Human adipocytes, part of adipose tissue, are recognized as an important endocrine organ. This connective tissue, initially thought to be a passive fat reservoir, has been revealed through recent research to perform complex functions, including endocrine, autocrine, and paracrine activities via the secretion of molecules known as adipocytokines. These adipocytokines, such as leptin and TNF-</w:t>
      </w:r>
      <w:r w:rsidRPr="00266406">
        <w:t>α</w:t>
      </w:r>
      <w:r w:rsidRPr="001539BA">
        <w:rPr>
          <w:lang w:val="en-US"/>
        </w:rPr>
        <w:t>, play crucial roles in regulating metabolism and immune responses. Changes in the amount of adipose tissue and adipocytokines are closely linked to immune and inflammatory responses, particularly under pathological conditions. This review specifically examines the role of adipokines in the development of coronary artery disease, which has different etiology and pathology from obesity, type 2 diabetes, and cancer but shares similar inflammatory mechanisms with diseases like rheumatoid arthritis and chronic atherosclerosis.</w:t>
      </w:r>
    </w:p>
    <w:p w14:paraId="25A74B16" w14:textId="77777777" w:rsidR="00275CEE" w:rsidRDefault="00275CEE" w:rsidP="00266406">
      <w:pPr>
        <w:jc w:val="left"/>
        <w:rPr>
          <w:lang w:val="en-US"/>
        </w:rPr>
      </w:pPr>
    </w:p>
    <w:p w14:paraId="5C441C6E" w14:textId="702109EA" w:rsidR="00275CEE" w:rsidRPr="001539BA" w:rsidRDefault="00275CEE" w:rsidP="00266406">
      <w:pPr>
        <w:jc w:val="left"/>
        <w:rPr>
          <w:lang w:val="en-US"/>
        </w:rPr>
        <w:sectPr w:rsidR="00275CEE" w:rsidRPr="001539BA" w:rsidSect="00A829A7">
          <w:headerReference w:type="default" r:id="rId10"/>
          <w:footerReference w:type="default" r:id="rId11"/>
          <w:pgSz w:w="11906" w:h="16838" w:code="9"/>
          <w:pgMar w:top="1134" w:right="1134" w:bottom="1134" w:left="1418" w:header="567" w:footer="567" w:gutter="0"/>
          <w:cols w:space="720"/>
          <w:docGrid w:linePitch="360"/>
        </w:sectPr>
      </w:pPr>
      <w:r w:rsidRPr="00275CEE">
        <w:rPr>
          <w:lang w:val="en-US"/>
        </w:rPr>
        <w:t>Keywords: Adipocytes, Adipose Tissue, Adipokines, Diseases</w:t>
      </w:r>
    </w:p>
    <w:p w14:paraId="1698FED3" w14:textId="77777777" w:rsidR="005D31BA" w:rsidRPr="00D509CA" w:rsidRDefault="005D31BA" w:rsidP="00D509CA">
      <w:pPr>
        <w:pStyle w:val="Titre2"/>
        <w:numPr>
          <w:ilvl w:val="0"/>
          <w:numId w:val="0"/>
        </w:numPr>
        <w:rPr>
          <w:sz w:val="28"/>
          <w:szCs w:val="28"/>
        </w:rPr>
      </w:pPr>
      <w:bookmarkStart w:id="1" w:name="_Toc157139404"/>
      <w:bookmarkStart w:id="2" w:name="_Toc157377854"/>
      <w:bookmarkStart w:id="3" w:name="_Toc167472730"/>
      <w:bookmarkStart w:id="4" w:name="_Toc168302208"/>
      <w:bookmarkStart w:id="5" w:name="_Toc170226650"/>
      <w:r w:rsidRPr="00D509CA">
        <w:rPr>
          <w:sz w:val="28"/>
          <w:szCs w:val="28"/>
        </w:rPr>
        <w:lastRenderedPageBreak/>
        <w:t>Résumé</w:t>
      </w:r>
      <w:bookmarkEnd w:id="1"/>
      <w:bookmarkEnd w:id="2"/>
      <w:bookmarkEnd w:id="3"/>
      <w:bookmarkEnd w:id="4"/>
      <w:bookmarkEnd w:id="5"/>
    </w:p>
    <w:p w14:paraId="3AAFD630" w14:textId="56A766E3" w:rsidR="00266406" w:rsidRPr="00785C11" w:rsidRDefault="00266406" w:rsidP="00266406">
      <w:pPr>
        <w:spacing w:before="0" w:after="160"/>
      </w:pPr>
      <w:r w:rsidRPr="00266406">
        <w:t>Les adipocytes humains, constituant le tissu adipeux, sont reconnus comme des organes endocriniens jouant un rôle crucial dans le stockage des graisses et le métabolisme énergétique. Autrefois perçu comme un réservoir passif, le tissu adipeux se révèle être un site actif de sécrétion de diverses adipocytokines (comme la leptine et le TNF-α) qui régulent les fonctions endocrines, autocrines et paracrines. Ces molécules influencent significativement les réponses immunitaires et inflammatoires, particulièrement dans des conditions pathologiques. Cette revue explore spécifiquement le rôle des adipokines dans la maladie coronarienne, distincte de l'obésité, du diabète de type 2, et du cancer, mais partageant des mécanismes inflammatoires similaires à ceux observés dans des maladies comme la polyarthrite rhumatoïde et l'athérosclérose.</w:t>
      </w:r>
    </w:p>
    <w:p w14:paraId="37484EB0" w14:textId="77777777" w:rsidR="001539BA" w:rsidRDefault="001539BA">
      <w:pPr>
        <w:spacing w:before="0" w:after="160" w:line="259" w:lineRule="auto"/>
        <w:jc w:val="left"/>
      </w:pPr>
    </w:p>
    <w:p w14:paraId="414AC3AE" w14:textId="1A1336C1" w:rsidR="005D31BA" w:rsidRDefault="001539BA">
      <w:pPr>
        <w:spacing w:before="0" w:after="160" w:line="259" w:lineRule="auto"/>
        <w:jc w:val="left"/>
        <w:rPr>
          <w:rFonts w:asciiTheme="majorBidi" w:eastAsiaTheme="majorEastAsia" w:hAnsiTheme="majorBidi" w:cstheme="majorBidi"/>
          <w:b/>
          <w:sz w:val="28"/>
          <w:szCs w:val="32"/>
        </w:rPr>
      </w:pPr>
      <w:r w:rsidRPr="001539BA">
        <w:t>Mots clés : adip</w:t>
      </w:r>
      <w:r>
        <w:t xml:space="preserve">ocytes, tissu adipeux, </w:t>
      </w:r>
      <w:r w:rsidR="00645DA6">
        <w:t>adipo</w:t>
      </w:r>
      <w:r w:rsidR="00645DA6" w:rsidRPr="001539BA">
        <w:t>kines</w:t>
      </w:r>
      <w:r w:rsidR="00645DA6">
        <w:t>,</w:t>
      </w:r>
      <w:r>
        <w:t xml:space="preserve"> maladies </w:t>
      </w:r>
      <w:r w:rsidR="005D31BA">
        <w:br w:type="page"/>
      </w:r>
    </w:p>
    <w:p w14:paraId="7A46863B" w14:textId="29B7431F" w:rsidR="005D31BA" w:rsidRPr="0014467F" w:rsidRDefault="005D31BA" w:rsidP="00D509CA">
      <w:pPr>
        <w:pStyle w:val="Titre2"/>
        <w:numPr>
          <w:ilvl w:val="0"/>
          <w:numId w:val="0"/>
        </w:numPr>
        <w:rPr>
          <w:sz w:val="32"/>
          <w:szCs w:val="32"/>
          <w:lang w:val="en-US"/>
        </w:rPr>
      </w:pPr>
      <w:bookmarkStart w:id="6" w:name="_Toc157139405"/>
      <w:bookmarkStart w:id="7" w:name="_Toc157377855"/>
      <w:bookmarkStart w:id="8" w:name="_Toc167472731"/>
      <w:bookmarkStart w:id="9" w:name="_Toc168302209"/>
      <w:bookmarkStart w:id="10" w:name="_Toc170226651"/>
      <w:r w:rsidRPr="0014467F">
        <w:rPr>
          <w:sz w:val="32"/>
          <w:szCs w:val="32"/>
          <w:lang w:val="en-US"/>
        </w:rPr>
        <w:lastRenderedPageBreak/>
        <w:t xml:space="preserve">Liste des </w:t>
      </w:r>
      <w:bookmarkEnd w:id="6"/>
      <w:bookmarkEnd w:id="7"/>
      <w:r w:rsidR="00DB21B1" w:rsidRPr="0014467F">
        <w:rPr>
          <w:sz w:val="32"/>
          <w:szCs w:val="32"/>
          <w:lang w:val="en-US"/>
        </w:rPr>
        <w:t>abbreviations</w:t>
      </w:r>
      <w:bookmarkEnd w:id="8"/>
      <w:bookmarkEnd w:id="9"/>
      <w:bookmarkEnd w:id="10"/>
    </w:p>
    <w:p w14:paraId="600CA649"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AdipoR1</w:t>
      </w:r>
      <w:r w:rsidRPr="006D00DB">
        <w:rPr>
          <w:rFonts w:eastAsia="Calibri"/>
          <w:lang w:val="en-US" w:bidi="ar-DZ"/>
        </w:rPr>
        <w:t xml:space="preserve">: Adiponectin Receptor 1  </w:t>
      </w:r>
    </w:p>
    <w:p w14:paraId="60541FA0"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AdipoR2</w:t>
      </w:r>
      <w:r w:rsidRPr="006D00DB">
        <w:rPr>
          <w:rFonts w:eastAsia="Calibri"/>
          <w:lang w:val="en-US" w:bidi="ar-DZ"/>
        </w:rPr>
        <w:t xml:space="preserve">: Adiponectin Receptor 2  </w:t>
      </w:r>
    </w:p>
    <w:p w14:paraId="164E268D" w14:textId="3ED787B8" w:rsidR="006D00DB" w:rsidRPr="005D4197" w:rsidRDefault="00EB2955" w:rsidP="006D00DB">
      <w:pPr>
        <w:spacing w:before="0" w:after="200" w:line="276" w:lineRule="auto"/>
        <w:jc w:val="left"/>
        <w:rPr>
          <w:rFonts w:eastAsia="Calibri"/>
          <w:lang w:val="en-US"/>
        </w:rPr>
      </w:pPr>
      <w:r w:rsidRPr="005D4197">
        <w:rPr>
          <w:rFonts w:eastAsia="Calibri"/>
          <w:b/>
          <w:bCs/>
          <w:lang w:val="en-US"/>
        </w:rPr>
        <w:t>AgRP</w:t>
      </w:r>
      <w:r w:rsidRPr="005D4197">
        <w:rPr>
          <w:rFonts w:eastAsia="Calibri"/>
          <w:lang w:val="en-US"/>
        </w:rPr>
        <w:t>:</w:t>
      </w:r>
      <w:r w:rsidR="006D00DB" w:rsidRPr="005D4197">
        <w:rPr>
          <w:rFonts w:eastAsia="Calibri"/>
          <w:lang w:val="en-US"/>
        </w:rPr>
        <w:t xml:space="preserve"> Agouti-Related peptide </w:t>
      </w:r>
    </w:p>
    <w:p w14:paraId="4F29B880"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AMPK</w:t>
      </w:r>
      <w:r w:rsidRPr="006D00DB">
        <w:rPr>
          <w:rFonts w:eastAsia="Calibri"/>
          <w:lang w:val="en-US" w:bidi="ar-DZ"/>
        </w:rPr>
        <w:t xml:space="preserve">: AMP-activated protein kinase  </w:t>
      </w:r>
    </w:p>
    <w:p w14:paraId="0E97F912" w14:textId="11E2E92A"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APPL1</w:t>
      </w:r>
      <w:r w:rsidRPr="006D00DB">
        <w:rPr>
          <w:rFonts w:eastAsia="Calibri"/>
          <w:lang w:val="en-US" w:bidi="ar-DZ"/>
        </w:rPr>
        <w:t xml:space="preserve">: Adaptor Protein, Phosphotyrosine Interaction, PH Domain </w:t>
      </w:r>
      <w:r w:rsidR="00DB21B1" w:rsidRPr="006D00DB">
        <w:rPr>
          <w:rFonts w:eastAsia="Calibri"/>
          <w:lang w:val="en-US" w:bidi="ar-DZ"/>
        </w:rPr>
        <w:t>and</w:t>
      </w:r>
      <w:r w:rsidRPr="006D00DB">
        <w:rPr>
          <w:rFonts w:eastAsia="Calibri"/>
          <w:lang w:val="en-US" w:bidi="ar-DZ"/>
        </w:rPr>
        <w:t xml:space="preserve"> Leucine Zipper Containing 1  </w:t>
      </w:r>
    </w:p>
    <w:p w14:paraId="773AD099" w14:textId="394910C8" w:rsidR="006D00DB" w:rsidRPr="005D4197" w:rsidRDefault="00794BF9" w:rsidP="006D00DB">
      <w:pPr>
        <w:spacing w:before="0" w:after="200" w:line="276" w:lineRule="auto"/>
        <w:jc w:val="left"/>
        <w:rPr>
          <w:rFonts w:eastAsia="Calibri"/>
          <w:lang w:val="en-US"/>
        </w:rPr>
      </w:pPr>
      <w:r w:rsidRPr="005D4197">
        <w:rPr>
          <w:rFonts w:eastAsia="Calibri"/>
          <w:b/>
          <w:bCs/>
          <w:lang w:val="en-US"/>
        </w:rPr>
        <w:t>CART</w:t>
      </w:r>
      <w:r w:rsidRPr="005D4197">
        <w:rPr>
          <w:rFonts w:eastAsia="Calibri"/>
          <w:lang w:val="en-US"/>
        </w:rPr>
        <w:t>:</w:t>
      </w:r>
      <w:r w:rsidR="006D00DB" w:rsidRPr="005D4197">
        <w:rPr>
          <w:rFonts w:eastAsia="Calibri"/>
          <w:lang w:val="en-US"/>
        </w:rPr>
        <w:t xml:space="preserve"> Cocaine </w:t>
      </w:r>
      <w:r w:rsidR="00DB21B1" w:rsidRPr="005D4197">
        <w:rPr>
          <w:rFonts w:eastAsia="Calibri"/>
          <w:lang w:val="en-US"/>
        </w:rPr>
        <w:t xml:space="preserve">and </w:t>
      </w:r>
      <w:r w:rsidR="00DB21B1">
        <w:rPr>
          <w:rFonts w:eastAsia="Calibri"/>
          <w:lang w:val="en-US"/>
        </w:rPr>
        <w:t>Amphemative</w:t>
      </w:r>
      <w:r w:rsidR="006D00DB" w:rsidRPr="005D4197">
        <w:rPr>
          <w:rFonts w:eastAsia="Calibri"/>
          <w:lang w:val="en-US"/>
        </w:rPr>
        <w:t xml:space="preserve"> Regulated Transcript</w:t>
      </w:r>
    </w:p>
    <w:p w14:paraId="26616C1A" w14:textId="7398FD28" w:rsidR="006D00DB" w:rsidRPr="005D4197" w:rsidRDefault="00EB2955" w:rsidP="006D00DB">
      <w:pPr>
        <w:spacing w:before="0" w:after="200" w:line="276" w:lineRule="auto"/>
        <w:jc w:val="left"/>
        <w:rPr>
          <w:rFonts w:eastAsia="Calibri"/>
          <w:lang w:val="en-US"/>
        </w:rPr>
      </w:pPr>
      <w:r w:rsidRPr="005D4197">
        <w:rPr>
          <w:rFonts w:eastAsia="Calibri"/>
          <w:b/>
          <w:bCs/>
          <w:lang w:val="en-US"/>
        </w:rPr>
        <w:t>CCR</w:t>
      </w:r>
      <w:r w:rsidRPr="005D4197">
        <w:rPr>
          <w:rFonts w:eastAsia="Calibri"/>
          <w:lang w:val="en-US"/>
        </w:rPr>
        <w:t>:</w:t>
      </w:r>
      <w:r w:rsidR="006D00DB" w:rsidRPr="005D4197">
        <w:rPr>
          <w:rFonts w:eastAsia="Calibri"/>
          <w:lang w:val="en-US"/>
        </w:rPr>
        <w:t xml:space="preserve"> Colon Cancer </w:t>
      </w:r>
      <w:r w:rsidR="003304D3" w:rsidRPr="005D4197">
        <w:rPr>
          <w:rFonts w:eastAsia="Calibri"/>
          <w:lang w:val="en-US"/>
        </w:rPr>
        <w:t>Risk</w:t>
      </w:r>
      <w:r w:rsidR="006D00DB" w:rsidRPr="005D4197">
        <w:rPr>
          <w:rFonts w:eastAsia="Calibri"/>
          <w:lang w:val="en-US"/>
        </w:rPr>
        <w:t xml:space="preserve"> </w:t>
      </w:r>
    </w:p>
    <w:p w14:paraId="027CF84B"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CCRL2</w:t>
      </w:r>
      <w:r w:rsidRPr="006D00DB">
        <w:rPr>
          <w:rFonts w:eastAsia="Calibri"/>
          <w:lang w:val="en-US" w:bidi="ar-DZ"/>
        </w:rPr>
        <w:t xml:space="preserve">: Chemokine (C-C motif) Receptor-Like 2  </w:t>
      </w:r>
    </w:p>
    <w:p w14:paraId="0F4DF65E" w14:textId="77777777" w:rsidR="006D00DB" w:rsidRPr="006D00DB" w:rsidRDefault="006D00DB" w:rsidP="006D00DB">
      <w:pPr>
        <w:spacing w:before="0" w:after="200" w:line="276" w:lineRule="auto"/>
        <w:jc w:val="left"/>
        <w:rPr>
          <w:rFonts w:eastAsia="Calibri"/>
          <w:lang w:bidi="ar-DZ"/>
        </w:rPr>
      </w:pPr>
      <w:r w:rsidRPr="006D00DB">
        <w:rPr>
          <w:rFonts w:eastAsia="Calibri"/>
          <w:b/>
          <w:bCs/>
          <w:lang w:bidi="ar-DZ"/>
        </w:rPr>
        <w:t>CHB</w:t>
      </w:r>
      <w:r w:rsidRPr="006D00DB">
        <w:rPr>
          <w:rFonts w:eastAsia="Calibri"/>
          <w:lang w:bidi="ar-DZ"/>
        </w:rPr>
        <w:t> : Cirrhose Hépatite B</w:t>
      </w:r>
    </w:p>
    <w:p w14:paraId="3CF13291" w14:textId="77777777" w:rsidR="006D00DB" w:rsidRPr="006D00DB" w:rsidRDefault="006D00DB" w:rsidP="006D00DB">
      <w:pPr>
        <w:spacing w:before="0" w:after="200" w:line="276" w:lineRule="auto"/>
        <w:jc w:val="left"/>
        <w:rPr>
          <w:rFonts w:eastAsia="Calibri"/>
          <w:lang w:bidi="ar-DZ"/>
        </w:rPr>
      </w:pPr>
      <w:r w:rsidRPr="006D00DB">
        <w:rPr>
          <w:rFonts w:eastAsia="Calibri"/>
          <w:b/>
          <w:bCs/>
          <w:lang w:bidi="ar-DZ"/>
        </w:rPr>
        <w:t>CHC</w:t>
      </w:r>
      <w:r w:rsidRPr="006D00DB">
        <w:rPr>
          <w:rFonts w:eastAsia="Calibri"/>
          <w:lang w:bidi="ar-DZ"/>
        </w:rPr>
        <w:t> : Cirrhose Hépatite C</w:t>
      </w:r>
    </w:p>
    <w:p w14:paraId="0C2DBAEC" w14:textId="7CA46DF0" w:rsidR="006D00DB" w:rsidRPr="005D4197" w:rsidRDefault="00EB2955" w:rsidP="006D00DB">
      <w:pPr>
        <w:spacing w:before="0" w:after="200" w:line="276" w:lineRule="auto"/>
        <w:jc w:val="left"/>
        <w:rPr>
          <w:rFonts w:eastAsia="Calibri"/>
          <w:lang w:val="en-US" w:bidi="ar-DZ"/>
        </w:rPr>
      </w:pPr>
      <w:r w:rsidRPr="005D4197">
        <w:rPr>
          <w:rFonts w:eastAsia="Calibri"/>
          <w:b/>
          <w:bCs/>
          <w:lang w:val="en-US" w:bidi="ar-DZ"/>
        </w:rPr>
        <w:t>ChemR23</w:t>
      </w:r>
      <w:r w:rsidRPr="005D4197">
        <w:rPr>
          <w:rFonts w:eastAsia="Calibri"/>
          <w:lang w:val="en-US" w:bidi="ar-DZ"/>
        </w:rPr>
        <w:t>:</w:t>
      </w:r>
      <w:r w:rsidR="006D00DB" w:rsidRPr="005D4197">
        <w:rPr>
          <w:rFonts w:eastAsia="Calibri"/>
          <w:lang w:val="en-US" w:bidi="ar-DZ"/>
        </w:rPr>
        <w:t xml:space="preserve"> Chemerin Receptor 23</w:t>
      </w:r>
    </w:p>
    <w:p w14:paraId="5168A5D5"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CMKLR1</w:t>
      </w:r>
      <w:r w:rsidRPr="006D00DB">
        <w:rPr>
          <w:rFonts w:eastAsia="Calibri"/>
          <w:lang w:val="en-US" w:bidi="ar-DZ"/>
        </w:rPr>
        <w:t xml:space="preserve">: Chemerin Receptor 1  </w:t>
      </w:r>
    </w:p>
    <w:p w14:paraId="36AEBBC3" w14:textId="3A21263A" w:rsidR="006D00DB" w:rsidRPr="006D00DB" w:rsidRDefault="006D00DB" w:rsidP="006D00DB">
      <w:pPr>
        <w:spacing w:before="0" w:after="200" w:line="276" w:lineRule="auto"/>
        <w:jc w:val="left"/>
        <w:rPr>
          <w:rFonts w:eastAsia="Calibri"/>
          <w:lang w:bidi="ar-DZ"/>
        </w:rPr>
      </w:pPr>
      <w:r w:rsidRPr="006D00DB">
        <w:rPr>
          <w:rFonts w:eastAsia="Calibri"/>
          <w:b/>
          <w:bCs/>
          <w:lang w:bidi="ar-DZ"/>
        </w:rPr>
        <w:t>CRP</w:t>
      </w:r>
      <w:r w:rsidRPr="006D00DB">
        <w:rPr>
          <w:rFonts w:eastAsia="Calibri"/>
          <w:lang w:bidi="ar-DZ"/>
        </w:rPr>
        <w:t xml:space="preserve"> : </w:t>
      </w:r>
      <w:r w:rsidR="003304D3" w:rsidRPr="006D00DB">
        <w:rPr>
          <w:rFonts w:eastAsia="Calibri"/>
          <w:lang w:bidi="ar-DZ"/>
        </w:rPr>
        <w:t>Créatif</w:t>
      </w:r>
      <w:r w:rsidRPr="006D00DB">
        <w:rPr>
          <w:rFonts w:eastAsia="Calibri"/>
          <w:lang w:bidi="ar-DZ"/>
        </w:rPr>
        <w:t xml:space="preserve">  Protéine</w:t>
      </w:r>
    </w:p>
    <w:p w14:paraId="68660A71" w14:textId="77777777" w:rsidR="006D00DB" w:rsidRPr="006D00DB" w:rsidRDefault="006D00DB" w:rsidP="006D00DB">
      <w:pPr>
        <w:spacing w:before="0" w:after="200" w:line="276" w:lineRule="auto"/>
        <w:jc w:val="left"/>
        <w:rPr>
          <w:rFonts w:eastAsia="Calibri"/>
          <w:lang w:bidi="ar-DZ"/>
        </w:rPr>
      </w:pPr>
      <w:r w:rsidRPr="006D00DB">
        <w:rPr>
          <w:rFonts w:eastAsia="Calibri"/>
          <w:b/>
          <w:bCs/>
          <w:lang w:bidi="ar-DZ"/>
        </w:rPr>
        <w:t>CU</w:t>
      </w:r>
      <w:r w:rsidRPr="006D00DB">
        <w:rPr>
          <w:rFonts w:eastAsia="Calibri"/>
          <w:lang w:bidi="ar-DZ"/>
        </w:rPr>
        <w:t> : Colite Ulcéreuse</w:t>
      </w:r>
    </w:p>
    <w:p w14:paraId="2DAB92C1" w14:textId="77777777" w:rsidR="006D00DB" w:rsidRPr="006D00DB" w:rsidRDefault="006D00DB" w:rsidP="006D00DB">
      <w:pPr>
        <w:spacing w:before="0" w:after="200" w:line="276" w:lineRule="auto"/>
        <w:jc w:val="left"/>
        <w:rPr>
          <w:rFonts w:eastAsia="Calibri"/>
        </w:rPr>
      </w:pPr>
      <w:r w:rsidRPr="006D00DB">
        <w:rPr>
          <w:rFonts w:eastAsia="Calibri"/>
          <w:b/>
          <w:bCs/>
        </w:rPr>
        <w:t>CV</w:t>
      </w:r>
      <w:r w:rsidRPr="006D00DB">
        <w:rPr>
          <w:rFonts w:eastAsia="Calibri"/>
        </w:rPr>
        <w:t> : Cardio-Vasculaire</w:t>
      </w:r>
    </w:p>
    <w:p w14:paraId="2A29B9B3" w14:textId="77777777" w:rsidR="006D00DB" w:rsidRPr="006D00DB" w:rsidRDefault="006D00DB" w:rsidP="006D00DB">
      <w:pPr>
        <w:spacing w:before="0" w:after="200" w:line="276" w:lineRule="auto"/>
        <w:jc w:val="left"/>
        <w:rPr>
          <w:rFonts w:eastAsia="Calibri"/>
        </w:rPr>
      </w:pPr>
      <w:r w:rsidRPr="006D00DB">
        <w:rPr>
          <w:rFonts w:eastAsia="Calibri"/>
          <w:b/>
          <w:bCs/>
        </w:rPr>
        <w:t>DG</w:t>
      </w:r>
      <w:r w:rsidRPr="006D00DB">
        <w:rPr>
          <w:rFonts w:eastAsia="Calibri"/>
        </w:rPr>
        <w:t xml:space="preserve"> : Diabète Gestationnelle </w:t>
      </w:r>
    </w:p>
    <w:p w14:paraId="1DC5DBBA" w14:textId="77777777" w:rsidR="006D00DB" w:rsidRPr="006D00DB" w:rsidRDefault="006D00DB" w:rsidP="006D00DB">
      <w:pPr>
        <w:spacing w:before="0" w:after="200" w:line="276" w:lineRule="auto"/>
        <w:jc w:val="left"/>
        <w:rPr>
          <w:rFonts w:eastAsia="Calibri"/>
        </w:rPr>
      </w:pPr>
      <w:r w:rsidRPr="006D00DB">
        <w:rPr>
          <w:rFonts w:eastAsia="Calibri"/>
          <w:b/>
          <w:bCs/>
        </w:rPr>
        <w:t>DGM </w:t>
      </w:r>
      <w:r w:rsidRPr="006D00DB">
        <w:rPr>
          <w:rFonts w:eastAsia="Calibri"/>
        </w:rPr>
        <w:t>: Diabète Gestationnelle Mellitus</w:t>
      </w:r>
    </w:p>
    <w:p w14:paraId="4A8B1DED" w14:textId="77777777" w:rsidR="006D00DB" w:rsidRPr="006D00DB" w:rsidRDefault="006D00DB" w:rsidP="006D00DB">
      <w:pPr>
        <w:spacing w:before="0" w:after="200" w:line="276" w:lineRule="auto"/>
        <w:jc w:val="left"/>
        <w:rPr>
          <w:rFonts w:eastAsia="Calibri"/>
        </w:rPr>
      </w:pPr>
      <w:r w:rsidRPr="006D00DB">
        <w:rPr>
          <w:rFonts w:eastAsia="Calibri"/>
          <w:b/>
          <w:bCs/>
        </w:rPr>
        <w:t>DT2</w:t>
      </w:r>
      <w:r w:rsidRPr="006D00DB">
        <w:rPr>
          <w:rFonts w:eastAsia="Calibri"/>
        </w:rPr>
        <w:t> : Diabète de Type 2</w:t>
      </w:r>
    </w:p>
    <w:p w14:paraId="5607DF25"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FK866</w:t>
      </w:r>
      <w:r w:rsidRPr="006D00DB">
        <w:rPr>
          <w:rFonts w:eastAsia="Calibri"/>
          <w:lang w:val="en-US" w:bidi="ar-DZ"/>
        </w:rPr>
        <w:t xml:space="preserve">: Specific Nampt inhibitor  </w:t>
      </w:r>
    </w:p>
    <w:p w14:paraId="07086450" w14:textId="55C03709" w:rsidR="006D00DB" w:rsidRPr="005D4197" w:rsidRDefault="00EB2955" w:rsidP="006D00DB">
      <w:pPr>
        <w:spacing w:before="0" w:after="200" w:line="276" w:lineRule="auto"/>
        <w:jc w:val="left"/>
        <w:rPr>
          <w:rFonts w:eastAsia="Calibri"/>
          <w:lang w:val="en-US" w:bidi="ar-DZ"/>
        </w:rPr>
      </w:pPr>
      <w:r w:rsidRPr="005D4197">
        <w:rPr>
          <w:rFonts w:eastAsia="Calibri"/>
          <w:b/>
          <w:bCs/>
          <w:lang w:val="en-US" w:bidi="ar-DZ"/>
        </w:rPr>
        <w:t>FLS:</w:t>
      </w:r>
      <w:r w:rsidR="006D00DB" w:rsidRPr="005D4197">
        <w:rPr>
          <w:rFonts w:eastAsia="Calibri"/>
          <w:lang w:val="en-US" w:bidi="ar-DZ"/>
        </w:rPr>
        <w:t xml:space="preserve"> Fabrolaste</w:t>
      </w:r>
    </w:p>
    <w:p w14:paraId="67FD0AAE" w14:textId="32C3520A" w:rsidR="006D00DB" w:rsidRPr="005D4197" w:rsidRDefault="00EB2955" w:rsidP="006D00DB">
      <w:pPr>
        <w:spacing w:before="0" w:after="200" w:line="276" w:lineRule="auto"/>
        <w:jc w:val="left"/>
        <w:rPr>
          <w:rFonts w:eastAsia="Calibri"/>
          <w:lang w:val="en-US"/>
        </w:rPr>
      </w:pPr>
      <w:r w:rsidRPr="005D4197">
        <w:rPr>
          <w:rFonts w:eastAsia="Calibri"/>
          <w:b/>
          <w:bCs/>
          <w:lang w:val="en-US"/>
        </w:rPr>
        <w:t>GH</w:t>
      </w:r>
      <w:r w:rsidRPr="005D4197">
        <w:rPr>
          <w:rFonts w:eastAsia="Calibri"/>
          <w:lang w:val="en-US"/>
        </w:rPr>
        <w:t>:</w:t>
      </w:r>
      <w:r w:rsidR="006D00DB" w:rsidRPr="005D4197">
        <w:rPr>
          <w:rFonts w:eastAsia="Calibri"/>
          <w:lang w:val="en-US"/>
        </w:rPr>
        <w:t xml:space="preserve"> Grow Hormon</w:t>
      </w:r>
    </w:p>
    <w:p w14:paraId="718FA932"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GPR1</w:t>
      </w:r>
      <w:r w:rsidRPr="006D00DB">
        <w:rPr>
          <w:rFonts w:eastAsia="Calibri"/>
          <w:lang w:val="en-US" w:bidi="ar-DZ"/>
        </w:rPr>
        <w:t xml:space="preserve">: G Protein-Coupled Receptor 1  </w:t>
      </w:r>
    </w:p>
    <w:p w14:paraId="2F5AEA43" w14:textId="41390039" w:rsidR="006D00DB" w:rsidRPr="006D00DB" w:rsidRDefault="006D00DB" w:rsidP="007178B9">
      <w:pPr>
        <w:spacing w:before="0" w:after="200" w:line="276" w:lineRule="auto"/>
        <w:jc w:val="left"/>
        <w:rPr>
          <w:rFonts w:eastAsia="Calibri"/>
          <w:lang w:val="en-US" w:bidi="ar-DZ"/>
        </w:rPr>
      </w:pPr>
      <w:r w:rsidRPr="006D00DB">
        <w:rPr>
          <w:rFonts w:eastAsia="Calibri"/>
          <w:b/>
          <w:bCs/>
          <w:lang w:val="en-US" w:bidi="ar-DZ"/>
        </w:rPr>
        <w:t>HMW</w:t>
      </w:r>
      <w:r w:rsidR="007178B9">
        <w:rPr>
          <w:rFonts w:eastAsia="Calibri"/>
          <w:lang w:val="en-US" w:bidi="ar-DZ"/>
        </w:rPr>
        <w:t xml:space="preserve">: </w:t>
      </w:r>
      <w:r w:rsidR="007178B9" w:rsidRPr="007178B9">
        <w:rPr>
          <w:rFonts w:eastAsia="Calibri"/>
          <w:lang w:val="en-US" w:bidi="ar-DZ"/>
        </w:rPr>
        <w:t>High molecular weight</w:t>
      </w:r>
    </w:p>
    <w:p w14:paraId="4DD9D2FF" w14:textId="4CF23052" w:rsidR="006D00DB" w:rsidRPr="007178B9" w:rsidRDefault="00EB2955" w:rsidP="006D00DB">
      <w:pPr>
        <w:spacing w:before="0" w:after="200" w:line="276" w:lineRule="auto"/>
        <w:jc w:val="left"/>
        <w:rPr>
          <w:rFonts w:eastAsia="Calibri"/>
          <w:lang w:val="en-US" w:bidi="ar-DZ"/>
        </w:rPr>
      </w:pPr>
      <w:r w:rsidRPr="007178B9">
        <w:rPr>
          <w:rFonts w:eastAsia="Calibri"/>
          <w:b/>
          <w:bCs/>
          <w:lang w:val="en-US" w:bidi="ar-DZ"/>
        </w:rPr>
        <w:t>ICA:</w:t>
      </w:r>
      <w:r w:rsidR="006D00DB" w:rsidRPr="007178B9">
        <w:rPr>
          <w:rFonts w:eastAsia="Calibri"/>
          <w:lang w:val="en-US" w:bidi="ar-DZ"/>
        </w:rPr>
        <w:t xml:space="preserve"> Inflammation Chronique Arthrose</w:t>
      </w:r>
    </w:p>
    <w:p w14:paraId="3880657E" w14:textId="77777777" w:rsidR="006D00DB" w:rsidRPr="00FA159D" w:rsidRDefault="006D00DB" w:rsidP="006D00DB">
      <w:pPr>
        <w:spacing w:before="0" w:after="200" w:line="276" w:lineRule="auto"/>
        <w:jc w:val="left"/>
        <w:rPr>
          <w:rFonts w:eastAsia="Calibri"/>
          <w:lang w:bidi="ar-DZ"/>
        </w:rPr>
      </w:pPr>
      <w:r w:rsidRPr="00FA159D">
        <w:rPr>
          <w:rFonts w:eastAsia="Calibri"/>
          <w:b/>
          <w:bCs/>
          <w:lang w:bidi="ar-DZ"/>
        </w:rPr>
        <w:t>IL-1</w:t>
      </w:r>
      <w:r w:rsidRPr="006D00DB">
        <w:rPr>
          <w:rFonts w:eastAsia="Calibri"/>
          <w:b/>
          <w:bCs/>
          <w:lang w:val="en-US" w:bidi="ar-DZ"/>
        </w:rPr>
        <w:t>β</w:t>
      </w:r>
      <w:r w:rsidRPr="00FA159D">
        <w:rPr>
          <w:rFonts w:eastAsia="Calibri"/>
          <w:lang w:bidi="ar-DZ"/>
        </w:rPr>
        <w:t xml:space="preserve">: Interleukin 1 beta  </w:t>
      </w:r>
    </w:p>
    <w:p w14:paraId="30C258FC" w14:textId="77777777" w:rsidR="006D00DB" w:rsidRPr="006D00DB" w:rsidRDefault="006D00DB" w:rsidP="006D00DB">
      <w:pPr>
        <w:spacing w:before="0" w:after="200" w:line="276" w:lineRule="auto"/>
        <w:jc w:val="left"/>
        <w:rPr>
          <w:rFonts w:eastAsia="Calibri"/>
        </w:rPr>
      </w:pPr>
      <w:r w:rsidRPr="006D00DB">
        <w:rPr>
          <w:rFonts w:eastAsia="Calibri"/>
          <w:b/>
          <w:bCs/>
        </w:rPr>
        <w:t>IL-6</w:t>
      </w:r>
      <w:r w:rsidRPr="006D00DB">
        <w:rPr>
          <w:rFonts w:eastAsia="Calibri"/>
        </w:rPr>
        <w:t> : Interleukine-6</w:t>
      </w:r>
    </w:p>
    <w:p w14:paraId="2ADC7698" w14:textId="77777777" w:rsidR="006D00DB" w:rsidRPr="006D00DB" w:rsidRDefault="006D00DB" w:rsidP="006D00DB">
      <w:pPr>
        <w:spacing w:before="0" w:after="200" w:line="276" w:lineRule="auto"/>
        <w:jc w:val="left"/>
        <w:rPr>
          <w:rFonts w:eastAsia="Calibri"/>
        </w:rPr>
      </w:pPr>
      <w:r w:rsidRPr="006D00DB">
        <w:rPr>
          <w:rFonts w:eastAsia="Calibri"/>
          <w:b/>
          <w:bCs/>
        </w:rPr>
        <w:lastRenderedPageBreak/>
        <w:t>IMC</w:t>
      </w:r>
      <w:r w:rsidRPr="006D00DB">
        <w:rPr>
          <w:rFonts w:eastAsia="Calibri"/>
        </w:rPr>
        <w:t> : Indice de Masse Corporelle</w:t>
      </w:r>
    </w:p>
    <w:p w14:paraId="66BE5DCA" w14:textId="77777777" w:rsidR="006D00DB" w:rsidRPr="006D00DB" w:rsidRDefault="006D00DB" w:rsidP="006D00DB">
      <w:pPr>
        <w:spacing w:before="0" w:after="200" w:line="276" w:lineRule="auto"/>
        <w:jc w:val="left"/>
        <w:rPr>
          <w:rFonts w:eastAsia="Calibri"/>
        </w:rPr>
      </w:pPr>
      <w:r w:rsidRPr="006D00DB">
        <w:rPr>
          <w:rFonts w:eastAsia="Calibri"/>
          <w:b/>
          <w:bCs/>
        </w:rPr>
        <w:t>IR</w:t>
      </w:r>
      <w:r w:rsidRPr="006D00DB">
        <w:rPr>
          <w:rFonts w:eastAsia="Calibri"/>
        </w:rPr>
        <w:t> : Insuline Résistance</w:t>
      </w:r>
    </w:p>
    <w:p w14:paraId="3020ED8B" w14:textId="77777777" w:rsidR="006D00DB" w:rsidRPr="006D00DB" w:rsidRDefault="006D00DB" w:rsidP="006D00DB">
      <w:pPr>
        <w:spacing w:before="0" w:after="200" w:line="276" w:lineRule="auto"/>
        <w:jc w:val="left"/>
        <w:rPr>
          <w:rFonts w:eastAsia="Calibri"/>
          <w:lang w:bidi="ar-DZ"/>
        </w:rPr>
      </w:pPr>
      <w:r w:rsidRPr="006D00DB">
        <w:rPr>
          <w:rFonts w:eastAsia="Calibri"/>
          <w:b/>
          <w:bCs/>
          <w:lang w:bidi="ar-DZ"/>
        </w:rPr>
        <w:t>IRC</w:t>
      </w:r>
      <w:r w:rsidRPr="006D00DB">
        <w:rPr>
          <w:rFonts w:eastAsia="Calibri"/>
          <w:lang w:bidi="ar-DZ"/>
        </w:rPr>
        <w:t xml:space="preserve"> : Inflammation Rénal Chronique </w:t>
      </w:r>
    </w:p>
    <w:p w14:paraId="7A45BB32" w14:textId="77777777" w:rsidR="006D00DB" w:rsidRPr="001539BA" w:rsidRDefault="006D00DB" w:rsidP="006D00DB">
      <w:pPr>
        <w:spacing w:before="0" w:after="200" w:line="276" w:lineRule="auto"/>
        <w:jc w:val="left"/>
        <w:rPr>
          <w:rFonts w:eastAsia="Calibri"/>
          <w:lang w:bidi="ar-DZ"/>
        </w:rPr>
      </w:pPr>
      <w:r w:rsidRPr="001539BA">
        <w:rPr>
          <w:rFonts w:eastAsia="Calibri"/>
          <w:b/>
          <w:bCs/>
          <w:lang w:bidi="ar-DZ"/>
        </w:rPr>
        <w:t>IRS-1/2</w:t>
      </w:r>
      <w:r w:rsidRPr="001539BA">
        <w:rPr>
          <w:rFonts w:eastAsia="Calibri"/>
          <w:lang w:bidi="ar-DZ"/>
        </w:rPr>
        <w:t xml:space="preserve">: Insulin Receptor Substrate 1/2  </w:t>
      </w:r>
    </w:p>
    <w:p w14:paraId="602B54DD" w14:textId="77777777" w:rsidR="006D00DB" w:rsidRPr="001539BA" w:rsidRDefault="006D00DB" w:rsidP="006D00DB">
      <w:pPr>
        <w:spacing w:before="0" w:after="200" w:line="276" w:lineRule="auto"/>
        <w:jc w:val="left"/>
        <w:rPr>
          <w:rFonts w:eastAsia="Calibri"/>
          <w:lang w:bidi="ar-DZ"/>
        </w:rPr>
      </w:pPr>
      <w:r w:rsidRPr="001539BA">
        <w:rPr>
          <w:rFonts w:eastAsia="Calibri"/>
          <w:b/>
          <w:bCs/>
          <w:lang w:bidi="ar-DZ"/>
        </w:rPr>
        <w:t>JAK2</w:t>
      </w:r>
      <w:r w:rsidRPr="001539BA">
        <w:rPr>
          <w:rFonts w:eastAsia="Calibri"/>
          <w:lang w:bidi="ar-DZ"/>
        </w:rPr>
        <w:t xml:space="preserve">: Janus Kinase 2  </w:t>
      </w:r>
    </w:p>
    <w:p w14:paraId="79638B1B" w14:textId="77777777" w:rsidR="006D00DB" w:rsidRPr="001539BA" w:rsidRDefault="006D00DB" w:rsidP="006D00DB">
      <w:pPr>
        <w:spacing w:before="0" w:after="200" w:line="276" w:lineRule="auto"/>
        <w:jc w:val="left"/>
        <w:rPr>
          <w:rFonts w:eastAsia="Calibri"/>
          <w:lang w:bidi="ar-DZ"/>
        </w:rPr>
      </w:pPr>
      <w:r w:rsidRPr="001539BA">
        <w:rPr>
          <w:rFonts w:eastAsia="Calibri"/>
          <w:b/>
          <w:bCs/>
          <w:lang w:bidi="ar-DZ"/>
        </w:rPr>
        <w:t>JNK</w:t>
      </w:r>
      <w:r w:rsidRPr="001539BA">
        <w:rPr>
          <w:rFonts w:eastAsia="Calibri"/>
          <w:lang w:bidi="ar-DZ"/>
        </w:rPr>
        <w:t xml:space="preserve">: c-Jun N-terminal Kinase  </w:t>
      </w:r>
    </w:p>
    <w:p w14:paraId="7ADC8F6E" w14:textId="4810EF40" w:rsidR="006D00DB" w:rsidRPr="001539BA" w:rsidRDefault="00EB2955" w:rsidP="006D00DB">
      <w:pPr>
        <w:spacing w:before="0" w:after="200" w:line="276" w:lineRule="auto"/>
        <w:jc w:val="left"/>
        <w:rPr>
          <w:rFonts w:eastAsia="Calibri"/>
        </w:rPr>
      </w:pPr>
      <w:r w:rsidRPr="001539BA">
        <w:rPr>
          <w:rFonts w:eastAsia="Calibri"/>
          <w:b/>
          <w:bCs/>
        </w:rPr>
        <w:t>LCN2</w:t>
      </w:r>
      <w:r w:rsidRPr="001539BA">
        <w:rPr>
          <w:rFonts w:eastAsia="Calibri"/>
        </w:rPr>
        <w:t>:</w:t>
      </w:r>
      <w:r w:rsidR="006D00DB" w:rsidRPr="001539BA">
        <w:rPr>
          <w:rFonts w:eastAsia="Calibri"/>
        </w:rPr>
        <w:t xml:space="preserve"> Lipocaline-2</w:t>
      </w:r>
    </w:p>
    <w:p w14:paraId="7A775C47" w14:textId="30FFB126" w:rsidR="006D00DB" w:rsidRPr="001539BA" w:rsidRDefault="00EB2955" w:rsidP="006D00DB">
      <w:pPr>
        <w:spacing w:before="0" w:after="200" w:line="276" w:lineRule="auto"/>
        <w:jc w:val="left"/>
        <w:rPr>
          <w:rFonts w:eastAsia="Calibri"/>
        </w:rPr>
      </w:pPr>
      <w:r w:rsidRPr="001539BA">
        <w:rPr>
          <w:rFonts w:eastAsia="Calibri"/>
          <w:b/>
          <w:bCs/>
        </w:rPr>
        <w:t>LepR</w:t>
      </w:r>
      <w:r w:rsidRPr="001539BA">
        <w:rPr>
          <w:rFonts w:eastAsia="Calibri"/>
        </w:rPr>
        <w:t>:</w:t>
      </w:r>
      <w:r w:rsidR="006D00DB" w:rsidRPr="001539BA">
        <w:rPr>
          <w:rFonts w:eastAsia="Calibri"/>
        </w:rPr>
        <w:t xml:space="preserve"> Leptin Receptor</w:t>
      </w:r>
    </w:p>
    <w:p w14:paraId="501C1098" w14:textId="6953C6EE"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LMW</w:t>
      </w:r>
      <w:r w:rsidRPr="006D00DB">
        <w:rPr>
          <w:rFonts w:eastAsia="Calibri"/>
          <w:lang w:val="en-US" w:bidi="ar-DZ"/>
        </w:rPr>
        <w:t xml:space="preserve">: Low Molecular </w:t>
      </w:r>
      <w:r w:rsidR="007178B9" w:rsidRPr="006D00DB">
        <w:rPr>
          <w:rFonts w:eastAsia="Calibri"/>
          <w:lang w:val="en-US" w:bidi="ar-DZ"/>
        </w:rPr>
        <w:t>Weight (</w:t>
      </w:r>
      <w:r w:rsidR="007178B9" w:rsidRPr="007178B9">
        <w:rPr>
          <w:rFonts w:eastAsia="Calibri"/>
          <w:lang w:val="en-US" w:bidi="ar-DZ"/>
        </w:rPr>
        <w:t>Faible poids moléculaire</w:t>
      </w:r>
      <w:r w:rsidR="007178B9">
        <w:rPr>
          <w:rFonts w:eastAsia="Calibri"/>
          <w:lang w:val="en-US" w:bidi="ar-DZ"/>
        </w:rPr>
        <w:t>)</w:t>
      </w:r>
    </w:p>
    <w:p w14:paraId="5FB57A59" w14:textId="2EC95BE1" w:rsidR="006D00DB" w:rsidRPr="001539BA" w:rsidRDefault="006D00DB" w:rsidP="006D00DB">
      <w:pPr>
        <w:spacing w:before="0" w:after="200" w:line="276" w:lineRule="auto"/>
        <w:jc w:val="left"/>
        <w:rPr>
          <w:rFonts w:eastAsia="Calibri"/>
          <w:lang w:bidi="ar-DZ"/>
        </w:rPr>
      </w:pPr>
      <w:r w:rsidRPr="001539BA">
        <w:rPr>
          <w:rFonts w:eastAsia="Calibri"/>
          <w:b/>
          <w:bCs/>
          <w:lang w:bidi="ar-DZ"/>
        </w:rPr>
        <w:t>MAPK</w:t>
      </w:r>
      <w:r w:rsidRPr="001539BA">
        <w:rPr>
          <w:rFonts w:eastAsia="Calibri"/>
          <w:lang w:bidi="ar-DZ"/>
        </w:rPr>
        <w:t>: Mitogen-</w:t>
      </w:r>
      <w:r w:rsidR="007178B9" w:rsidRPr="001539BA">
        <w:rPr>
          <w:rFonts w:eastAsia="Calibri"/>
          <w:lang w:bidi="ar-DZ"/>
        </w:rPr>
        <w:t>Activated Protein</w:t>
      </w:r>
      <w:r w:rsidRPr="001539BA">
        <w:rPr>
          <w:rFonts w:eastAsia="Calibri"/>
          <w:lang w:bidi="ar-DZ"/>
        </w:rPr>
        <w:t xml:space="preserve"> Kinase  </w:t>
      </w:r>
    </w:p>
    <w:p w14:paraId="50238E16" w14:textId="77777777" w:rsidR="006D00DB" w:rsidRPr="006D00DB" w:rsidRDefault="006D00DB" w:rsidP="006D00DB">
      <w:pPr>
        <w:spacing w:before="0" w:after="200" w:line="276" w:lineRule="auto"/>
        <w:jc w:val="left"/>
        <w:rPr>
          <w:rFonts w:eastAsia="Calibri"/>
          <w:lang w:bidi="ar-DZ"/>
        </w:rPr>
      </w:pPr>
      <w:r w:rsidRPr="006D00DB">
        <w:rPr>
          <w:rFonts w:eastAsia="Calibri"/>
          <w:b/>
          <w:bCs/>
          <w:lang w:bidi="ar-DZ"/>
        </w:rPr>
        <w:t>MC</w:t>
      </w:r>
      <w:r w:rsidRPr="006D00DB">
        <w:rPr>
          <w:rFonts w:eastAsia="Calibri"/>
          <w:lang w:bidi="ar-DZ"/>
        </w:rPr>
        <w:t> : Maladies de Crohn</w:t>
      </w:r>
    </w:p>
    <w:p w14:paraId="7F0EAF17" w14:textId="77777777" w:rsidR="006D00DB" w:rsidRPr="006D00DB" w:rsidRDefault="006D00DB" w:rsidP="006D00DB">
      <w:pPr>
        <w:spacing w:before="0" w:after="200" w:line="276" w:lineRule="auto"/>
        <w:jc w:val="left"/>
        <w:rPr>
          <w:rFonts w:eastAsia="Calibri"/>
          <w:rtl/>
        </w:rPr>
      </w:pPr>
      <w:r w:rsidRPr="006D00DB">
        <w:rPr>
          <w:rFonts w:eastAsia="Calibri"/>
          <w:b/>
          <w:bCs/>
        </w:rPr>
        <w:t>MCV</w:t>
      </w:r>
      <w:r w:rsidRPr="006D00DB">
        <w:rPr>
          <w:rFonts w:eastAsia="Calibri"/>
        </w:rPr>
        <w:t> : Maladies Cardio-Vasculaires</w:t>
      </w:r>
    </w:p>
    <w:p w14:paraId="71600209" w14:textId="77777777" w:rsidR="006D00DB" w:rsidRPr="006D00DB" w:rsidRDefault="006D00DB" w:rsidP="006D00DB">
      <w:pPr>
        <w:spacing w:before="0" w:after="200" w:line="276" w:lineRule="auto"/>
        <w:jc w:val="left"/>
        <w:rPr>
          <w:rFonts w:eastAsia="Calibri"/>
          <w:lang w:bidi="ar-DZ"/>
        </w:rPr>
      </w:pPr>
      <w:r w:rsidRPr="006D00DB">
        <w:rPr>
          <w:rFonts w:eastAsia="Calibri"/>
          <w:b/>
          <w:bCs/>
          <w:lang w:bidi="ar-DZ"/>
        </w:rPr>
        <w:t>MICI </w:t>
      </w:r>
      <w:r w:rsidRPr="006D00DB">
        <w:rPr>
          <w:rFonts w:eastAsia="Calibri"/>
          <w:lang w:bidi="ar-DZ"/>
        </w:rPr>
        <w:t>: Maladies Inflammatoires Colon Intestin</w:t>
      </w:r>
    </w:p>
    <w:p w14:paraId="0B3AF6B4" w14:textId="77777777" w:rsidR="006D00DB" w:rsidRPr="006D00DB" w:rsidRDefault="006D00DB" w:rsidP="006D00DB">
      <w:pPr>
        <w:spacing w:before="0" w:after="200" w:line="276" w:lineRule="auto"/>
        <w:jc w:val="left"/>
        <w:rPr>
          <w:rFonts w:eastAsia="Calibri"/>
        </w:rPr>
      </w:pPr>
      <w:r w:rsidRPr="006D00DB">
        <w:rPr>
          <w:rFonts w:eastAsia="Calibri"/>
          <w:b/>
          <w:bCs/>
        </w:rPr>
        <w:t>MII</w:t>
      </w:r>
      <w:r w:rsidRPr="006D00DB">
        <w:rPr>
          <w:rFonts w:eastAsia="Calibri"/>
        </w:rPr>
        <w:t> : Maladies Inflammatoires Intestin</w:t>
      </w:r>
    </w:p>
    <w:p w14:paraId="70170C5D" w14:textId="306421D7" w:rsidR="006D00DB" w:rsidRPr="005D4197" w:rsidRDefault="00EB2955" w:rsidP="006D00DB">
      <w:pPr>
        <w:spacing w:before="0" w:after="200" w:line="276" w:lineRule="auto"/>
        <w:jc w:val="left"/>
        <w:rPr>
          <w:rFonts w:eastAsia="Calibri"/>
          <w:lang w:val="en-US" w:bidi="ar-DZ"/>
        </w:rPr>
      </w:pPr>
      <w:r w:rsidRPr="005D4197">
        <w:rPr>
          <w:rFonts w:eastAsia="Calibri"/>
          <w:b/>
          <w:bCs/>
          <w:lang w:val="en-US" w:bidi="ar-DZ"/>
        </w:rPr>
        <w:t>MMP</w:t>
      </w:r>
      <w:r w:rsidRPr="005D4197">
        <w:rPr>
          <w:rFonts w:eastAsia="Calibri"/>
          <w:lang w:val="en-US" w:bidi="ar-DZ"/>
        </w:rPr>
        <w:t>:</w:t>
      </w:r>
      <w:r w:rsidR="003304D3">
        <w:rPr>
          <w:rFonts w:eastAsia="Calibri"/>
          <w:lang w:val="en-US" w:bidi="ar-DZ"/>
        </w:rPr>
        <w:t xml:space="preserve"> </w:t>
      </w:r>
      <w:r w:rsidR="003304D3" w:rsidRPr="003304D3">
        <w:rPr>
          <w:rFonts w:eastAsia="Calibri"/>
          <w:lang w:val="en-US" w:bidi="ar-DZ"/>
        </w:rPr>
        <w:t>Matrix Metallo Peptidases</w:t>
      </w:r>
    </w:p>
    <w:p w14:paraId="3F4235BC"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MMW</w:t>
      </w:r>
      <w:r w:rsidRPr="006D00DB">
        <w:rPr>
          <w:rFonts w:eastAsia="Calibri"/>
          <w:lang w:val="en-US" w:bidi="ar-DZ"/>
        </w:rPr>
        <w:t xml:space="preserve">: Medium Molecular Weight  </w:t>
      </w:r>
    </w:p>
    <w:p w14:paraId="6A144124" w14:textId="40E0EE6C" w:rsidR="006D00DB" w:rsidRPr="005D4197" w:rsidRDefault="00EB2955" w:rsidP="006D00DB">
      <w:pPr>
        <w:spacing w:before="0" w:after="200" w:line="276" w:lineRule="auto"/>
        <w:jc w:val="left"/>
        <w:rPr>
          <w:rFonts w:eastAsia="Calibri"/>
          <w:lang w:val="en-US"/>
        </w:rPr>
      </w:pPr>
      <w:r w:rsidRPr="005D4197">
        <w:rPr>
          <w:rFonts w:eastAsia="Calibri"/>
          <w:b/>
          <w:bCs/>
          <w:lang w:val="en-US"/>
        </w:rPr>
        <w:t>MYD88</w:t>
      </w:r>
      <w:r w:rsidRPr="005D4197">
        <w:rPr>
          <w:rFonts w:eastAsia="Calibri"/>
          <w:lang w:val="en-US"/>
        </w:rPr>
        <w:t>:</w:t>
      </w:r>
      <w:r w:rsidR="006D00DB" w:rsidRPr="005D4197">
        <w:rPr>
          <w:rFonts w:eastAsia="Calibri"/>
          <w:lang w:val="en-US"/>
        </w:rPr>
        <w:t xml:space="preserve"> Myloide Differenciation 88</w:t>
      </w:r>
    </w:p>
    <w:p w14:paraId="2613E5BC"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NAD+</w:t>
      </w:r>
      <w:r w:rsidRPr="006D00DB">
        <w:rPr>
          <w:rFonts w:eastAsia="Calibri"/>
          <w:lang w:val="en-US" w:bidi="ar-DZ"/>
        </w:rPr>
        <w:t xml:space="preserve">: Nicotinamide Adenine Dinucleotide  </w:t>
      </w:r>
    </w:p>
    <w:p w14:paraId="64612719"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Nampt</w:t>
      </w:r>
      <w:r w:rsidRPr="006D00DB">
        <w:rPr>
          <w:rFonts w:eastAsia="Calibri"/>
          <w:lang w:val="en-US" w:bidi="ar-DZ"/>
        </w:rPr>
        <w:t xml:space="preserve">: Nicotinamide Phosphoribosyltransferase  </w:t>
      </w:r>
    </w:p>
    <w:p w14:paraId="7E25E70F"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NF-κB</w:t>
      </w:r>
      <w:r w:rsidRPr="006D00DB">
        <w:rPr>
          <w:rFonts w:eastAsia="Calibri"/>
          <w:lang w:val="en-US" w:bidi="ar-DZ"/>
        </w:rPr>
        <w:t xml:space="preserve">: Nuclear Factor kappa-light-chain-enhancer of activated B cells  </w:t>
      </w:r>
    </w:p>
    <w:p w14:paraId="0F1E29C1"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NMN</w:t>
      </w:r>
      <w:r w:rsidRPr="006D00DB">
        <w:rPr>
          <w:rFonts w:eastAsia="Calibri"/>
          <w:lang w:val="en-US" w:bidi="ar-DZ"/>
        </w:rPr>
        <w:t xml:space="preserve">: Nicotinamide Mononucleotide  </w:t>
      </w:r>
    </w:p>
    <w:p w14:paraId="13349BF8" w14:textId="53462FF9" w:rsidR="006D00DB" w:rsidRPr="005D4197" w:rsidRDefault="00EB2955" w:rsidP="006D00DB">
      <w:pPr>
        <w:spacing w:before="0" w:after="200" w:line="276" w:lineRule="auto"/>
        <w:jc w:val="left"/>
        <w:rPr>
          <w:rFonts w:eastAsia="Calibri"/>
          <w:lang w:val="en-US"/>
        </w:rPr>
      </w:pPr>
      <w:r w:rsidRPr="005D4197">
        <w:rPr>
          <w:rFonts w:eastAsia="Calibri"/>
          <w:b/>
          <w:bCs/>
          <w:lang w:val="en-US"/>
        </w:rPr>
        <w:t>NPY:</w:t>
      </w:r>
      <w:r w:rsidR="006D00DB" w:rsidRPr="005D4197">
        <w:rPr>
          <w:rFonts w:eastAsia="Calibri"/>
          <w:lang w:val="en-US"/>
        </w:rPr>
        <w:t xml:space="preserve"> Neuropeptide Y</w:t>
      </w:r>
    </w:p>
    <w:p w14:paraId="64503E2D"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Ob:</w:t>
      </w:r>
      <w:r w:rsidRPr="006D00DB">
        <w:rPr>
          <w:rFonts w:eastAsia="Calibri"/>
          <w:lang w:val="en-US" w:bidi="ar-DZ"/>
        </w:rPr>
        <w:t xml:space="preserve"> Obese gene  </w:t>
      </w:r>
    </w:p>
    <w:p w14:paraId="756E3051" w14:textId="77777777" w:rsidR="006D00DB" w:rsidRPr="005D4197" w:rsidRDefault="006D00DB" w:rsidP="006D00DB">
      <w:pPr>
        <w:spacing w:before="0" w:after="200" w:line="276" w:lineRule="auto"/>
        <w:jc w:val="left"/>
        <w:rPr>
          <w:rFonts w:eastAsia="Calibri"/>
          <w:lang w:val="en-US"/>
        </w:rPr>
      </w:pPr>
      <w:r w:rsidRPr="005D4197">
        <w:rPr>
          <w:rFonts w:eastAsia="Calibri"/>
          <w:b/>
          <w:bCs/>
          <w:lang w:val="en-US"/>
        </w:rPr>
        <w:t>ObR</w:t>
      </w:r>
      <w:r w:rsidRPr="005D4197">
        <w:rPr>
          <w:rFonts w:eastAsia="Calibri"/>
          <w:lang w:val="en-US"/>
        </w:rPr>
        <w:t> : Obesity Risck</w:t>
      </w:r>
    </w:p>
    <w:p w14:paraId="1F4089D1" w14:textId="490CB725" w:rsidR="006D00DB" w:rsidRPr="005D4197" w:rsidRDefault="00EB2955" w:rsidP="006D00DB">
      <w:pPr>
        <w:spacing w:before="0" w:after="200" w:line="276" w:lineRule="auto"/>
        <w:jc w:val="left"/>
        <w:rPr>
          <w:rFonts w:eastAsia="Calibri"/>
          <w:lang w:val="en-US"/>
        </w:rPr>
      </w:pPr>
      <w:r w:rsidRPr="005D4197">
        <w:rPr>
          <w:rFonts w:eastAsia="Calibri"/>
          <w:b/>
          <w:bCs/>
          <w:lang w:val="en-US"/>
        </w:rPr>
        <w:t>PASI</w:t>
      </w:r>
      <w:r w:rsidRPr="005D4197">
        <w:rPr>
          <w:rFonts w:eastAsia="Calibri"/>
          <w:lang w:val="en-US"/>
        </w:rPr>
        <w:t>:</w:t>
      </w:r>
      <w:r w:rsidR="006D00DB" w:rsidRPr="005D4197">
        <w:rPr>
          <w:rFonts w:eastAsia="Calibri"/>
          <w:lang w:val="en-US"/>
        </w:rPr>
        <w:t xml:space="preserve"> Psoriasis</w:t>
      </w:r>
      <w:r w:rsidR="00314144">
        <w:rPr>
          <w:rFonts w:eastAsia="Calibri"/>
          <w:lang w:val="en-US"/>
        </w:rPr>
        <w:t xml:space="preserve"> Area Severity Index</w:t>
      </w:r>
    </w:p>
    <w:p w14:paraId="09F3CA1B"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PBEF</w:t>
      </w:r>
      <w:r w:rsidRPr="006D00DB">
        <w:rPr>
          <w:rFonts w:eastAsia="Calibri"/>
          <w:lang w:val="en-US" w:bidi="ar-DZ"/>
        </w:rPr>
        <w:t xml:space="preserve">: Pre-B-cell colony Enhancing Factor  </w:t>
      </w:r>
    </w:p>
    <w:p w14:paraId="689D239B"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PBMC</w:t>
      </w:r>
      <w:r w:rsidRPr="006D00DB">
        <w:rPr>
          <w:rFonts w:eastAsia="Calibri"/>
          <w:lang w:val="en-US" w:bidi="ar-DZ"/>
        </w:rPr>
        <w:t xml:space="preserve">: Peripheral Blood Mononuclear Cells  </w:t>
      </w:r>
    </w:p>
    <w:p w14:paraId="6F6BDB2E" w14:textId="739AC96B" w:rsidR="006D00DB" w:rsidRPr="005D4197" w:rsidRDefault="00EB2955" w:rsidP="006D00DB">
      <w:pPr>
        <w:spacing w:before="0" w:after="200" w:line="276" w:lineRule="auto"/>
        <w:jc w:val="left"/>
        <w:rPr>
          <w:rFonts w:eastAsia="Calibri"/>
          <w:lang w:val="en-US"/>
        </w:rPr>
      </w:pPr>
      <w:r w:rsidRPr="005D4197">
        <w:rPr>
          <w:rFonts w:eastAsia="Calibri"/>
          <w:b/>
          <w:bCs/>
          <w:lang w:val="en-US"/>
        </w:rPr>
        <w:t>PDC</w:t>
      </w:r>
      <w:r w:rsidRPr="005D4197">
        <w:rPr>
          <w:rFonts w:eastAsia="Calibri"/>
          <w:lang w:val="en-US"/>
        </w:rPr>
        <w:t>:</w:t>
      </w:r>
      <w:r w:rsidR="006D00DB" w:rsidRPr="005D4197">
        <w:rPr>
          <w:rFonts w:eastAsia="Calibri"/>
          <w:lang w:val="en-US"/>
        </w:rPr>
        <w:t xml:space="preserve"> Plasmacytoid Denditric Cells</w:t>
      </w:r>
    </w:p>
    <w:p w14:paraId="17C466CE"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lastRenderedPageBreak/>
        <w:t>PI3K</w:t>
      </w:r>
      <w:r w:rsidRPr="006D00DB">
        <w:rPr>
          <w:rFonts w:eastAsia="Calibri"/>
          <w:lang w:val="en-US" w:bidi="ar-DZ"/>
        </w:rPr>
        <w:t xml:space="preserve">: Phosphoinositide 3-Kinase  </w:t>
      </w:r>
    </w:p>
    <w:p w14:paraId="64A8A04F" w14:textId="4765D6DE" w:rsidR="006D00DB" w:rsidRPr="005D4197" w:rsidRDefault="00EB2955" w:rsidP="006D00DB">
      <w:pPr>
        <w:spacing w:before="0" w:after="200" w:line="276" w:lineRule="auto"/>
        <w:jc w:val="left"/>
        <w:rPr>
          <w:rFonts w:eastAsia="Calibri"/>
          <w:lang w:val="en-US"/>
        </w:rPr>
      </w:pPr>
      <w:r w:rsidRPr="005D4197">
        <w:rPr>
          <w:rFonts w:eastAsia="Calibri"/>
          <w:b/>
          <w:bCs/>
          <w:lang w:val="en-US"/>
        </w:rPr>
        <w:t>POMC</w:t>
      </w:r>
      <w:r w:rsidRPr="005D4197">
        <w:rPr>
          <w:rFonts w:eastAsia="Calibri"/>
          <w:lang w:val="en-US"/>
        </w:rPr>
        <w:t>:</w:t>
      </w:r>
      <w:r w:rsidR="006D00DB" w:rsidRPr="005D4197">
        <w:rPr>
          <w:rFonts w:eastAsia="Calibri"/>
          <w:lang w:val="en-US"/>
        </w:rPr>
        <w:t xml:space="preserve"> Proopiomélanocortine</w:t>
      </w:r>
    </w:p>
    <w:p w14:paraId="341AEEBC"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PPAR</w:t>
      </w:r>
      <w:r w:rsidRPr="006D00DB">
        <w:rPr>
          <w:rFonts w:eastAsia="Calibri"/>
          <w:lang w:val="en-US" w:bidi="ar-DZ"/>
        </w:rPr>
        <w:t xml:space="preserve">: Peroxisome Proliferator-Activated Receptor  </w:t>
      </w:r>
    </w:p>
    <w:p w14:paraId="08457BB1"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PPARγ</w:t>
      </w:r>
      <w:r w:rsidRPr="006D00DB">
        <w:rPr>
          <w:rFonts w:eastAsia="Calibri"/>
          <w:lang w:val="en-US" w:bidi="ar-DZ"/>
        </w:rPr>
        <w:t xml:space="preserve">: Peroxisome Proliferator-Activated Receptor Gamma  </w:t>
      </w:r>
    </w:p>
    <w:p w14:paraId="6CA6DD29" w14:textId="1EAEE614" w:rsidR="006D00DB" w:rsidRPr="005D4197" w:rsidRDefault="00EB2955" w:rsidP="006D00DB">
      <w:pPr>
        <w:spacing w:before="0" w:after="200" w:line="276" w:lineRule="auto"/>
        <w:jc w:val="left"/>
        <w:rPr>
          <w:rFonts w:eastAsia="Calibri"/>
          <w:lang w:val="en-US" w:bidi="ar-DZ"/>
        </w:rPr>
      </w:pPr>
      <w:r w:rsidRPr="005D4197">
        <w:rPr>
          <w:rFonts w:eastAsia="Calibri"/>
          <w:b/>
          <w:bCs/>
          <w:lang w:val="en-US" w:bidi="ar-DZ"/>
        </w:rPr>
        <w:t>PR</w:t>
      </w:r>
      <w:r w:rsidRPr="005D4197">
        <w:rPr>
          <w:rFonts w:eastAsia="Calibri"/>
          <w:lang w:val="en-US" w:bidi="ar-DZ"/>
        </w:rPr>
        <w:t>:</w:t>
      </w:r>
      <w:r w:rsidR="006D00DB" w:rsidRPr="005D4197">
        <w:rPr>
          <w:rFonts w:eastAsia="Calibri"/>
          <w:lang w:val="en-US" w:bidi="ar-DZ"/>
        </w:rPr>
        <w:t xml:space="preserve"> Poluarithrite Rhumatide</w:t>
      </w:r>
    </w:p>
    <w:p w14:paraId="587F6002" w14:textId="7EB3C208" w:rsidR="006D00DB" w:rsidRPr="005D4197" w:rsidRDefault="006D00DB" w:rsidP="006D00DB">
      <w:pPr>
        <w:spacing w:before="0" w:after="200" w:line="276" w:lineRule="auto"/>
        <w:jc w:val="left"/>
        <w:rPr>
          <w:rFonts w:eastAsia="Calibri"/>
          <w:lang w:val="en-US"/>
        </w:rPr>
      </w:pPr>
      <w:r w:rsidRPr="005D4197">
        <w:rPr>
          <w:rFonts w:eastAsia="Calibri"/>
          <w:b/>
          <w:bCs/>
          <w:lang w:val="en-US"/>
        </w:rPr>
        <w:t>RBP-</w:t>
      </w:r>
      <w:r w:rsidR="003304D3" w:rsidRPr="005D4197">
        <w:rPr>
          <w:rFonts w:eastAsia="Calibri"/>
          <w:b/>
          <w:bCs/>
          <w:lang w:val="en-US"/>
        </w:rPr>
        <w:t>4</w:t>
      </w:r>
      <w:r w:rsidR="003304D3" w:rsidRPr="005D4197">
        <w:rPr>
          <w:rFonts w:eastAsia="Calibri"/>
          <w:lang w:val="en-US"/>
        </w:rPr>
        <w:t>:</w:t>
      </w:r>
      <w:r w:rsidRPr="005D4197">
        <w:rPr>
          <w:rFonts w:eastAsia="Calibri"/>
          <w:lang w:val="en-US"/>
        </w:rPr>
        <w:t xml:space="preserve"> Retinol-Binding Protein-4</w:t>
      </w:r>
    </w:p>
    <w:p w14:paraId="29931F25"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RETN</w:t>
      </w:r>
      <w:r w:rsidRPr="006D00DB">
        <w:rPr>
          <w:rFonts w:eastAsia="Calibri"/>
          <w:lang w:val="en-US" w:bidi="ar-DZ"/>
        </w:rPr>
        <w:t xml:space="preserve">: Resistin gene  </w:t>
      </w:r>
    </w:p>
    <w:p w14:paraId="0C1E8FEF" w14:textId="77777777" w:rsidR="006D00DB" w:rsidRPr="006D00DB" w:rsidRDefault="006D00DB" w:rsidP="006D00DB">
      <w:pPr>
        <w:spacing w:before="0" w:after="200" w:line="276" w:lineRule="auto"/>
        <w:jc w:val="left"/>
        <w:rPr>
          <w:rFonts w:eastAsia="Calibri"/>
        </w:rPr>
      </w:pPr>
      <w:r w:rsidRPr="006D00DB">
        <w:rPr>
          <w:rFonts w:eastAsia="Calibri"/>
          <w:b/>
          <w:bCs/>
        </w:rPr>
        <w:t>RoRyt</w:t>
      </w:r>
      <w:r w:rsidRPr="006D00DB">
        <w:rPr>
          <w:rFonts w:eastAsia="Calibri"/>
        </w:rPr>
        <w:t> : Récepteurs Orphelins lieé à Rétinoique</w:t>
      </w:r>
    </w:p>
    <w:p w14:paraId="0B846DDD" w14:textId="77777777" w:rsidR="006D00DB" w:rsidRPr="006D00DB" w:rsidRDefault="006D00DB" w:rsidP="006D00DB">
      <w:pPr>
        <w:spacing w:before="0" w:after="200" w:line="276" w:lineRule="auto"/>
        <w:jc w:val="left"/>
        <w:rPr>
          <w:rFonts w:eastAsia="Calibri"/>
          <w:lang w:bidi="ar-DZ"/>
        </w:rPr>
      </w:pPr>
      <w:r w:rsidRPr="006D00DB">
        <w:rPr>
          <w:rFonts w:eastAsia="Calibri"/>
          <w:b/>
          <w:bCs/>
          <w:lang w:bidi="ar-DZ"/>
        </w:rPr>
        <w:t>RVS</w:t>
      </w:r>
      <w:r w:rsidRPr="006D00DB">
        <w:rPr>
          <w:rFonts w:eastAsia="Calibri"/>
          <w:lang w:bidi="ar-DZ"/>
        </w:rPr>
        <w:t> : Réponse Virologique Sontenue</w:t>
      </w:r>
    </w:p>
    <w:p w14:paraId="727766F0" w14:textId="77777777" w:rsidR="006D00DB" w:rsidRPr="005D4197" w:rsidRDefault="006D00DB" w:rsidP="006D00DB">
      <w:pPr>
        <w:spacing w:before="0" w:after="200" w:line="276" w:lineRule="auto"/>
        <w:jc w:val="left"/>
        <w:rPr>
          <w:rFonts w:eastAsia="Calibri"/>
          <w:lang w:bidi="ar-DZ"/>
        </w:rPr>
      </w:pPr>
      <w:r w:rsidRPr="005D4197">
        <w:rPr>
          <w:rFonts w:eastAsia="Calibri"/>
          <w:b/>
          <w:bCs/>
          <w:lang w:bidi="ar-DZ"/>
        </w:rPr>
        <w:t>SHP2</w:t>
      </w:r>
      <w:r w:rsidRPr="005D4197">
        <w:rPr>
          <w:rFonts w:eastAsia="Calibri"/>
          <w:lang w:bidi="ar-DZ"/>
        </w:rPr>
        <w:t xml:space="preserve">: Src Homology Phosphatase 2  </w:t>
      </w:r>
    </w:p>
    <w:p w14:paraId="69B4F31B"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STAT3</w:t>
      </w:r>
      <w:r w:rsidRPr="006D00DB">
        <w:rPr>
          <w:rFonts w:eastAsia="Calibri"/>
          <w:lang w:val="en-US" w:bidi="ar-DZ"/>
        </w:rPr>
        <w:t xml:space="preserve">: Signal Transducer and Activator of Transcription 3  </w:t>
      </w:r>
    </w:p>
    <w:p w14:paraId="5DDF3EA1" w14:textId="77777777" w:rsidR="006D00DB" w:rsidRPr="005D4197" w:rsidRDefault="006D00DB" w:rsidP="006D00DB">
      <w:pPr>
        <w:spacing w:before="0" w:after="200" w:line="276" w:lineRule="auto"/>
        <w:jc w:val="left"/>
        <w:rPr>
          <w:rFonts w:eastAsia="Calibri"/>
          <w:lang w:bidi="ar-DZ"/>
        </w:rPr>
      </w:pPr>
      <w:r w:rsidRPr="005D4197">
        <w:rPr>
          <w:rFonts w:eastAsia="Calibri"/>
          <w:b/>
          <w:bCs/>
          <w:lang w:bidi="ar-DZ"/>
        </w:rPr>
        <w:t>TA</w:t>
      </w:r>
      <w:r w:rsidRPr="005D4197">
        <w:rPr>
          <w:rFonts w:eastAsia="Calibri"/>
          <w:lang w:bidi="ar-DZ"/>
        </w:rPr>
        <w:t xml:space="preserve">: Tissu adipeux  </w:t>
      </w:r>
    </w:p>
    <w:p w14:paraId="58728EF0" w14:textId="77777777" w:rsidR="006D00DB" w:rsidRPr="006D00DB" w:rsidRDefault="006D00DB" w:rsidP="006D00DB">
      <w:pPr>
        <w:spacing w:before="0" w:after="200" w:line="276" w:lineRule="auto"/>
        <w:jc w:val="left"/>
        <w:rPr>
          <w:rFonts w:eastAsia="Calibri"/>
          <w:lang w:bidi="ar-DZ"/>
        </w:rPr>
      </w:pPr>
      <w:r w:rsidRPr="006D00DB">
        <w:rPr>
          <w:rFonts w:eastAsia="Calibri"/>
          <w:b/>
          <w:bCs/>
          <w:lang w:bidi="ar-DZ"/>
        </w:rPr>
        <w:t>TAB</w:t>
      </w:r>
      <w:r w:rsidRPr="006D00DB">
        <w:rPr>
          <w:rFonts w:eastAsia="Calibri"/>
          <w:lang w:bidi="ar-DZ"/>
        </w:rPr>
        <w:t xml:space="preserve">: Tissu adipeux blanc  </w:t>
      </w:r>
    </w:p>
    <w:p w14:paraId="3DE26EF8" w14:textId="77777777" w:rsidR="006D00DB" w:rsidRPr="005D4197" w:rsidRDefault="006D00DB" w:rsidP="006D00DB">
      <w:pPr>
        <w:spacing w:before="0" w:after="200" w:line="276" w:lineRule="auto"/>
        <w:jc w:val="left"/>
        <w:rPr>
          <w:rFonts w:eastAsia="Calibri"/>
          <w:lang w:val="en-US" w:bidi="ar-DZ"/>
        </w:rPr>
      </w:pPr>
      <w:r w:rsidRPr="005D4197">
        <w:rPr>
          <w:rFonts w:eastAsia="Calibri"/>
          <w:b/>
          <w:bCs/>
          <w:lang w:val="en-US" w:bidi="ar-DZ"/>
        </w:rPr>
        <w:t>TABr</w:t>
      </w:r>
      <w:r w:rsidRPr="005D4197">
        <w:rPr>
          <w:rFonts w:eastAsia="Calibri"/>
          <w:lang w:val="en-US" w:bidi="ar-DZ"/>
        </w:rPr>
        <w:t xml:space="preserve">: Tissu adipeux brun  </w:t>
      </w:r>
    </w:p>
    <w:p w14:paraId="32C7FB82" w14:textId="77777777" w:rsidR="006D00DB" w:rsidRPr="005D4197" w:rsidRDefault="006D00DB" w:rsidP="006D00DB">
      <w:pPr>
        <w:spacing w:before="0" w:after="200" w:line="276" w:lineRule="auto"/>
        <w:jc w:val="left"/>
        <w:rPr>
          <w:rFonts w:eastAsia="Calibri"/>
          <w:lang w:val="en-US" w:bidi="ar-DZ"/>
        </w:rPr>
      </w:pPr>
      <w:r w:rsidRPr="005D4197">
        <w:rPr>
          <w:rFonts w:eastAsia="Calibri"/>
          <w:b/>
          <w:bCs/>
          <w:lang w:val="en-US" w:bidi="ar-DZ"/>
        </w:rPr>
        <w:t>TACE</w:t>
      </w:r>
      <w:r w:rsidRPr="005D4197">
        <w:rPr>
          <w:rFonts w:eastAsia="Calibri"/>
          <w:lang w:val="en-US" w:bidi="ar-DZ"/>
        </w:rPr>
        <w:t xml:space="preserve">: TNF-alpha Converting Enzyme  </w:t>
      </w:r>
    </w:p>
    <w:p w14:paraId="3D0874C8"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TG</w:t>
      </w:r>
      <w:r w:rsidRPr="006D00DB">
        <w:rPr>
          <w:rFonts w:eastAsia="Calibri"/>
          <w:lang w:val="en-US" w:bidi="ar-DZ"/>
        </w:rPr>
        <w:t xml:space="preserve">: Triglycérides  </w:t>
      </w:r>
    </w:p>
    <w:p w14:paraId="0874EC3C" w14:textId="1A0135CE" w:rsidR="006D00DB" w:rsidRPr="005D4197" w:rsidRDefault="00EB2955" w:rsidP="006D00DB">
      <w:pPr>
        <w:spacing w:before="0" w:after="200" w:line="276" w:lineRule="auto"/>
        <w:jc w:val="left"/>
        <w:rPr>
          <w:rFonts w:eastAsia="Calibri"/>
          <w:lang w:val="en-US"/>
        </w:rPr>
      </w:pPr>
      <w:r w:rsidRPr="005D4197">
        <w:rPr>
          <w:rFonts w:eastAsia="Calibri"/>
          <w:b/>
          <w:bCs/>
          <w:lang w:val="en-US"/>
        </w:rPr>
        <w:t>TLR4:</w:t>
      </w:r>
      <w:r w:rsidR="006D00DB" w:rsidRPr="005D4197">
        <w:rPr>
          <w:rFonts w:eastAsia="Calibri"/>
          <w:lang w:val="en-US"/>
        </w:rPr>
        <w:t xml:space="preserve"> Toll-Like Receptor 4</w:t>
      </w:r>
    </w:p>
    <w:p w14:paraId="08976988"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TNFR1</w:t>
      </w:r>
      <w:r w:rsidRPr="006D00DB">
        <w:rPr>
          <w:rFonts w:eastAsia="Calibri"/>
          <w:lang w:val="en-US" w:bidi="ar-DZ"/>
        </w:rPr>
        <w:t xml:space="preserve">: Tumor Necrosis Factor Receptor 1  </w:t>
      </w:r>
    </w:p>
    <w:p w14:paraId="33B82E92"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TNFR2</w:t>
      </w:r>
      <w:r w:rsidRPr="006D00DB">
        <w:rPr>
          <w:rFonts w:eastAsia="Calibri"/>
          <w:lang w:val="en-US" w:bidi="ar-DZ"/>
        </w:rPr>
        <w:t>: Tumor Necrosis Factor Receptor 2</w:t>
      </w:r>
    </w:p>
    <w:p w14:paraId="3BDF584D" w14:textId="77777777" w:rsidR="006D00DB" w:rsidRPr="006D00DB" w:rsidRDefault="006D00DB" w:rsidP="006D00DB">
      <w:pPr>
        <w:spacing w:before="0" w:after="200" w:line="276" w:lineRule="auto"/>
        <w:jc w:val="left"/>
        <w:rPr>
          <w:rFonts w:eastAsia="Calibri"/>
          <w:lang w:val="en-US" w:bidi="ar-DZ"/>
        </w:rPr>
      </w:pPr>
      <w:r w:rsidRPr="006D00DB">
        <w:rPr>
          <w:rFonts w:eastAsia="Calibri"/>
          <w:b/>
          <w:bCs/>
          <w:lang w:val="en-US" w:bidi="ar-DZ"/>
        </w:rPr>
        <w:t>TNF-α</w:t>
      </w:r>
      <w:r w:rsidRPr="006D00DB">
        <w:rPr>
          <w:rFonts w:eastAsia="Calibri"/>
          <w:lang w:val="en-US" w:bidi="ar-DZ"/>
        </w:rPr>
        <w:t xml:space="preserve">: Tumor Necrosis Factor-alpha  </w:t>
      </w:r>
    </w:p>
    <w:p w14:paraId="024B63D5" w14:textId="77777777" w:rsidR="006D00DB" w:rsidRPr="006D00DB" w:rsidRDefault="006D00DB" w:rsidP="006D00DB">
      <w:pPr>
        <w:spacing w:before="0" w:after="200" w:line="276" w:lineRule="auto"/>
        <w:jc w:val="left"/>
        <w:rPr>
          <w:rFonts w:eastAsia="Calibri"/>
        </w:rPr>
      </w:pPr>
      <w:r w:rsidRPr="006D00DB">
        <w:rPr>
          <w:rFonts w:eastAsia="Calibri"/>
          <w:b/>
          <w:bCs/>
        </w:rPr>
        <w:t>VCAM-1</w:t>
      </w:r>
      <w:r w:rsidRPr="006D00DB">
        <w:rPr>
          <w:rFonts w:eastAsia="Calibri"/>
        </w:rPr>
        <w:t> : Vascular Cell Adhesion Protein 1</w:t>
      </w:r>
    </w:p>
    <w:p w14:paraId="21419E66" w14:textId="77777777" w:rsidR="006D00DB" w:rsidRPr="006D00DB" w:rsidRDefault="006D00DB" w:rsidP="006D00DB">
      <w:pPr>
        <w:spacing w:before="0" w:after="200" w:line="276" w:lineRule="auto"/>
        <w:jc w:val="left"/>
        <w:rPr>
          <w:rFonts w:eastAsia="Calibri"/>
          <w:lang w:bidi="ar-DZ"/>
        </w:rPr>
      </w:pPr>
      <w:r w:rsidRPr="006D00DB">
        <w:rPr>
          <w:rFonts w:eastAsia="Calibri"/>
          <w:b/>
          <w:bCs/>
          <w:lang w:bidi="ar-DZ"/>
        </w:rPr>
        <w:t>VHB</w:t>
      </w:r>
      <w:r w:rsidRPr="006D00DB">
        <w:rPr>
          <w:rFonts w:eastAsia="Calibri"/>
          <w:lang w:bidi="ar-DZ"/>
        </w:rPr>
        <w:t> : Virus Hépatite B</w:t>
      </w:r>
    </w:p>
    <w:p w14:paraId="6D66757D" w14:textId="77777777" w:rsidR="006D00DB" w:rsidRPr="006D00DB" w:rsidRDefault="006D00DB" w:rsidP="006D00DB">
      <w:pPr>
        <w:spacing w:before="0" w:after="200" w:line="276" w:lineRule="auto"/>
        <w:jc w:val="left"/>
        <w:rPr>
          <w:rFonts w:eastAsia="Calibri"/>
          <w:lang w:bidi="ar-DZ"/>
        </w:rPr>
      </w:pPr>
      <w:r w:rsidRPr="006D00DB">
        <w:rPr>
          <w:rFonts w:eastAsia="Calibri"/>
          <w:b/>
          <w:bCs/>
          <w:lang w:bidi="ar-DZ"/>
        </w:rPr>
        <w:t>VHC </w:t>
      </w:r>
      <w:r w:rsidRPr="006D00DB">
        <w:rPr>
          <w:rFonts w:eastAsia="Calibri"/>
          <w:lang w:bidi="ar-DZ"/>
        </w:rPr>
        <w:t xml:space="preserve">: Virus Hépatite C </w:t>
      </w:r>
    </w:p>
    <w:p w14:paraId="5F74FA64" w14:textId="4B4CF179" w:rsidR="00031F80" w:rsidRDefault="00031F80" w:rsidP="00031F80">
      <w:pPr>
        <w:rPr>
          <w:rFonts w:asciiTheme="majorBidi" w:hAnsiTheme="majorBidi" w:cstheme="majorBidi"/>
          <w:rtl/>
          <w:lang w:bidi="ar-DZ"/>
        </w:rPr>
      </w:pPr>
    </w:p>
    <w:p w14:paraId="2980D203" w14:textId="77777777" w:rsidR="00031F80" w:rsidRPr="00031F80" w:rsidRDefault="00031F80" w:rsidP="00031F80"/>
    <w:p w14:paraId="3923D461" w14:textId="77777777" w:rsidR="005D31BA" w:rsidRDefault="005D31BA">
      <w:pPr>
        <w:spacing w:before="0" w:after="160" w:line="259" w:lineRule="auto"/>
        <w:jc w:val="left"/>
        <w:rPr>
          <w:rFonts w:asciiTheme="majorBidi" w:eastAsiaTheme="majorEastAsia" w:hAnsiTheme="majorBidi" w:cstheme="majorBidi"/>
          <w:b/>
          <w:sz w:val="28"/>
          <w:szCs w:val="32"/>
        </w:rPr>
      </w:pPr>
      <w:r>
        <w:br w:type="page"/>
      </w:r>
    </w:p>
    <w:p w14:paraId="1F44E10C" w14:textId="77777777" w:rsidR="00AE648F" w:rsidRDefault="005D31BA" w:rsidP="00543FB7">
      <w:pPr>
        <w:pStyle w:val="Titre2"/>
        <w:numPr>
          <w:ilvl w:val="0"/>
          <w:numId w:val="0"/>
        </w:numPr>
        <w:rPr>
          <w:noProof/>
        </w:rPr>
      </w:pPr>
      <w:bookmarkStart w:id="11" w:name="_Toc157139406"/>
      <w:bookmarkStart w:id="12" w:name="_Toc157377856"/>
      <w:bookmarkStart w:id="13" w:name="_Toc167472732"/>
      <w:bookmarkStart w:id="14" w:name="_Toc168302210"/>
      <w:bookmarkStart w:id="15" w:name="_Toc170226652"/>
      <w:r w:rsidRPr="0014467F">
        <w:rPr>
          <w:sz w:val="32"/>
          <w:szCs w:val="32"/>
        </w:rPr>
        <w:lastRenderedPageBreak/>
        <w:t>Liste</w:t>
      </w:r>
      <w:r>
        <w:t xml:space="preserve"> </w:t>
      </w:r>
      <w:r w:rsidRPr="0014467F">
        <w:rPr>
          <w:sz w:val="32"/>
          <w:szCs w:val="32"/>
        </w:rPr>
        <w:t>des</w:t>
      </w:r>
      <w:r>
        <w:t xml:space="preserve"> </w:t>
      </w:r>
      <w:r w:rsidRPr="0014467F">
        <w:rPr>
          <w:sz w:val="32"/>
          <w:szCs w:val="32"/>
        </w:rPr>
        <w:t>figures</w:t>
      </w:r>
      <w:bookmarkEnd w:id="11"/>
      <w:bookmarkEnd w:id="12"/>
      <w:bookmarkEnd w:id="13"/>
      <w:bookmarkEnd w:id="14"/>
      <w:bookmarkEnd w:id="15"/>
      <w:r>
        <w:t xml:space="preserve"> </w:t>
      </w:r>
      <w:r w:rsidR="00543FB7">
        <w:fldChar w:fldCharType="begin"/>
      </w:r>
      <w:r w:rsidR="00543FB7">
        <w:instrText xml:space="preserve"> TOC \h \z \c "Figure" </w:instrText>
      </w:r>
      <w:r w:rsidR="00543FB7">
        <w:fldChar w:fldCharType="separate"/>
      </w:r>
    </w:p>
    <w:p w14:paraId="307A4BD2" w14:textId="18A04C7D" w:rsidR="00AE648F" w:rsidRDefault="00D15EAC" w:rsidP="00E90E64">
      <w:pPr>
        <w:pStyle w:val="Tabledesillustrations"/>
        <w:tabs>
          <w:tab w:val="right" w:leader="dot" w:pos="9344"/>
        </w:tabs>
        <w:rPr>
          <w:rFonts w:asciiTheme="minorHAnsi" w:eastAsiaTheme="minorEastAsia" w:hAnsiTheme="minorHAnsi" w:cstheme="minorBidi"/>
          <w:noProof/>
          <w:sz w:val="22"/>
          <w:szCs w:val="22"/>
          <w:lang w:eastAsia="fr-FR"/>
        </w:rPr>
      </w:pPr>
      <w:hyperlink w:anchor="_Toc167308108" w:history="1">
        <w:r w:rsidR="00AE648F" w:rsidRPr="003618E5">
          <w:rPr>
            <w:rStyle w:val="Lienhypertexte"/>
            <w:b/>
            <w:bCs/>
            <w:noProof/>
          </w:rPr>
          <w:t>Figure 1.</w:t>
        </w:r>
        <w:r w:rsidR="00AE648F" w:rsidRPr="003618E5">
          <w:rPr>
            <w:rStyle w:val="Lienhypertexte"/>
            <w:noProof/>
          </w:rPr>
          <w:t xml:space="preserve"> Distribution du tissu adipeux brun et blanc dans le corps humain</w:t>
        </w:r>
        <w:r w:rsidR="00AE648F" w:rsidRPr="003618E5">
          <w:rPr>
            <w:rStyle w:val="Lienhypertexte"/>
            <w:noProof/>
            <w:lang w:eastAsia="fr-FR"/>
          </w:rPr>
          <w:t>e</w:t>
        </w:r>
        <w:r w:rsidR="00E90E64">
          <w:rPr>
            <w:rStyle w:val="Lienhypertexte"/>
            <w:bCs/>
            <w:noProof/>
            <w:lang w:eastAsia="fr-FR"/>
          </w:rPr>
          <w:t>…………………...</w:t>
        </w:r>
      </w:hyperlink>
      <w:r w:rsidR="00E90E64">
        <w:rPr>
          <w:noProof/>
        </w:rPr>
        <w:t>5</w:t>
      </w:r>
      <w:r w:rsidR="00E90E64">
        <w:rPr>
          <w:rFonts w:asciiTheme="minorHAnsi" w:eastAsiaTheme="minorEastAsia" w:hAnsiTheme="minorHAnsi" w:cstheme="minorBidi"/>
          <w:noProof/>
          <w:sz w:val="22"/>
          <w:szCs w:val="22"/>
          <w:lang w:eastAsia="fr-FR"/>
        </w:rPr>
        <w:t xml:space="preserve"> </w:t>
      </w:r>
    </w:p>
    <w:p w14:paraId="5EBB958C" w14:textId="6F5121E7" w:rsidR="00AE648F" w:rsidRDefault="00D15EAC" w:rsidP="00D82675">
      <w:pPr>
        <w:pStyle w:val="Tabledesillustrations"/>
        <w:tabs>
          <w:tab w:val="right" w:leader="dot" w:pos="9344"/>
        </w:tabs>
        <w:rPr>
          <w:rFonts w:asciiTheme="minorHAnsi" w:eastAsiaTheme="minorEastAsia" w:hAnsiTheme="minorHAnsi" w:cstheme="minorBidi"/>
          <w:noProof/>
          <w:sz w:val="22"/>
          <w:szCs w:val="22"/>
          <w:lang w:eastAsia="fr-FR"/>
        </w:rPr>
      </w:pPr>
      <w:hyperlink w:anchor="_Toc167308109" w:history="1">
        <w:r w:rsidR="00AE648F" w:rsidRPr="003618E5">
          <w:rPr>
            <w:rStyle w:val="Lienhypertexte"/>
            <w:b/>
            <w:bCs/>
            <w:noProof/>
          </w:rPr>
          <w:t>Figure 2.</w:t>
        </w:r>
        <w:r w:rsidR="00AE648F" w:rsidRPr="003618E5">
          <w:rPr>
            <w:rStyle w:val="Lienhypertexte"/>
            <w:noProof/>
          </w:rPr>
          <w:t xml:space="preserve"> Morphologie d'un adipocyte.</w:t>
        </w:r>
        <w:r w:rsidR="00AE648F">
          <w:rPr>
            <w:noProof/>
            <w:webHidden/>
          </w:rPr>
          <w:tab/>
        </w:r>
        <w:r w:rsidR="00AE648F">
          <w:rPr>
            <w:noProof/>
            <w:webHidden/>
          </w:rPr>
          <w:fldChar w:fldCharType="begin"/>
        </w:r>
        <w:r w:rsidR="00AE648F">
          <w:rPr>
            <w:noProof/>
            <w:webHidden/>
          </w:rPr>
          <w:instrText xml:space="preserve"> PAGEREF _Toc167308109 \h </w:instrText>
        </w:r>
        <w:r w:rsidR="00AE648F">
          <w:rPr>
            <w:noProof/>
            <w:webHidden/>
          </w:rPr>
        </w:r>
        <w:r w:rsidR="00AE648F">
          <w:rPr>
            <w:noProof/>
            <w:webHidden/>
          </w:rPr>
          <w:fldChar w:fldCharType="separate"/>
        </w:r>
        <w:r w:rsidR="00B5205A">
          <w:rPr>
            <w:noProof/>
            <w:webHidden/>
          </w:rPr>
          <w:t>6</w:t>
        </w:r>
        <w:r w:rsidR="00AE648F">
          <w:rPr>
            <w:noProof/>
            <w:webHidden/>
          </w:rPr>
          <w:fldChar w:fldCharType="end"/>
        </w:r>
      </w:hyperlink>
    </w:p>
    <w:p w14:paraId="5D650907" w14:textId="1F7D4D4C" w:rsidR="00AE648F" w:rsidRDefault="00D15EAC">
      <w:pPr>
        <w:pStyle w:val="Tabledesillustrations"/>
        <w:tabs>
          <w:tab w:val="right" w:leader="dot" w:pos="9344"/>
        </w:tabs>
        <w:rPr>
          <w:rFonts w:asciiTheme="minorHAnsi" w:eastAsiaTheme="minorEastAsia" w:hAnsiTheme="minorHAnsi" w:cstheme="minorBidi"/>
          <w:noProof/>
          <w:sz w:val="22"/>
          <w:szCs w:val="22"/>
          <w:lang w:eastAsia="fr-FR"/>
        </w:rPr>
      </w:pPr>
      <w:hyperlink w:anchor="_Toc167308110" w:history="1">
        <w:r w:rsidR="00AE648F" w:rsidRPr="003618E5">
          <w:rPr>
            <w:rStyle w:val="Lienhypertexte"/>
            <w:b/>
            <w:bCs/>
            <w:noProof/>
          </w:rPr>
          <w:t>Figure 3.</w:t>
        </w:r>
        <w:r w:rsidR="00AE648F" w:rsidRPr="003618E5">
          <w:rPr>
            <w:rStyle w:val="Lienhypertexte"/>
            <w:noProof/>
          </w:rPr>
          <w:t xml:space="preserve"> Activité endocrine du tissu adip</w:t>
        </w:r>
        <w:r w:rsidR="00D82675">
          <w:rPr>
            <w:rStyle w:val="Lienhypertexte"/>
            <w:noProof/>
          </w:rPr>
          <w:t>eux</w:t>
        </w:r>
        <w:r w:rsidR="00AE648F" w:rsidRPr="003618E5">
          <w:rPr>
            <w:rStyle w:val="Lienhypertexte"/>
            <w:noProof/>
          </w:rPr>
          <w:t>.</w:t>
        </w:r>
        <w:r w:rsidR="00AE648F">
          <w:rPr>
            <w:noProof/>
            <w:webHidden/>
          </w:rPr>
          <w:tab/>
        </w:r>
        <w:r w:rsidR="00AE648F">
          <w:rPr>
            <w:noProof/>
            <w:webHidden/>
          </w:rPr>
          <w:fldChar w:fldCharType="begin"/>
        </w:r>
        <w:r w:rsidR="00AE648F">
          <w:rPr>
            <w:noProof/>
            <w:webHidden/>
          </w:rPr>
          <w:instrText xml:space="preserve"> PAGEREF _Toc167308110 \h </w:instrText>
        </w:r>
        <w:r w:rsidR="00AE648F">
          <w:rPr>
            <w:noProof/>
            <w:webHidden/>
          </w:rPr>
        </w:r>
        <w:r w:rsidR="00AE648F">
          <w:rPr>
            <w:noProof/>
            <w:webHidden/>
          </w:rPr>
          <w:fldChar w:fldCharType="separate"/>
        </w:r>
        <w:r w:rsidR="00B5205A">
          <w:rPr>
            <w:noProof/>
            <w:webHidden/>
          </w:rPr>
          <w:t>7</w:t>
        </w:r>
        <w:r w:rsidR="00AE648F">
          <w:rPr>
            <w:noProof/>
            <w:webHidden/>
          </w:rPr>
          <w:fldChar w:fldCharType="end"/>
        </w:r>
      </w:hyperlink>
    </w:p>
    <w:p w14:paraId="08184456" w14:textId="250B2F55" w:rsidR="00AE648F" w:rsidRDefault="00D15EAC" w:rsidP="00D82675">
      <w:pPr>
        <w:pStyle w:val="Tabledesillustrations"/>
        <w:tabs>
          <w:tab w:val="right" w:leader="dot" w:pos="9344"/>
        </w:tabs>
        <w:rPr>
          <w:rFonts w:asciiTheme="minorHAnsi" w:eastAsiaTheme="minorEastAsia" w:hAnsiTheme="minorHAnsi" w:cstheme="minorBidi"/>
          <w:noProof/>
          <w:sz w:val="22"/>
          <w:szCs w:val="22"/>
          <w:lang w:eastAsia="fr-FR"/>
        </w:rPr>
      </w:pPr>
      <w:hyperlink w:anchor="_Toc167308111" w:history="1">
        <w:r w:rsidR="00AE648F" w:rsidRPr="003618E5">
          <w:rPr>
            <w:rStyle w:val="Lienhypertexte"/>
            <w:b/>
            <w:bCs/>
            <w:noProof/>
          </w:rPr>
          <w:t>Figure 4.</w:t>
        </w:r>
        <w:r w:rsidR="00AE648F" w:rsidRPr="003618E5">
          <w:rPr>
            <w:rStyle w:val="Lienhypertexte"/>
            <w:noProof/>
          </w:rPr>
          <w:t xml:space="preserve"> Adiponectine et ses récepteurs et représentation schématique de la voie de signalisation induite par  l'adiponectine.</w:t>
        </w:r>
        <w:r w:rsidR="00AE648F">
          <w:rPr>
            <w:noProof/>
            <w:webHidden/>
          </w:rPr>
          <w:tab/>
        </w:r>
        <w:r w:rsidR="00AE648F">
          <w:rPr>
            <w:noProof/>
            <w:webHidden/>
          </w:rPr>
          <w:fldChar w:fldCharType="begin"/>
        </w:r>
        <w:r w:rsidR="00AE648F">
          <w:rPr>
            <w:noProof/>
            <w:webHidden/>
          </w:rPr>
          <w:instrText xml:space="preserve"> PAGEREF _Toc167308111 \h </w:instrText>
        </w:r>
        <w:r w:rsidR="00AE648F">
          <w:rPr>
            <w:noProof/>
            <w:webHidden/>
          </w:rPr>
        </w:r>
        <w:r w:rsidR="00AE648F">
          <w:rPr>
            <w:noProof/>
            <w:webHidden/>
          </w:rPr>
          <w:fldChar w:fldCharType="separate"/>
        </w:r>
        <w:r w:rsidR="00B5205A">
          <w:rPr>
            <w:noProof/>
            <w:webHidden/>
          </w:rPr>
          <w:t>9</w:t>
        </w:r>
        <w:r w:rsidR="00AE648F">
          <w:rPr>
            <w:noProof/>
            <w:webHidden/>
          </w:rPr>
          <w:fldChar w:fldCharType="end"/>
        </w:r>
      </w:hyperlink>
    </w:p>
    <w:p w14:paraId="26025536" w14:textId="3B941B88" w:rsidR="00AE648F" w:rsidRDefault="00D15EAC" w:rsidP="00D82675">
      <w:pPr>
        <w:pStyle w:val="Tabledesillustrations"/>
        <w:tabs>
          <w:tab w:val="right" w:leader="dot" w:pos="9344"/>
        </w:tabs>
        <w:rPr>
          <w:rFonts w:asciiTheme="minorHAnsi" w:eastAsiaTheme="minorEastAsia" w:hAnsiTheme="minorHAnsi" w:cstheme="minorBidi"/>
          <w:noProof/>
          <w:sz w:val="22"/>
          <w:szCs w:val="22"/>
          <w:lang w:eastAsia="fr-FR"/>
        </w:rPr>
      </w:pPr>
      <w:hyperlink w:anchor="_Toc167308112" w:history="1">
        <w:r w:rsidR="00AE648F" w:rsidRPr="003618E5">
          <w:rPr>
            <w:rStyle w:val="Lienhypertexte"/>
            <w:b/>
            <w:bCs/>
            <w:noProof/>
          </w:rPr>
          <w:t>Figure 5.</w:t>
        </w:r>
        <w:r w:rsidR="00AE648F" w:rsidRPr="003618E5">
          <w:rPr>
            <w:rStyle w:val="Lienhypertexte"/>
            <w:noProof/>
          </w:rPr>
          <w:t xml:space="preserve"> La structure de leptine</w:t>
        </w:r>
        <w:r w:rsidR="00AE648F">
          <w:rPr>
            <w:noProof/>
            <w:webHidden/>
          </w:rPr>
          <w:tab/>
        </w:r>
        <w:r w:rsidR="00AE648F">
          <w:rPr>
            <w:noProof/>
            <w:webHidden/>
          </w:rPr>
          <w:fldChar w:fldCharType="begin"/>
        </w:r>
        <w:r w:rsidR="00AE648F">
          <w:rPr>
            <w:noProof/>
            <w:webHidden/>
          </w:rPr>
          <w:instrText xml:space="preserve"> PAGEREF _Toc167308112 \h </w:instrText>
        </w:r>
        <w:r w:rsidR="00AE648F">
          <w:rPr>
            <w:noProof/>
            <w:webHidden/>
          </w:rPr>
        </w:r>
        <w:r w:rsidR="00AE648F">
          <w:rPr>
            <w:noProof/>
            <w:webHidden/>
          </w:rPr>
          <w:fldChar w:fldCharType="separate"/>
        </w:r>
        <w:r w:rsidR="00B5205A">
          <w:rPr>
            <w:noProof/>
            <w:webHidden/>
          </w:rPr>
          <w:t>12</w:t>
        </w:r>
        <w:r w:rsidR="00AE648F">
          <w:rPr>
            <w:noProof/>
            <w:webHidden/>
          </w:rPr>
          <w:fldChar w:fldCharType="end"/>
        </w:r>
      </w:hyperlink>
    </w:p>
    <w:p w14:paraId="428BB469" w14:textId="008AC3F5" w:rsidR="00AE648F" w:rsidRDefault="00D15EAC" w:rsidP="00D82675">
      <w:pPr>
        <w:pStyle w:val="Tabledesillustrations"/>
        <w:tabs>
          <w:tab w:val="right" w:leader="dot" w:pos="9344"/>
        </w:tabs>
        <w:rPr>
          <w:rFonts w:asciiTheme="minorHAnsi" w:eastAsiaTheme="minorEastAsia" w:hAnsiTheme="minorHAnsi" w:cstheme="minorBidi"/>
          <w:noProof/>
          <w:sz w:val="22"/>
          <w:szCs w:val="22"/>
          <w:lang w:eastAsia="fr-FR"/>
        </w:rPr>
      </w:pPr>
      <w:hyperlink w:anchor="_Toc167308113" w:history="1">
        <w:r w:rsidR="00AE648F" w:rsidRPr="003618E5">
          <w:rPr>
            <w:rStyle w:val="Lienhypertexte"/>
            <w:b/>
            <w:bCs/>
            <w:noProof/>
          </w:rPr>
          <w:t>Figure 6.</w:t>
        </w:r>
        <w:r w:rsidR="00AE648F" w:rsidRPr="003618E5">
          <w:rPr>
            <w:rStyle w:val="Lienhypertexte"/>
            <w:noProof/>
          </w:rPr>
          <w:t xml:space="preserve"> Représentation globale d'actions de la leptine.</w:t>
        </w:r>
        <w:r w:rsidR="00AE648F">
          <w:rPr>
            <w:noProof/>
            <w:webHidden/>
          </w:rPr>
          <w:tab/>
        </w:r>
        <w:r w:rsidR="00AE648F">
          <w:rPr>
            <w:noProof/>
            <w:webHidden/>
          </w:rPr>
          <w:fldChar w:fldCharType="begin"/>
        </w:r>
        <w:r w:rsidR="00AE648F">
          <w:rPr>
            <w:noProof/>
            <w:webHidden/>
          </w:rPr>
          <w:instrText xml:space="preserve"> PAGEREF _Toc167308113 \h </w:instrText>
        </w:r>
        <w:r w:rsidR="00AE648F">
          <w:rPr>
            <w:noProof/>
            <w:webHidden/>
          </w:rPr>
        </w:r>
        <w:r w:rsidR="00AE648F">
          <w:rPr>
            <w:noProof/>
            <w:webHidden/>
          </w:rPr>
          <w:fldChar w:fldCharType="separate"/>
        </w:r>
        <w:r w:rsidR="00B5205A">
          <w:rPr>
            <w:noProof/>
            <w:webHidden/>
          </w:rPr>
          <w:t>13</w:t>
        </w:r>
        <w:r w:rsidR="00AE648F">
          <w:rPr>
            <w:noProof/>
            <w:webHidden/>
          </w:rPr>
          <w:fldChar w:fldCharType="end"/>
        </w:r>
      </w:hyperlink>
    </w:p>
    <w:p w14:paraId="0494F80A" w14:textId="708F1303" w:rsidR="00AE648F" w:rsidRDefault="00D15EAC" w:rsidP="00D82675">
      <w:pPr>
        <w:pStyle w:val="Tabledesillustrations"/>
        <w:tabs>
          <w:tab w:val="right" w:leader="dot" w:pos="9344"/>
        </w:tabs>
        <w:rPr>
          <w:rFonts w:asciiTheme="minorHAnsi" w:eastAsiaTheme="minorEastAsia" w:hAnsiTheme="minorHAnsi" w:cstheme="minorBidi"/>
          <w:noProof/>
          <w:sz w:val="22"/>
          <w:szCs w:val="22"/>
          <w:lang w:eastAsia="fr-FR"/>
        </w:rPr>
      </w:pPr>
      <w:hyperlink w:anchor="_Toc167308114" w:history="1">
        <w:r w:rsidR="00AE648F" w:rsidRPr="003618E5">
          <w:rPr>
            <w:rStyle w:val="Lienhypertexte"/>
            <w:b/>
            <w:bCs/>
            <w:noProof/>
          </w:rPr>
          <w:t>Figure 7</w:t>
        </w:r>
        <w:r w:rsidR="00AE648F" w:rsidRPr="003618E5">
          <w:rPr>
            <w:rStyle w:val="Lienhypertexte"/>
            <w:noProof/>
          </w:rPr>
          <w:t>. Régulation de la visfatine chez  les individus normaux, en bonne santé</w:t>
        </w:r>
        <w:r w:rsidR="00AE648F">
          <w:rPr>
            <w:noProof/>
            <w:webHidden/>
          </w:rPr>
          <w:tab/>
        </w:r>
        <w:r w:rsidR="00AE648F">
          <w:rPr>
            <w:noProof/>
            <w:webHidden/>
          </w:rPr>
          <w:fldChar w:fldCharType="begin"/>
        </w:r>
        <w:r w:rsidR="00AE648F">
          <w:rPr>
            <w:noProof/>
            <w:webHidden/>
          </w:rPr>
          <w:instrText xml:space="preserve"> PAGEREF _Toc167308114 \h </w:instrText>
        </w:r>
        <w:r w:rsidR="00AE648F">
          <w:rPr>
            <w:noProof/>
            <w:webHidden/>
          </w:rPr>
        </w:r>
        <w:r w:rsidR="00AE648F">
          <w:rPr>
            <w:noProof/>
            <w:webHidden/>
          </w:rPr>
          <w:fldChar w:fldCharType="separate"/>
        </w:r>
        <w:r w:rsidR="00B5205A">
          <w:rPr>
            <w:noProof/>
            <w:webHidden/>
          </w:rPr>
          <w:t>14</w:t>
        </w:r>
        <w:r w:rsidR="00AE648F">
          <w:rPr>
            <w:noProof/>
            <w:webHidden/>
          </w:rPr>
          <w:fldChar w:fldCharType="end"/>
        </w:r>
      </w:hyperlink>
    </w:p>
    <w:p w14:paraId="61FC4D94" w14:textId="167E6593" w:rsidR="00AE648F" w:rsidRDefault="00D15EAC" w:rsidP="00D82675">
      <w:pPr>
        <w:pStyle w:val="Tabledesillustrations"/>
        <w:tabs>
          <w:tab w:val="right" w:leader="dot" w:pos="9344"/>
        </w:tabs>
        <w:rPr>
          <w:rFonts w:asciiTheme="minorHAnsi" w:eastAsiaTheme="minorEastAsia" w:hAnsiTheme="minorHAnsi" w:cstheme="minorBidi"/>
          <w:noProof/>
          <w:sz w:val="22"/>
          <w:szCs w:val="22"/>
          <w:lang w:eastAsia="fr-FR"/>
        </w:rPr>
      </w:pPr>
      <w:hyperlink w:anchor="_Toc167308115" w:history="1">
        <w:r w:rsidR="00AE648F" w:rsidRPr="003618E5">
          <w:rPr>
            <w:rStyle w:val="Lienhypertexte"/>
            <w:b/>
            <w:bCs/>
            <w:noProof/>
          </w:rPr>
          <w:t>Figure 8</w:t>
        </w:r>
        <w:r w:rsidR="00AE648F" w:rsidRPr="003618E5">
          <w:rPr>
            <w:rStyle w:val="Lienhypertexte"/>
            <w:i/>
            <w:iCs/>
            <w:noProof/>
          </w:rPr>
          <w:t xml:space="preserve">. </w:t>
        </w:r>
        <w:r w:rsidR="00AE648F" w:rsidRPr="003618E5">
          <w:rPr>
            <w:rStyle w:val="Lienhypertexte"/>
            <w:noProof/>
          </w:rPr>
          <w:t>La structure de TNF alpha "les récepteurs et la protéine 2L de poxivirus se lient au même site.</w:t>
        </w:r>
        <w:r w:rsidR="00AE648F">
          <w:rPr>
            <w:noProof/>
            <w:webHidden/>
          </w:rPr>
          <w:tab/>
        </w:r>
        <w:r w:rsidR="00AE648F">
          <w:rPr>
            <w:noProof/>
            <w:webHidden/>
          </w:rPr>
          <w:fldChar w:fldCharType="begin"/>
        </w:r>
        <w:r w:rsidR="00AE648F">
          <w:rPr>
            <w:noProof/>
            <w:webHidden/>
          </w:rPr>
          <w:instrText xml:space="preserve"> PAGEREF _Toc167308115 \h </w:instrText>
        </w:r>
        <w:r w:rsidR="00AE648F">
          <w:rPr>
            <w:noProof/>
            <w:webHidden/>
          </w:rPr>
        </w:r>
        <w:r w:rsidR="00AE648F">
          <w:rPr>
            <w:noProof/>
            <w:webHidden/>
          </w:rPr>
          <w:fldChar w:fldCharType="separate"/>
        </w:r>
        <w:r w:rsidR="00B5205A">
          <w:rPr>
            <w:noProof/>
            <w:webHidden/>
          </w:rPr>
          <w:t>16</w:t>
        </w:r>
        <w:r w:rsidR="00AE648F">
          <w:rPr>
            <w:noProof/>
            <w:webHidden/>
          </w:rPr>
          <w:fldChar w:fldCharType="end"/>
        </w:r>
      </w:hyperlink>
    </w:p>
    <w:p w14:paraId="27391E94" w14:textId="1DB54645" w:rsidR="00AE648F" w:rsidRDefault="00D15EAC">
      <w:pPr>
        <w:pStyle w:val="Tabledesillustrations"/>
        <w:tabs>
          <w:tab w:val="right" w:leader="dot" w:pos="9344"/>
        </w:tabs>
        <w:rPr>
          <w:rFonts w:asciiTheme="minorHAnsi" w:eastAsiaTheme="minorEastAsia" w:hAnsiTheme="minorHAnsi" w:cstheme="minorBidi"/>
          <w:noProof/>
          <w:sz w:val="22"/>
          <w:szCs w:val="22"/>
          <w:lang w:eastAsia="fr-FR"/>
        </w:rPr>
      </w:pPr>
      <w:hyperlink w:anchor="_Toc167308116" w:history="1">
        <w:r w:rsidR="00AE648F" w:rsidRPr="003618E5">
          <w:rPr>
            <w:rStyle w:val="Lienhypertexte"/>
            <w:b/>
            <w:bCs/>
            <w:noProof/>
          </w:rPr>
          <w:t>Figure 9.</w:t>
        </w:r>
        <w:r w:rsidR="00AE648F" w:rsidRPr="003618E5">
          <w:rPr>
            <w:rStyle w:val="Lienhypertexte"/>
            <w:noProof/>
          </w:rPr>
          <w:t xml:space="preserve"> La structure da la ch</w:t>
        </w:r>
        <w:r w:rsidR="00D82675">
          <w:rPr>
            <w:rStyle w:val="Lienhypertexte"/>
            <w:noProof/>
          </w:rPr>
          <w:t>émerine humain</w:t>
        </w:r>
        <w:r w:rsidR="00AE648F" w:rsidRPr="003618E5">
          <w:rPr>
            <w:rStyle w:val="Lienhypertexte"/>
            <w:noProof/>
          </w:rPr>
          <w:t>.</w:t>
        </w:r>
        <w:r w:rsidR="00AE648F">
          <w:rPr>
            <w:noProof/>
            <w:webHidden/>
          </w:rPr>
          <w:tab/>
        </w:r>
        <w:r w:rsidR="00AE648F">
          <w:rPr>
            <w:noProof/>
            <w:webHidden/>
          </w:rPr>
          <w:fldChar w:fldCharType="begin"/>
        </w:r>
        <w:r w:rsidR="00AE648F">
          <w:rPr>
            <w:noProof/>
            <w:webHidden/>
          </w:rPr>
          <w:instrText xml:space="preserve"> PAGEREF _Toc167308116 \h </w:instrText>
        </w:r>
        <w:r w:rsidR="00AE648F">
          <w:rPr>
            <w:noProof/>
            <w:webHidden/>
          </w:rPr>
        </w:r>
        <w:r w:rsidR="00AE648F">
          <w:rPr>
            <w:noProof/>
            <w:webHidden/>
          </w:rPr>
          <w:fldChar w:fldCharType="separate"/>
        </w:r>
        <w:r w:rsidR="00B5205A">
          <w:rPr>
            <w:noProof/>
            <w:webHidden/>
          </w:rPr>
          <w:t>17</w:t>
        </w:r>
        <w:r w:rsidR="00AE648F">
          <w:rPr>
            <w:noProof/>
            <w:webHidden/>
          </w:rPr>
          <w:fldChar w:fldCharType="end"/>
        </w:r>
      </w:hyperlink>
    </w:p>
    <w:p w14:paraId="5556D840" w14:textId="4E55868E" w:rsidR="00AE648F" w:rsidRDefault="00D15EAC" w:rsidP="00D82675">
      <w:pPr>
        <w:pStyle w:val="Tabledesillustrations"/>
        <w:tabs>
          <w:tab w:val="right" w:leader="dot" w:pos="9344"/>
        </w:tabs>
        <w:rPr>
          <w:rFonts w:asciiTheme="minorHAnsi" w:eastAsiaTheme="minorEastAsia" w:hAnsiTheme="minorHAnsi" w:cstheme="minorBidi"/>
          <w:noProof/>
          <w:sz w:val="22"/>
          <w:szCs w:val="22"/>
          <w:lang w:eastAsia="fr-FR"/>
        </w:rPr>
      </w:pPr>
      <w:hyperlink w:anchor="_Toc167308117" w:history="1">
        <w:r w:rsidR="00AE648F" w:rsidRPr="003618E5">
          <w:rPr>
            <w:rStyle w:val="Lienhypertexte"/>
            <w:b/>
            <w:bCs/>
            <w:noProof/>
          </w:rPr>
          <w:t>Figure 10.</w:t>
        </w:r>
        <w:r w:rsidR="00AE648F" w:rsidRPr="003618E5">
          <w:rPr>
            <w:rStyle w:val="Lienhypertexte"/>
            <w:noProof/>
          </w:rPr>
          <w:t xml:space="preserve"> La structure et fomes spécifiques de résistine humain.</w:t>
        </w:r>
        <w:r w:rsidR="00AE648F">
          <w:rPr>
            <w:noProof/>
            <w:webHidden/>
          </w:rPr>
          <w:tab/>
        </w:r>
        <w:r w:rsidR="00AE648F">
          <w:rPr>
            <w:noProof/>
            <w:webHidden/>
          </w:rPr>
          <w:fldChar w:fldCharType="begin"/>
        </w:r>
        <w:r w:rsidR="00AE648F">
          <w:rPr>
            <w:noProof/>
            <w:webHidden/>
          </w:rPr>
          <w:instrText xml:space="preserve"> PAGEREF _Toc167308117 \h </w:instrText>
        </w:r>
        <w:r w:rsidR="00AE648F">
          <w:rPr>
            <w:noProof/>
            <w:webHidden/>
          </w:rPr>
        </w:r>
        <w:r w:rsidR="00AE648F">
          <w:rPr>
            <w:noProof/>
            <w:webHidden/>
          </w:rPr>
          <w:fldChar w:fldCharType="separate"/>
        </w:r>
        <w:r w:rsidR="00B5205A">
          <w:rPr>
            <w:noProof/>
            <w:webHidden/>
          </w:rPr>
          <w:t>19</w:t>
        </w:r>
        <w:r w:rsidR="00AE648F">
          <w:rPr>
            <w:noProof/>
            <w:webHidden/>
          </w:rPr>
          <w:fldChar w:fldCharType="end"/>
        </w:r>
      </w:hyperlink>
    </w:p>
    <w:p w14:paraId="7FB2E9D6" w14:textId="580617EE" w:rsidR="00AE648F" w:rsidRDefault="00D15EAC" w:rsidP="008351AA">
      <w:pPr>
        <w:pStyle w:val="Tabledesillustrations"/>
        <w:tabs>
          <w:tab w:val="right" w:leader="dot" w:pos="9344"/>
        </w:tabs>
        <w:rPr>
          <w:rFonts w:asciiTheme="minorHAnsi" w:eastAsiaTheme="minorEastAsia" w:hAnsiTheme="minorHAnsi" w:cstheme="minorBidi"/>
          <w:noProof/>
          <w:sz w:val="22"/>
          <w:szCs w:val="22"/>
          <w:lang w:eastAsia="fr-FR"/>
        </w:rPr>
      </w:pPr>
      <w:hyperlink w:anchor="_Toc167308118" w:history="1">
        <w:r w:rsidR="00AE648F" w:rsidRPr="003618E5">
          <w:rPr>
            <w:rStyle w:val="Lienhypertexte"/>
            <w:b/>
            <w:bCs/>
            <w:noProof/>
          </w:rPr>
          <w:t>Figure 11.</w:t>
        </w:r>
        <w:r w:rsidR="00AE648F" w:rsidRPr="003618E5">
          <w:rPr>
            <w:rStyle w:val="Lienhypertexte"/>
            <w:noProof/>
          </w:rPr>
          <w:t xml:space="preserve"> Le tissu adipeux sécrète plusieurs molécules de type hormonel applée adipokines.</w:t>
        </w:r>
        <w:r w:rsidR="00AE648F">
          <w:rPr>
            <w:noProof/>
            <w:webHidden/>
          </w:rPr>
          <w:tab/>
        </w:r>
        <w:r w:rsidR="004E134E">
          <w:rPr>
            <w:noProof/>
            <w:webHidden/>
          </w:rPr>
          <w:t>25</w:t>
        </w:r>
      </w:hyperlink>
    </w:p>
    <w:p w14:paraId="0DC1A7BD" w14:textId="67F55A88" w:rsidR="00AE648F" w:rsidRDefault="00D15EAC">
      <w:pPr>
        <w:pStyle w:val="Tabledesillustrations"/>
        <w:tabs>
          <w:tab w:val="right" w:leader="dot" w:pos="9344"/>
        </w:tabs>
        <w:rPr>
          <w:rFonts w:asciiTheme="minorHAnsi" w:eastAsiaTheme="minorEastAsia" w:hAnsiTheme="minorHAnsi" w:cstheme="minorBidi"/>
          <w:noProof/>
          <w:sz w:val="22"/>
          <w:szCs w:val="22"/>
          <w:lang w:eastAsia="fr-FR"/>
        </w:rPr>
      </w:pPr>
      <w:hyperlink w:anchor="_Toc167308119" w:history="1">
        <w:r w:rsidR="00AE648F" w:rsidRPr="003618E5">
          <w:rPr>
            <w:rStyle w:val="Lienhypertexte"/>
            <w:b/>
            <w:bCs/>
            <w:noProof/>
          </w:rPr>
          <w:t>Figure 12</w:t>
        </w:r>
        <w:r w:rsidR="00AE648F" w:rsidRPr="003618E5">
          <w:rPr>
            <w:rStyle w:val="Lienhypertexte"/>
            <w:noProof/>
          </w:rPr>
          <w:t>. Effets des composés alimentaires bioactifs sur la résistance à la leptine associée à l'obés</w:t>
        </w:r>
        <w:r w:rsidR="0074055A">
          <w:rPr>
            <w:rStyle w:val="Lienhypertexte"/>
            <w:noProof/>
          </w:rPr>
          <w:t>ite et DG</w:t>
        </w:r>
        <w:r w:rsidR="00AE648F" w:rsidRPr="003618E5">
          <w:rPr>
            <w:rStyle w:val="Lienhypertexte"/>
            <w:noProof/>
          </w:rPr>
          <w:t>.</w:t>
        </w:r>
        <w:r w:rsidR="00AE648F">
          <w:rPr>
            <w:noProof/>
            <w:webHidden/>
          </w:rPr>
          <w:tab/>
        </w:r>
        <w:r w:rsidR="00AE648F">
          <w:rPr>
            <w:noProof/>
            <w:webHidden/>
          </w:rPr>
          <w:fldChar w:fldCharType="begin"/>
        </w:r>
        <w:r w:rsidR="00AE648F">
          <w:rPr>
            <w:noProof/>
            <w:webHidden/>
          </w:rPr>
          <w:instrText xml:space="preserve"> PAGEREF _Toc167308119 \h </w:instrText>
        </w:r>
        <w:r w:rsidR="00AE648F">
          <w:rPr>
            <w:noProof/>
            <w:webHidden/>
          </w:rPr>
        </w:r>
        <w:r w:rsidR="00AE648F">
          <w:rPr>
            <w:noProof/>
            <w:webHidden/>
          </w:rPr>
          <w:fldChar w:fldCharType="separate"/>
        </w:r>
        <w:r w:rsidR="00B5205A">
          <w:rPr>
            <w:noProof/>
            <w:webHidden/>
          </w:rPr>
          <w:t>25</w:t>
        </w:r>
        <w:r w:rsidR="00AE648F">
          <w:rPr>
            <w:noProof/>
            <w:webHidden/>
          </w:rPr>
          <w:fldChar w:fldCharType="end"/>
        </w:r>
      </w:hyperlink>
    </w:p>
    <w:p w14:paraId="594CADD6" w14:textId="1943A247" w:rsidR="00AE648F" w:rsidRDefault="00D15EAC">
      <w:pPr>
        <w:pStyle w:val="Tabledesillustrations"/>
        <w:tabs>
          <w:tab w:val="right" w:leader="dot" w:pos="9344"/>
        </w:tabs>
        <w:rPr>
          <w:rFonts w:asciiTheme="minorHAnsi" w:eastAsiaTheme="minorEastAsia" w:hAnsiTheme="minorHAnsi" w:cstheme="minorBidi"/>
          <w:noProof/>
          <w:sz w:val="22"/>
          <w:szCs w:val="22"/>
          <w:lang w:eastAsia="fr-FR"/>
        </w:rPr>
      </w:pPr>
      <w:hyperlink w:anchor="_Toc167308120" w:history="1">
        <w:r w:rsidR="00AE648F" w:rsidRPr="003618E5">
          <w:rPr>
            <w:rStyle w:val="Lienhypertexte"/>
            <w:b/>
            <w:bCs/>
            <w:noProof/>
          </w:rPr>
          <w:t>Figure 13.</w:t>
        </w:r>
        <w:r w:rsidR="00AE648F" w:rsidRPr="003618E5">
          <w:rPr>
            <w:rStyle w:val="Lienhypertexte"/>
            <w:noProof/>
          </w:rPr>
          <w:t xml:space="preserve"> Mécanisme de résistance à l'nsuline et de l'intolérance au glucose induit par la résist</w:t>
        </w:r>
        <w:r w:rsidR="0074055A">
          <w:rPr>
            <w:rStyle w:val="Lienhypertexte"/>
            <w:noProof/>
          </w:rPr>
          <w:t xml:space="preserve">ine TNF-α ; IL-6 </w:t>
        </w:r>
        <w:r w:rsidR="00AE648F" w:rsidRPr="003618E5">
          <w:rPr>
            <w:rStyle w:val="Lienhypertexte"/>
            <w:noProof/>
          </w:rPr>
          <w:t>.</w:t>
        </w:r>
        <w:r w:rsidR="00AE648F">
          <w:rPr>
            <w:noProof/>
            <w:webHidden/>
          </w:rPr>
          <w:tab/>
        </w:r>
        <w:r w:rsidR="00AE648F">
          <w:rPr>
            <w:noProof/>
            <w:webHidden/>
          </w:rPr>
          <w:fldChar w:fldCharType="begin"/>
        </w:r>
        <w:r w:rsidR="00AE648F">
          <w:rPr>
            <w:noProof/>
            <w:webHidden/>
          </w:rPr>
          <w:instrText xml:space="preserve"> PAGEREF _Toc167308120 \h </w:instrText>
        </w:r>
        <w:r w:rsidR="00AE648F">
          <w:rPr>
            <w:noProof/>
            <w:webHidden/>
          </w:rPr>
        </w:r>
        <w:r w:rsidR="00AE648F">
          <w:rPr>
            <w:noProof/>
            <w:webHidden/>
          </w:rPr>
          <w:fldChar w:fldCharType="separate"/>
        </w:r>
        <w:r w:rsidR="00B5205A">
          <w:rPr>
            <w:noProof/>
            <w:webHidden/>
          </w:rPr>
          <w:t>27</w:t>
        </w:r>
        <w:r w:rsidR="00AE648F">
          <w:rPr>
            <w:noProof/>
            <w:webHidden/>
          </w:rPr>
          <w:fldChar w:fldCharType="end"/>
        </w:r>
      </w:hyperlink>
    </w:p>
    <w:p w14:paraId="6DB5E313" w14:textId="400F01D4" w:rsidR="00AE648F" w:rsidRDefault="00D15EAC">
      <w:pPr>
        <w:pStyle w:val="Tabledesillustrations"/>
        <w:tabs>
          <w:tab w:val="right" w:leader="dot" w:pos="9344"/>
        </w:tabs>
        <w:rPr>
          <w:rFonts w:asciiTheme="minorHAnsi" w:eastAsiaTheme="minorEastAsia" w:hAnsiTheme="minorHAnsi" w:cstheme="minorBidi"/>
          <w:noProof/>
          <w:sz w:val="22"/>
          <w:szCs w:val="22"/>
          <w:lang w:eastAsia="fr-FR"/>
        </w:rPr>
      </w:pPr>
      <w:hyperlink w:anchor="_Toc167308121" w:history="1">
        <w:r w:rsidR="00AE648F" w:rsidRPr="003618E5">
          <w:rPr>
            <w:rStyle w:val="Lienhypertexte"/>
            <w:b/>
            <w:bCs/>
            <w:noProof/>
          </w:rPr>
          <w:t>Figure 14</w:t>
        </w:r>
        <w:r w:rsidR="00AE648F" w:rsidRPr="003618E5">
          <w:rPr>
            <w:rStyle w:val="Lienhypertexte"/>
            <w:noProof/>
          </w:rPr>
          <w:t>. Rôle de la résisitine humain dans les conditions physiopa</w:t>
        </w:r>
        <w:r w:rsidR="0074055A">
          <w:rPr>
            <w:rStyle w:val="Lienhypertexte"/>
            <w:noProof/>
          </w:rPr>
          <w:t>thologique</w:t>
        </w:r>
        <w:r w:rsidR="00AE648F" w:rsidRPr="003618E5">
          <w:rPr>
            <w:rStyle w:val="Lienhypertexte"/>
            <w:noProof/>
          </w:rPr>
          <w:t>.</w:t>
        </w:r>
        <w:r w:rsidR="00AE648F">
          <w:rPr>
            <w:noProof/>
            <w:webHidden/>
          </w:rPr>
          <w:tab/>
        </w:r>
        <w:r w:rsidR="00AE648F">
          <w:rPr>
            <w:noProof/>
            <w:webHidden/>
          </w:rPr>
          <w:fldChar w:fldCharType="begin"/>
        </w:r>
        <w:r w:rsidR="00AE648F">
          <w:rPr>
            <w:noProof/>
            <w:webHidden/>
          </w:rPr>
          <w:instrText xml:space="preserve"> PAGEREF _Toc167308121 \h </w:instrText>
        </w:r>
        <w:r w:rsidR="00AE648F">
          <w:rPr>
            <w:noProof/>
            <w:webHidden/>
          </w:rPr>
        </w:r>
        <w:r w:rsidR="00AE648F">
          <w:rPr>
            <w:noProof/>
            <w:webHidden/>
          </w:rPr>
          <w:fldChar w:fldCharType="separate"/>
        </w:r>
        <w:r w:rsidR="00B5205A">
          <w:rPr>
            <w:noProof/>
            <w:webHidden/>
          </w:rPr>
          <w:t>30</w:t>
        </w:r>
        <w:r w:rsidR="00AE648F">
          <w:rPr>
            <w:noProof/>
            <w:webHidden/>
          </w:rPr>
          <w:fldChar w:fldCharType="end"/>
        </w:r>
      </w:hyperlink>
    </w:p>
    <w:p w14:paraId="75D5452A" w14:textId="1876FB24" w:rsidR="00AE648F" w:rsidRDefault="00D15EAC">
      <w:pPr>
        <w:pStyle w:val="Tabledesillustrations"/>
        <w:tabs>
          <w:tab w:val="right" w:leader="dot" w:pos="9344"/>
        </w:tabs>
        <w:rPr>
          <w:rFonts w:asciiTheme="minorHAnsi" w:eastAsiaTheme="minorEastAsia" w:hAnsiTheme="minorHAnsi" w:cstheme="minorBidi"/>
          <w:noProof/>
          <w:sz w:val="22"/>
          <w:szCs w:val="22"/>
          <w:lang w:eastAsia="fr-FR"/>
        </w:rPr>
      </w:pPr>
      <w:hyperlink w:anchor="_Toc167308122" w:history="1">
        <w:r w:rsidR="00AE648F" w:rsidRPr="003618E5">
          <w:rPr>
            <w:rStyle w:val="Lienhypertexte"/>
            <w:b/>
            <w:bCs/>
            <w:noProof/>
          </w:rPr>
          <w:t>Figure 15.</w:t>
        </w:r>
        <w:r w:rsidR="00AE648F" w:rsidRPr="003618E5">
          <w:rPr>
            <w:rStyle w:val="Lienhypertexte"/>
            <w:noProof/>
          </w:rPr>
          <w:t xml:space="preserve"> Les voies de signalisation associés aux adipokines dans la colite et le canc</w:t>
        </w:r>
        <w:r w:rsidR="0074055A">
          <w:rPr>
            <w:rStyle w:val="Lienhypertexte"/>
            <w:noProof/>
          </w:rPr>
          <w:t>er du côlon</w:t>
        </w:r>
        <w:r w:rsidR="00AE648F" w:rsidRPr="003618E5">
          <w:rPr>
            <w:rStyle w:val="Lienhypertexte"/>
            <w:noProof/>
          </w:rPr>
          <w:t>.</w:t>
        </w:r>
        <w:r w:rsidR="00AE648F">
          <w:rPr>
            <w:noProof/>
            <w:webHidden/>
          </w:rPr>
          <w:tab/>
        </w:r>
        <w:r w:rsidR="00AE648F">
          <w:rPr>
            <w:noProof/>
            <w:webHidden/>
          </w:rPr>
          <w:fldChar w:fldCharType="begin"/>
        </w:r>
        <w:r w:rsidR="00AE648F">
          <w:rPr>
            <w:noProof/>
            <w:webHidden/>
          </w:rPr>
          <w:instrText xml:space="preserve"> PAGEREF _Toc167308122 \h </w:instrText>
        </w:r>
        <w:r w:rsidR="00AE648F">
          <w:rPr>
            <w:noProof/>
            <w:webHidden/>
          </w:rPr>
        </w:r>
        <w:r w:rsidR="00AE648F">
          <w:rPr>
            <w:noProof/>
            <w:webHidden/>
          </w:rPr>
          <w:fldChar w:fldCharType="separate"/>
        </w:r>
        <w:r w:rsidR="00B5205A">
          <w:rPr>
            <w:noProof/>
            <w:webHidden/>
          </w:rPr>
          <w:t>33</w:t>
        </w:r>
        <w:r w:rsidR="00AE648F">
          <w:rPr>
            <w:noProof/>
            <w:webHidden/>
          </w:rPr>
          <w:fldChar w:fldCharType="end"/>
        </w:r>
      </w:hyperlink>
    </w:p>
    <w:p w14:paraId="2D24093B" w14:textId="01B65C27" w:rsidR="005D31BA" w:rsidRPr="005D4197" w:rsidRDefault="00543FB7" w:rsidP="005D4197">
      <w:r>
        <w:fldChar w:fldCharType="end"/>
      </w:r>
      <w:r w:rsidR="005D31BA">
        <w:br w:type="page"/>
      </w:r>
    </w:p>
    <w:p w14:paraId="5640C47B" w14:textId="7D085A00" w:rsidR="00FC59DB" w:rsidRPr="001512D3" w:rsidRDefault="005D31BA" w:rsidP="00D509CA">
      <w:pPr>
        <w:pStyle w:val="Titre2"/>
        <w:numPr>
          <w:ilvl w:val="0"/>
          <w:numId w:val="0"/>
        </w:numPr>
        <w:rPr>
          <w:sz w:val="28"/>
          <w:szCs w:val="28"/>
        </w:rPr>
      </w:pPr>
      <w:bookmarkStart w:id="16" w:name="_Toc157139407"/>
      <w:bookmarkStart w:id="17" w:name="_Toc157377857"/>
      <w:bookmarkStart w:id="18" w:name="_Toc167472733"/>
      <w:bookmarkStart w:id="19" w:name="_Toc168302211"/>
      <w:bookmarkStart w:id="20" w:name="_Toc170226653"/>
      <w:r w:rsidRPr="001512D3">
        <w:rPr>
          <w:sz w:val="28"/>
          <w:szCs w:val="28"/>
        </w:rPr>
        <w:lastRenderedPageBreak/>
        <w:t>Liste des tableaux</w:t>
      </w:r>
      <w:bookmarkEnd w:id="16"/>
      <w:bookmarkEnd w:id="17"/>
      <w:bookmarkEnd w:id="18"/>
      <w:bookmarkEnd w:id="19"/>
      <w:bookmarkEnd w:id="20"/>
      <w:r w:rsidRPr="001512D3">
        <w:rPr>
          <w:sz w:val="28"/>
          <w:szCs w:val="28"/>
        </w:rPr>
        <w:t xml:space="preserve"> </w:t>
      </w:r>
    </w:p>
    <w:p w14:paraId="6C205D0E" w14:textId="1A8AA37A" w:rsidR="00B8364D" w:rsidRDefault="00543FB7">
      <w:pPr>
        <w:pStyle w:val="Tabledesillustrations"/>
        <w:tabs>
          <w:tab w:val="right" w:leader="dot" w:pos="9344"/>
        </w:tabs>
        <w:rPr>
          <w:rFonts w:asciiTheme="minorHAnsi" w:eastAsiaTheme="minorEastAsia" w:hAnsiTheme="minorHAnsi" w:cstheme="minorBidi"/>
          <w:noProof/>
          <w:sz w:val="22"/>
          <w:szCs w:val="22"/>
          <w:lang w:eastAsia="fr-FR"/>
        </w:rPr>
      </w:pPr>
      <w:r>
        <w:fldChar w:fldCharType="begin"/>
      </w:r>
      <w:r>
        <w:instrText xml:space="preserve"> TOC \h \z \c "Tableau" </w:instrText>
      </w:r>
      <w:r>
        <w:fldChar w:fldCharType="separate"/>
      </w:r>
      <w:hyperlink w:anchor="_Toc168305017" w:history="1">
        <w:r w:rsidR="00B8364D" w:rsidRPr="00810B41">
          <w:rPr>
            <w:rStyle w:val="Lienhypertexte"/>
            <w:b/>
            <w:bCs/>
            <w:noProof/>
          </w:rPr>
          <w:t>Tableau 1.</w:t>
        </w:r>
        <w:r w:rsidR="00B8364D" w:rsidRPr="00810B41">
          <w:rPr>
            <w:rStyle w:val="Lienhypertexte"/>
            <w:noProof/>
          </w:rPr>
          <w:t xml:space="preserve"> Les différence fonctionnelles entre tissus adipeux b</w:t>
        </w:r>
        <w:r w:rsidR="00E90E64">
          <w:rPr>
            <w:rStyle w:val="Lienhypertexte"/>
            <w:noProof/>
          </w:rPr>
          <w:t>lanc et brun</w:t>
        </w:r>
        <w:r w:rsidR="00B8364D" w:rsidRPr="00810B41">
          <w:rPr>
            <w:rStyle w:val="Lienhypertexte"/>
            <w:noProof/>
          </w:rPr>
          <w:t>.</w:t>
        </w:r>
        <w:r w:rsidR="00B8364D">
          <w:rPr>
            <w:noProof/>
            <w:webHidden/>
          </w:rPr>
          <w:tab/>
        </w:r>
        <w:r w:rsidR="00B8364D">
          <w:rPr>
            <w:noProof/>
            <w:webHidden/>
          </w:rPr>
          <w:fldChar w:fldCharType="begin"/>
        </w:r>
        <w:r w:rsidR="00B8364D">
          <w:rPr>
            <w:noProof/>
            <w:webHidden/>
          </w:rPr>
          <w:instrText xml:space="preserve"> PAGEREF _Toc168305017 \h </w:instrText>
        </w:r>
        <w:r w:rsidR="00B8364D">
          <w:rPr>
            <w:noProof/>
            <w:webHidden/>
          </w:rPr>
        </w:r>
        <w:r w:rsidR="00B8364D">
          <w:rPr>
            <w:noProof/>
            <w:webHidden/>
          </w:rPr>
          <w:fldChar w:fldCharType="separate"/>
        </w:r>
        <w:r w:rsidR="00B5205A">
          <w:rPr>
            <w:noProof/>
            <w:webHidden/>
          </w:rPr>
          <w:t>3</w:t>
        </w:r>
        <w:r w:rsidR="00B8364D">
          <w:rPr>
            <w:noProof/>
            <w:webHidden/>
          </w:rPr>
          <w:fldChar w:fldCharType="end"/>
        </w:r>
      </w:hyperlink>
    </w:p>
    <w:p w14:paraId="309EDB05" w14:textId="7C37770D" w:rsidR="00B8364D" w:rsidRDefault="00D15EAC">
      <w:pPr>
        <w:pStyle w:val="Tabledesillustrations"/>
        <w:tabs>
          <w:tab w:val="right" w:leader="dot" w:pos="9344"/>
        </w:tabs>
        <w:rPr>
          <w:rFonts w:asciiTheme="minorHAnsi" w:eastAsiaTheme="minorEastAsia" w:hAnsiTheme="minorHAnsi" w:cstheme="minorBidi"/>
          <w:noProof/>
          <w:sz w:val="22"/>
          <w:szCs w:val="22"/>
          <w:lang w:eastAsia="fr-FR"/>
        </w:rPr>
      </w:pPr>
      <w:hyperlink w:anchor="_Toc168305018" w:history="1">
        <w:r w:rsidR="00B8364D" w:rsidRPr="00810B41">
          <w:rPr>
            <w:rStyle w:val="Lienhypertexte"/>
            <w:b/>
            <w:bCs/>
            <w:noProof/>
          </w:rPr>
          <w:t>Tableau 2.</w:t>
        </w:r>
        <w:r w:rsidR="00B8364D" w:rsidRPr="00810B41">
          <w:rPr>
            <w:rStyle w:val="Lienhypertexte"/>
            <w:noProof/>
          </w:rPr>
          <w:t xml:space="preserve"> L'adiponectine fonctionne dans différents organes du </w:t>
        </w:r>
        <w:r w:rsidR="00E90E64">
          <w:rPr>
            <w:rStyle w:val="Lienhypertexte"/>
            <w:noProof/>
          </w:rPr>
          <w:t>corps</w:t>
        </w:r>
        <w:r w:rsidR="00B8364D" w:rsidRPr="00810B41">
          <w:rPr>
            <w:rStyle w:val="Lienhypertexte"/>
            <w:noProof/>
          </w:rPr>
          <w:t>.</w:t>
        </w:r>
        <w:r w:rsidR="00B8364D">
          <w:rPr>
            <w:noProof/>
            <w:webHidden/>
          </w:rPr>
          <w:tab/>
        </w:r>
        <w:r w:rsidR="00B8364D">
          <w:rPr>
            <w:noProof/>
            <w:webHidden/>
          </w:rPr>
          <w:fldChar w:fldCharType="begin"/>
        </w:r>
        <w:r w:rsidR="00B8364D">
          <w:rPr>
            <w:noProof/>
            <w:webHidden/>
          </w:rPr>
          <w:instrText xml:space="preserve"> PAGEREF _Toc168305018 \h </w:instrText>
        </w:r>
        <w:r w:rsidR="00B8364D">
          <w:rPr>
            <w:noProof/>
            <w:webHidden/>
          </w:rPr>
        </w:r>
        <w:r w:rsidR="00B8364D">
          <w:rPr>
            <w:noProof/>
            <w:webHidden/>
          </w:rPr>
          <w:fldChar w:fldCharType="separate"/>
        </w:r>
        <w:r w:rsidR="00B5205A">
          <w:rPr>
            <w:noProof/>
            <w:webHidden/>
          </w:rPr>
          <w:t>10</w:t>
        </w:r>
        <w:r w:rsidR="00B8364D">
          <w:rPr>
            <w:noProof/>
            <w:webHidden/>
          </w:rPr>
          <w:fldChar w:fldCharType="end"/>
        </w:r>
      </w:hyperlink>
    </w:p>
    <w:p w14:paraId="59452F3F" w14:textId="0E9DE321" w:rsidR="00B8364D" w:rsidRDefault="00D15EAC">
      <w:pPr>
        <w:pStyle w:val="Tabledesillustrations"/>
        <w:tabs>
          <w:tab w:val="right" w:leader="dot" w:pos="9344"/>
        </w:tabs>
        <w:rPr>
          <w:rFonts w:asciiTheme="minorHAnsi" w:eastAsiaTheme="minorEastAsia" w:hAnsiTheme="minorHAnsi" w:cstheme="minorBidi"/>
          <w:noProof/>
          <w:sz w:val="22"/>
          <w:szCs w:val="22"/>
          <w:lang w:eastAsia="fr-FR"/>
        </w:rPr>
      </w:pPr>
      <w:hyperlink w:anchor="_Toc168305019" w:history="1">
        <w:r w:rsidR="00B8364D" w:rsidRPr="00810B41">
          <w:rPr>
            <w:rStyle w:val="Lienhypertexte"/>
            <w:b/>
            <w:bCs/>
            <w:noProof/>
          </w:rPr>
          <w:t>Tableau 3</w:t>
        </w:r>
        <w:r w:rsidR="00B8364D" w:rsidRPr="00810B41">
          <w:rPr>
            <w:rStyle w:val="Lienhypertexte"/>
            <w:noProof/>
          </w:rPr>
          <w:t>. Résumé des rôles des adipokines dans la biologie du ca</w:t>
        </w:r>
        <w:r w:rsidR="00E90E64">
          <w:rPr>
            <w:rStyle w:val="Lienhypertexte"/>
            <w:noProof/>
          </w:rPr>
          <w:t>ncer du sein</w:t>
        </w:r>
        <w:r w:rsidR="00B8364D" w:rsidRPr="00810B41">
          <w:rPr>
            <w:rStyle w:val="Lienhypertexte"/>
            <w:noProof/>
          </w:rPr>
          <w:t>.</w:t>
        </w:r>
        <w:r w:rsidR="00B8364D">
          <w:rPr>
            <w:noProof/>
            <w:webHidden/>
          </w:rPr>
          <w:tab/>
        </w:r>
        <w:r w:rsidR="00B8364D">
          <w:rPr>
            <w:noProof/>
            <w:webHidden/>
          </w:rPr>
          <w:fldChar w:fldCharType="begin"/>
        </w:r>
        <w:r w:rsidR="00B8364D">
          <w:rPr>
            <w:noProof/>
            <w:webHidden/>
          </w:rPr>
          <w:instrText xml:space="preserve"> PAGEREF _Toc168305019 \h </w:instrText>
        </w:r>
        <w:r w:rsidR="00B8364D">
          <w:rPr>
            <w:noProof/>
            <w:webHidden/>
          </w:rPr>
        </w:r>
        <w:r w:rsidR="00B8364D">
          <w:rPr>
            <w:noProof/>
            <w:webHidden/>
          </w:rPr>
          <w:fldChar w:fldCharType="separate"/>
        </w:r>
        <w:r w:rsidR="00B5205A">
          <w:rPr>
            <w:noProof/>
            <w:webHidden/>
          </w:rPr>
          <w:t>31</w:t>
        </w:r>
        <w:r w:rsidR="00B8364D">
          <w:rPr>
            <w:noProof/>
            <w:webHidden/>
          </w:rPr>
          <w:fldChar w:fldCharType="end"/>
        </w:r>
      </w:hyperlink>
    </w:p>
    <w:p w14:paraId="4E327B52" w14:textId="3156375C" w:rsidR="00B8364D" w:rsidRDefault="00D15EAC">
      <w:pPr>
        <w:pStyle w:val="Tabledesillustrations"/>
        <w:tabs>
          <w:tab w:val="right" w:leader="dot" w:pos="9344"/>
        </w:tabs>
        <w:rPr>
          <w:rFonts w:asciiTheme="minorHAnsi" w:eastAsiaTheme="minorEastAsia" w:hAnsiTheme="minorHAnsi" w:cstheme="minorBidi"/>
          <w:noProof/>
          <w:sz w:val="22"/>
          <w:szCs w:val="22"/>
          <w:lang w:eastAsia="fr-FR"/>
        </w:rPr>
      </w:pPr>
      <w:hyperlink w:anchor="_Toc168305020" w:history="1">
        <w:r w:rsidR="00B8364D" w:rsidRPr="00810B41">
          <w:rPr>
            <w:rStyle w:val="Lienhypertexte"/>
            <w:b/>
            <w:bCs/>
            <w:noProof/>
          </w:rPr>
          <w:t>Tableau 4.</w:t>
        </w:r>
        <w:r w:rsidR="00B8364D" w:rsidRPr="00810B41">
          <w:rPr>
            <w:rStyle w:val="Lienhypertexte"/>
            <w:noProof/>
          </w:rPr>
          <w:t xml:space="preserve"> Résumé de l'effet de chaque adipokines sure le développement du syndrome</w:t>
        </w:r>
        <w:r w:rsidR="00E90E64">
          <w:rPr>
            <w:rStyle w:val="Lienhypertexte"/>
            <w:noProof/>
          </w:rPr>
          <w:t xml:space="preserve"> métabolique</w:t>
        </w:r>
        <w:r w:rsidR="00B8364D">
          <w:rPr>
            <w:noProof/>
            <w:webHidden/>
          </w:rPr>
          <w:tab/>
        </w:r>
        <w:r w:rsidR="00B8364D">
          <w:rPr>
            <w:noProof/>
            <w:webHidden/>
          </w:rPr>
          <w:fldChar w:fldCharType="begin"/>
        </w:r>
        <w:r w:rsidR="00B8364D">
          <w:rPr>
            <w:noProof/>
            <w:webHidden/>
          </w:rPr>
          <w:instrText xml:space="preserve"> PAGEREF _Toc168305020 \h </w:instrText>
        </w:r>
        <w:r w:rsidR="00B8364D">
          <w:rPr>
            <w:noProof/>
            <w:webHidden/>
          </w:rPr>
        </w:r>
        <w:r w:rsidR="00B8364D">
          <w:rPr>
            <w:noProof/>
            <w:webHidden/>
          </w:rPr>
          <w:fldChar w:fldCharType="separate"/>
        </w:r>
        <w:r w:rsidR="00B5205A">
          <w:rPr>
            <w:noProof/>
            <w:webHidden/>
          </w:rPr>
          <w:t>40</w:t>
        </w:r>
        <w:r w:rsidR="00B8364D">
          <w:rPr>
            <w:noProof/>
            <w:webHidden/>
          </w:rPr>
          <w:fldChar w:fldCharType="end"/>
        </w:r>
      </w:hyperlink>
    </w:p>
    <w:p w14:paraId="13A23863" w14:textId="08F68B32" w:rsidR="00FC59DB" w:rsidRPr="00FC59DB" w:rsidRDefault="00543FB7" w:rsidP="00FC59DB">
      <w:pPr>
        <w:sectPr w:rsidR="00FC59DB" w:rsidRPr="00FC59DB" w:rsidSect="00A829A7">
          <w:headerReference w:type="default" r:id="rId12"/>
          <w:footerReference w:type="default" r:id="rId13"/>
          <w:pgSz w:w="11906" w:h="16838" w:code="9"/>
          <w:pgMar w:top="1134" w:right="1134" w:bottom="1134" w:left="1418" w:header="567" w:footer="567" w:gutter="0"/>
          <w:pgNumType w:fmt="lowerRoman" w:start="1"/>
          <w:cols w:space="720"/>
          <w:docGrid w:linePitch="360"/>
        </w:sectPr>
      </w:pPr>
      <w:r>
        <w:fldChar w:fldCharType="end"/>
      </w:r>
    </w:p>
    <w:p w14:paraId="6F130496" w14:textId="77777777" w:rsidR="005D31BA" w:rsidRDefault="005D31BA" w:rsidP="005D31BA">
      <w:pPr>
        <w:jc w:val="center"/>
        <w:rPr>
          <w:rFonts w:asciiTheme="majorBidi" w:hAnsiTheme="majorBidi" w:cstheme="majorBidi"/>
          <w:b/>
          <w:bCs/>
          <w:sz w:val="72"/>
          <w:szCs w:val="72"/>
        </w:rPr>
      </w:pPr>
    </w:p>
    <w:p w14:paraId="7734128B" w14:textId="77777777" w:rsidR="005D31BA" w:rsidRDefault="005D31BA" w:rsidP="005D31BA">
      <w:pPr>
        <w:jc w:val="center"/>
        <w:rPr>
          <w:rFonts w:asciiTheme="majorBidi" w:hAnsiTheme="majorBidi" w:cstheme="majorBidi"/>
          <w:b/>
          <w:bCs/>
          <w:sz w:val="72"/>
          <w:szCs w:val="72"/>
        </w:rPr>
      </w:pPr>
    </w:p>
    <w:p w14:paraId="71977C0C" w14:textId="77777777" w:rsidR="005D31BA" w:rsidRDefault="005D31BA" w:rsidP="00D86322">
      <w:pPr>
        <w:rPr>
          <w:rFonts w:asciiTheme="majorBidi" w:hAnsiTheme="majorBidi" w:cstheme="majorBidi"/>
          <w:b/>
          <w:bCs/>
          <w:sz w:val="72"/>
          <w:szCs w:val="72"/>
        </w:rPr>
      </w:pPr>
    </w:p>
    <w:p w14:paraId="2A331610" w14:textId="77777777" w:rsidR="005D31BA" w:rsidRDefault="005D31BA" w:rsidP="005D31BA">
      <w:pPr>
        <w:jc w:val="center"/>
        <w:rPr>
          <w:rFonts w:asciiTheme="majorBidi" w:hAnsiTheme="majorBidi" w:cstheme="majorBidi"/>
          <w:b/>
          <w:bCs/>
          <w:sz w:val="72"/>
          <w:szCs w:val="72"/>
        </w:rPr>
      </w:pPr>
    </w:p>
    <w:p w14:paraId="71EED4AE" w14:textId="77777777" w:rsidR="005D31BA" w:rsidRDefault="005D31BA" w:rsidP="005D31BA">
      <w:pPr>
        <w:jc w:val="center"/>
        <w:rPr>
          <w:rFonts w:asciiTheme="majorBidi" w:hAnsiTheme="majorBidi" w:cstheme="majorBidi"/>
          <w:b/>
          <w:bCs/>
          <w:sz w:val="72"/>
          <w:szCs w:val="72"/>
        </w:rPr>
      </w:pPr>
    </w:p>
    <w:p w14:paraId="72620966" w14:textId="77777777" w:rsidR="005D31BA" w:rsidRDefault="005D31BA" w:rsidP="005D31BA">
      <w:pPr>
        <w:jc w:val="center"/>
        <w:rPr>
          <w:rFonts w:asciiTheme="majorBidi" w:hAnsiTheme="majorBidi" w:cstheme="majorBidi"/>
          <w:b/>
          <w:bCs/>
          <w:sz w:val="72"/>
          <w:szCs w:val="72"/>
        </w:rPr>
        <w:sectPr w:rsidR="005D31BA" w:rsidSect="00A829A7">
          <w:headerReference w:type="default" r:id="rId14"/>
          <w:footerReference w:type="default" r:id="rId15"/>
          <w:pgSz w:w="11906" w:h="16838" w:code="9"/>
          <w:pgMar w:top="1134" w:right="1134" w:bottom="1134" w:left="1418" w:header="567" w:footer="567" w:gutter="0"/>
          <w:pgNumType w:fmt="lowerRoman" w:start="1"/>
          <w:cols w:space="720"/>
          <w:docGrid w:linePitch="360"/>
        </w:sectPr>
      </w:pPr>
      <w:r w:rsidRPr="005D31BA">
        <w:rPr>
          <w:rFonts w:asciiTheme="majorBidi" w:hAnsiTheme="majorBidi" w:cstheme="majorBidi"/>
          <w:b/>
          <w:bCs/>
          <w:sz w:val="72"/>
          <w:szCs w:val="72"/>
        </w:rPr>
        <w:t>Introduction</w:t>
      </w:r>
    </w:p>
    <w:p w14:paraId="74E94401" w14:textId="409637A8" w:rsidR="00ED2381" w:rsidRDefault="000B1896" w:rsidP="00CD08C6">
      <w:pPr>
        <w:pStyle w:val="Titre1"/>
        <w:numPr>
          <w:ilvl w:val="0"/>
          <w:numId w:val="0"/>
        </w:numPr>
      </w:pPr>
      <w:bookmarkStart w:id="21" w:name="_Toc157139408"/>
      <w:bookmarkStart w:id="22" w:name="_Toc157377858"/>
      <w:bookmarkStart w:id="23" w:name="_Toc167472734"/>
      <w:bookmarkStart w:id="24" w:name="_Toc168302212"/>
      <w:bookmarkStart w:id="25" w:name="_Toc170226654"/>
      <w:r>
        <w:lastRenderedPageBreak/>
        <w:t>Introduction</w:t>
      </w:r>
      <w:bookmarkEnd w:id="21"/>
      <w:bookmarkEnd w:id="22"/>
      <w:bookmarkEnd w:id="23"/>
      <w:bookmarkEnd w:id="24"/>
      <w:bookmarkEnd w:id="25"/>
    </w:p>
    <w:p w14:paraId="4F8C9519" w14:textId="3AD898E7" w:rsidR="00ED2381" w:rsidRDefault="00ED2381" w:rsidP="00D86322">
      <w:r>
        <w:t>L'adipocyte humain est considéré comme un organe endocrinien qui appartient à l'ensemble des tissus dits adipeux. Ce tissu conjonctif est considéré comme un microenvironnement important et comme la principale source d'énergie liée à son rôle de st</w:t>
      </w:r>
      <w:r w:rsidR="006B6059">
        <w:t>ockage des graisses</w:t>
      </w:r>
      <w:r>
        <w:t>. Initialement, le tissu adipeux était considéré comme un réservoir passif qui stocke l'excès de graisse. Cependant, les recherches actuelles ont révélé qu'il a des activités très complexes, qui comprennent des fonctions endocrines, autocrines et paracrines. Ces activités sont étroitement liées aux diverses molécules sécrétées, appelées adipocytokine</w:t>
      </w:r>
      <w:r w:rsidR="00031F80">
        <w:t>s.</w:t>
      </w:r>
    </w:p>
    <w:p w14:paraId="5F40B1D4" w14:textId="1870728A" w:rsidR="00ED2381" w:rsidRDefault="00ED2381" w:rsidP="00D86322">
      <w:r>
        <w:t>Les adipocytokines sont des hormones ou des facteurs protéiques sécrétés par le tissu adipeux qui jouent un rôle spécifique et régulent le métabolisme énergétique et intermédiaire de l'organisme. Ce groupe de facteurs protéiques comprend différentes adipokines. Les adipocytes entièrement différenciés semblent exprimer l'adiponectine et l'inhibiteur de l'activateur du plasminogène-1, et exprimer ou sécréter la leptine, le facteur de nécrose tumorale-α (TNF-α), l'interleukine-6 et la protéine de liaison du rétinol 4, entre autres, y compris les cytokines et les chimiokines. Bien que diverses adipocytokines soient dérivées de divers types de cellules immunitaires et non immunitaires, dans diverses conditions, il existe des preuves substantielles que dans diverses maladies, troubles et états physiques, des changements dans la quantité de tissu adipeux et d'adipocytokines entraînent des différences dans la qualité des réponses immunitaires et inflam</w:t>
      </w:r>
      <w:r w:rsidR="00031F80">
        <w:t>matoires</w:t>
      </w:r>
      <w:r>
        <w:t>.</w:t>
      </w:r>
    </w:p>
    <w:p w14:paraId="33E2CA02" w14:textId="4862393D" w:rsidR="00ED2381" w:rsidRPr="00ED2381" w:rsidRDefault="00ED2381" w:rsidP="00D86322">
      <w:pPr>
        <w:jc w:val="left"/>
        <w:sectPr w:rsidR="00ED2381" w:rsidRPr="00ED2381" w:rsidSect="00A829A7">
          <w:headerReference w:type="default" r:id="rId16"/>
          <w:footerReference w:type="default" r:id="rId17"/>
          <w:pgSz w:w="11906" w:h="16838" w:code="9"/>
          <w:pgMar w:top="1134" w:right="1134" w:bottom="1134" w:left="1418" w:header="567" w:footer="567" w:gutter="0"/>
          <w:pgNumType w:start="1"/>
          <w:cols w:space="720"/>
          <w:docGrid w:linePitch="360"/>
        </w:sectPr>
      </w:pPr>
      <w:r>
        <w:t xml:space="preserve">À la lumière de ce qui précède, on peut dire que les changements dans la quantité de tissu adipeux et d'adipocytokines sont fortement associés à de nombreuses réponses inflammatoires et immunitaires dans l'organisme. Toutefois, </w:t>
      </w:r>
      <w:r w:rsidR="00FA0E00" w:rsidRPr="00FA0E00">
        <w:t>ce</w:t>
      </w:r>
      <w:r w:rsidR="00FA0E00">
        <w:t>tte synthèse bibliographique se</w:t>
      </w:r>
      <w:r>
        <w:t xml:space="preserve"> concentre sur les rôles possibles des adipokines dans le développement de la maladie coronarienne, une maladie dont l'étiologie et la pathologie diffèrent du développement de l'obésité, du diabète de type 2 et du cancer, une maladie fortement liée aux troubles </w:t>
      </w:r>
      <w:r w:rsidR="00FA0E00">
        <w:t xml:space="preserve">immunitaires et inflammatoires, </w:t>
      </w:r>
      <w:r w:rsidR="00FA0E00" w:rsidRPr="00FA0E00">
        <w:t>ainsi que d’autres maladies</w:t>
      </w:r>
      <w:r>
        <w:t xml:space="preserve"> la polyarthrite rhumatoïde, une maladie inflammatoire chronique qui présente une forte ressemblance avec les réponses immunitaires et inflammatoires observées dans l'athérosclérose</w:t>
      </w:r>
      <w:r w:rsidR="00D86322">
        <w:t xml:space="preserve"> </w:t>
      </w:r>
      <w:r>
        <w:t>chronique.</w:t>
      </w:r>
    </w:p>
    <w:p w14:paraId="2F743600" w14:textId="428B5864" w:rsidR="00834104" w:rsidRDefault="00CD08C6" w:rsidP="00382403">
      <w:r>
        <w:lastRenderedPageBreak/>
        <w:tab/>
      </w:r>
      <w:r>
        <w:tab/>
      </w:r>
    </w:p>
    <w:p w14:paraId="68EF6C3A" w14:textId="77777777" w:rsidR="006C2129" w:rsidRDefault="006C2129" w:rsidP="006C2129">
      <w:pPr>
        <w:jc w:val="center"/>
        <w:rPr>
          <w:rFonts w:asciiTheme="majorBidi" w:hAnsiTheme="majorBidi" w:cstheme="majorBidi"/>
          <w:b/>
          <w:bCs/>
          <w:sz w:val="72"/>
          <w:szCs w:val="72"/>
        </w:rPr>
      </w:pPr>
    </w:p>
    <w:p w14:paraId="61FCAA5F" w14:textId="77777777" w:rsidR="006C2129" w:rsidRDefault="006C2129" w:rsidP="006C2129">
      <w:pPr>
        <w:jc w:val="center"/>
        <w:rPr>
          <w:rFonts w:asciiTheme="majorBidi" w:hAnsiTheme="majorBidi" w:cstheme="majorBidi"/>
          <w:b/>
          <w:bCs/>
          <w:sz w:val="72"/>
          <w:szCs w:val="72"/>
        </w:rPr>
      </w:pPr>
    </w:p>
    <w:p w14:paraId="4AB6883C" w14:textId="77777777" w:rsidR="006C2129" w:rsidRDefault="006C2129" w:rsidP="006C2129">
      <w:pPr>
        <w:jc w:val="center"/>
        <w:rPr>
          <w:rFonts w:asciiTheme="majorBidi" w:hAnsiTheme="majorBidi" w:cstheme="majorBidi"/>
          <w:b/>
          <w:bCs/>
          <w:sz w:val="72"/>
          <w:szCs w:val="72"/>
        </w:rPr>
      </w:pPr>
    </w:p>
    <w:p w14:paraId="5D4F041A" w14:textId="77777777" w:rsidR="000D46E0" w:rsidRDefault="006C2129" w:rsidP="000D46E0">
      <w:pPr>
        <w:jc w:val="center"/>
        <w:rPr>
          <w:rFonts w:asciiTheme="majorBidi" w:hAnsiTheme="majorBidi" w:cstheme="majorBidi"/>
          <w:b/>
          <w:bCs/>
          <w:sz w:val="72"/>
          <w:szCs w:val="72"/>
        </w:rPr>
      </w:pPr>
      <w:r w:rsidRPr="00382403">
        <w:rPr>
          <w:rFonts w:asciiTheme="majorBidi" w:hAnsiTheme="majorBidi" w:cstheme="majorBidi"/>
          <w:b/>
          <w:bCs/>
          <w:sz w:val="72"/>
          <w:szCs w:val="72"/>
        </w:rPr>
        <w:t xml:space="preserve">Chapitre I : </w:t>
      </w:r>
    </w:p>
    <w:p w14:paraId="67D52B26" w14:textId="4E6874EE" w:rsidR="006C2129" w:rsidRPr="00382403" w:rsidRDefault="00314144" w:rsidP="000D46E0">
      <w:pPr>
        <w:jc w:val="center"/>
        <w:rPr>
          <w:rFonts w:asciiTheme="majorBidi" w:hAnsiTheme="majorBidi" w:cstheme="majorBidi"/>
          <w:b/>
          <w:bCs/>
          <w:sz w:val="72"/>
          <w:szCs w:val="72"/>
        </w:rPr>
        <w:sectPr w:rsidR="006C2129" w:rsidRPr="00382403" w:rsidSect="008762BC">
          <w:headerReference w:type="default" r:id="rId18"/>
          <w:footerReference w:type="default" r:id="rId19"/>
          <w:pgSz w:w="11906" w:h="16838" w:code="9"/>
          <w:pgMar w:top="1134" w:right="1134" w:bottom="1134" w:left="1418" w:header="567" w:footer="567" w:gutter="0"/>
          <w:pgNumType w:start="2"/>
          <w:cols w:space="720"/>
          <w:docGrid w:linePitch="360"/>
        </w:sectPr>
      </w:pPr>
      <w:r>
        <w:rPr>
          <w:rFonts w:asciiTheme="majorBidi" w:hAnsiTheme="majorBidi" w:cstheme="majorBidi"/>
          <w:b/>
          <w:bCs/>
          <w:sz w:val="72"/>
          <w:szCs w:val="72"/>
        </w:rPr>
        <w:t>Sources d</w:t>
      </w:r>
      <w:r w:rsidR="00ED2381">
        <w:rPr>
          <w:rFonts w:asciiTheme="majorBidi" w:hAnsiTheme="majorBidi" w:cstheme="majorBidi"/>
          <w:b/>
          <w:bCs/>
          <w:sz w:val="72"/>
          <w:szCs w:val="72"/>
        </w:rPr>
        <w:t>es adipokines</w:t>
      </w:r>
    </w:p>
    <w:p w14:paraId="46785695" w14:textId="045F2B37" w:rsidR="000B1896" w:rsidRDefault="00314144" w:rsidP="009278DD">
      <w:pPr>
        <w:pStyle w:val="Titre1"/>
      </w:pPr>
      <w:bookmarkStart w:id="26" w:name="_Toc167472735"/>
      <w:bookmarkStart w:id="27" w:name="_Toc168302213"/>
      <w:bookmarkStart w:id="28" w:name="_Toc170226655"/>
      <w:r>
        <w:lastRenderedPageBreak/>
        <w:t xml:space="preserve">Sources des </w:t>
      </w:r>
      <w:r w:rsidR="009278DD">
        <w:t>adipokines</w:t>
      </w:r>
      <w:bookmarkEnd w:id="26"/>
      <w:bookmarkEnd w:id="27"/>
      <w:bookmarkEnd w:id="28"/>
    </w:p>
    <w:p w14:paraId="4693DF8D" w14:textId="15C0FEE3" w:rsidR="006C2129" w:rsidRDefault="006C2129" w:rsidP="00B1458C">
      <w:pPr>
        <w:pStyle w:val="Titre2"/>
      </w:pPr>
      <w:bookmarkStart w:id="29" w:name="_Toc157139410"/>
      <w:bookmarkStart w:id="30" w:name="_Toc157377860"/>
      <w:bookmarkStart w:id="31" w:name="_Toc167472736"/>
      <w:bookmarkStart w:id="32" w:name="_Toc168302214"/>
      <w:bookmarkStart w:id="33" w:name="_Toc170226656"/>
      <w:r>
        <w:t>Définition</w:t>
      </w:r>
      <w:bookmarkEnd w:id="29"/>
      <w:bookmarkEnd w:id="30"/>
      <w:r w:rsidR="00B1458C" w:rsidRPr="00B1458C">
        <w:t xml:space="preserve"> </w:t>
      </w:r>
      <w:r w:rsidR="0074055A">
        <w:t xml:space="preserve">de </w:t>
      </w:r>
      <w:r w:rsidR="0074055A">
        <w:rPr>
          <w:sz w:val="22"/>
          <w:szCs w:val="24"/>
        </w:rPr>
        <w:t>t</w:t>
      </w:r>
      <w:r w:rsidR="00B1458C" w:rsidRPr="0074055A">
        <w:rPr>
          <w:sz w:val="22"/>
          <w:szCs w:val="24"/>
        </w:rPr>
        <w:t>issu</w:t>
      </w:r>
      <w:r w:rsidR="00B1458C">
        <w:t xml:space="preserve"> adipeux</w:t>
      </w:r>
      <w:bookmarkEnd w:id="31"/>
      <w:bookmarkEnd w:id="32"/>
      <w:bookmarkEnd w:id="33"/>
      <w:r w:rsidR="00B1458C">
        <w:t xml:space="preserve"> </w:t>
      </w:r>
    </w:p>
    <w:p w14:paraId="659E9475" w14:textId="77777777" w:rsidR="00B1458C" w:rsidRDefault="00B1458C" w:rsidP="005715E0">
      <w:pPr>
        <w:rPr>
          <w:rFonts w:asciiTheme="majorBidi" w:hAnsiTheme="majorBidi" w:cstheme="majorBidi"/>
          <w:color w:val="1F1F1F"/>
          <w:lang w:eastAsia="fr-FR"/>
        </w:rPr>
      </w:pPr>
      <w:r w:rsidRPr="003D1964">
        <w:rPr>
          <w:rFonts w:asciiTheme="majorBidi" w:hAnsiTheme="majorBidi" w:cstheme="majorBidi"/>
          <w:color w:val="1F1F1F"/>
          <w:lang w:eastAsia="fr-FR"/>
        </w:rPr>
        <w:t>Il y a eu un changement de paradigme de la conception du tissu adipeux simplement comme un site de stockage d'énergie à celui où le tissu adipeux joue un rôle actif dans l'homéostasie énergétique et divers processus. Le type prédominant de tissu adipeux, communément appelé "graisse" chez les mammifères, e</w:t>
      </w:r>
      <w:r>
        <w:rPr>
          <w:rFonts w:asciiTheme="majorBidi" w:hAnsiTheme="majorBidi" w:cstheme="majorBidi"/>
          <w:color w:val="1F1F1F"/>
          <w:lang w:eastAsia="fr-FR"/>
        </w:rPr>
        <w:t>st le tissu adipeux blanc (TAB</w:t>
      </w:r>
      <w:r w:rsidRPr="005D350F">
        <w:rPr>
          <w:rFonts w:asciiTheme="majorBidi" w:hAnsiTheme="majorBidi" w:cstheme="majorBidi"/>
          <w:color w:val="1F1F1F"/>
          <w:lang w:eastAsia="fr-FR"/>
        </w:rPr>
        <w:t>)</w:t>
      </w:r>
      <w:r w:rsidRPr="005D350F">
        <w:rPr>
          <w:rFonts w:asciiTheme="majorBidi" w:hAnsiTheme="majorBidi" w:cstheme="majorBidi"/>
          <w:color w:val="FF0000"/>
          <w:shd w:val="clear" w:color="auto" w:fill="FFFFFF"/>
        </w:rPr>
        <w:t xml:space="preserve"> </w:t>
      </w:r>
      <w:r w:rsidRPr="005D350F">
        <w:rPr>
          <w:rFonts w:asciiTheme="majorBidi" w:hAnsiTheme="majorBidi" w:cstheme="majorBidi"/>
          <w:color w:val="000000" w:themeColor="text1"/>
          <w:shd w:val="clear" w:color="auto" w:fill="FFFFFF"/>
        </w:rPr>
        <w:t>(Ahima</w:t>
      </w:r>
      <w:r w:rsidRPr="005D350F">
        <w:rPr>
          <w:rFonts w:asciiTheme="majorBidi" w:hAnsiTheme="majorBidi" w:cstheme="majorBidi"/>
          <w:i/>
          <w:iCs/>
          <w:color w:val="000000" w:themeColor="text1"/>
          <w:shd w:val="clear" w:color="auto" w:fill="FFFFFF"/>
        </w:rPr>
        <w:t xml:space="preserve"> </w:t>
      </w:r>
      <w:r w:rsidRPr="0074055A">
        <w:rPr>
          <w:rFonts w:asciiTheme="majorBidi" w:hAnsiTheme="majorBidi" w:cstheme="majorBidi"/>
          <w:color w:val="000000" w:themeColor="text1"/>
          <w:shd w:val="clear" w:color="auto" w:fill="FFFFFF"/>
        </w:rPr>
        <w:t xml:space="preserve">et </w:t>
      </w:r>
      <w:r w:rsidRPr="005D350F">
        <w:rPr>
          <w:rFonts w:asciiTheme="majorBidi" w:hAnsiTheme="majorBidi" w:cstheme="majorBidi"/>
          <w:color w:val="000000" w:themeColor="text1"/>
          <w:shd w:val="clear" w:color="auto" w:fill="FFFFFF"/>
        </w:rPr>
        <w:t>Flier ,2000).</w:t>
      </w:r>
      <w:r>
        <w:rPr>
          <w:rFonts w:asciiTheme="majorBidi" w:hAnsiTheme="majorBidi" w:cstheme="majorBidi"/>
          <w:color w:val="1F1F1F"/>
          <w:lang w:eastAsia="fr-FR"/>
        </w:rPr>
        <w:t xml:space="preserve"> </w:t>
      </w:r>
    </w:p>
    <w:p w14:paraId="2156C05F" w14:textId="7A711391" w:rsidR="0022582B" w:rsidRDefault="00B1458C" w:rsidP="005715E0">
      <w:pPr>
        <w:rPr>
          <w:rFonts w:asciiTheme="majorBidi" w:hAnsiTheme="majorBidi" w:cstheme="majorBidi"/>
          <w:color w:val="1F1F1F"/>
          <w:lang w:eastAsia="fr-FR"/>
        </w:rPr>
      </w:pPr>
      <w:r w:rsidRPr="00AD376D">
        <w:rPr>
          <w:rFonts w:asciiTheme="majorBidi" w:hAnsiTheme="majorBidi" w:cstheme="majorBidi"/>
          <w:color w:val="1F1F1F"/>
          <w:lang w:eastAsia="fr-FR"/>
        </w:rPr>
        <w:t>L'organe adipeux est complexe, avec de multiples dépôts de graisse blanche</w:t>
      </w:r>
      <w:r>
        <w:rPr>
          <w:rFonts w:asciiTheme="majorBidi" w:hAnsiTheme="majorBidi" w:cstheme="majorBidi"/>
          <w:color w:val="1F1F1F"/>
          <w:lang w:eastAsia="fr-FR"/>
        </w:rPr>
        <w:t xml:space="preserve"> </w:t>
      </w:r>
      <w:r w:rsidRPr="008B6D7C">
        <w:rPr>
          <w:rFonts w:asciiTheme="majorBidi" w:hAnsiTheme="majorBidi" w:cstheme="majorBidi"/>
          <w:color w:val="1F1F1F"/>
          <w:lang w:eastAsia="fr-FR"/>
        </w:rPr>
        <w:t>impliqué dans la production d'hormones (adipokine) et l'architecture tissulaire locale, ainsi que de petits dépôts de graisse brune impliqués dans la combustion de l'én</w:t>
      </w:r>
      <w:r>
        <w:rPr>
          <w:rFonts w:asciiTheme="majorBidi" w:hAnsiTheme="majorBidi" w:cstheme="majorBidi"/>
          <w:color w:val="1F1F1F"/>
          <w:lang w:eastAsia="fr-FR"/>
        </w:rPr>
        <w:t xml:space="preserve">ergie pour créer de la chaleur </w:t>
      </w:r>
      <w:r w:rsidRPr="00EE7D75">
        <w:rPr>
          <w:rFonts w:asciiTheme="majorBidi" w:hAnsiTheme="majorBidi" w:cstheme="majorBidi"/>
          <w:color w:val="000000" w:themeColor="text1"/>
          <w:lang w:eastAsia="fr-FR"/>
        </w:rPr>
        <w:t>(</w:t>
      </w:r>
      <w:r w:rsidRPr="00EE7D75">
        <w:rPr>
          <w:rFonts w:asciiTheme="majorBidi" w:hAnsiTheme="majorBidi" w:cstheme="majorBidi"/>
          <w:color w:val="000000" w:themeColor="text1"/>
          <w:shd w:val="clear" w:color="auto" w:fill="FFFFFF"/>
        </w:rPr>
        <w:t>Chait</w:t>
      </w:r>
      <w:r w:rsidRPr="0074055A">
        <w:rPr>
          <w:rFonts w:asciiTheme="majorBidi" w:hAnsiTheme="majorBidi" w:cstheme="majorBidi"/>
          <w:color w:val="000000" w:themeColor="text1"/>
          <w:shd w:val="clear" w:color="auto" w:fill="FFFFFF"/>
        </w:rPr>
        <w:t xml:space="preserve"> et</w:t>
      </w:r>
      <w:r w:rsidRPr="00EE7D75">
        <w:rPr>
          <w:rFonts w:asciiTheme="majorBidi" w:hAnsiTheme="majorBidi" w:cstheme="majorBidi"/>
          <w:color w:val="000000" w:themeColor="text1"/>
          <w:shd w:val="clear" w:color="auto" w:fill="FFFFFF"/>
        </w:rPr>
        <w:t xml:space="preserve"> Den </w:t>
      </w:r>
      <w:r w:rsidR="00774723" w:rsidRPr="00EE7D75">
        <w:rPr>
          <w:rFonts w:asciiTheme="majorBidi" w:hAnsiTheme="majorBidi" w:cstheme="majorBidi"/>
          <w:color w:val="000000" w:themeColor="text1"/>
          <w:shd w:val="clear" w:color="auto" w:fill="FFFFFF"/>
        </w:rPr>
        <w:t>Hartigh,</w:t>
      </w:r>
      <w:r w:rsidRPr="00EE7D75">
        <w:rPr>
          <w:rFonts w:asciiTheme="majorBidi" w:hAnsiTheme="majorBidi" w:cstheme="majorBidi"/>
          <w:color w:val="000000" w:themeColor="text1"/>
          <w:shd w:val="clear" w:color="auto" w:fill="FFFFFF"/>
        </w:rPr>
        <w:t xml:space="preserve"> 2020).</w:t>
      </w:r>
      <w:r>
        <w:rPr>
          <w:rFonts w:asciiTheme="majorBidi" w:hAnsiTheme="majorBidi" w:cstheme="majorBidi"/>
          <w:color w:val="1F1F1F"/>
          <w:lang w:eastAsia="fr-FR"/>
        </w:rPr>
        <w:t xml:space="preserve"> </w:t>
      </w:r>
      <w:r w:rsidRPr="00AE18CE">
        <w:rPr>
          <w:rFonts w:asciiTheme="majorBidi" w:hAnsiTheme="majorBidi" w:cstheme="majorBidi"/>
          <w:color w:val="1F1F1F"/>
          <w:lang w:eastAsia="fr-FR"/>
        </w:rPr>
        <w:t>Le tissu adipeux est un type de tissu conjonctif qui joue un rôle crucial dans le maintien de l'homéostasie des lipides et du glucose dans l'organisme</w:t>
      </w:r>
      <w:r>
        <w:rPr>
          <w:rFonts w:asciiTheme="majorBidi" w:hAnsiTheme="majorBidi" w:cstheme="majorBidi"/>
          <w:color w:val="1F1F1F"/>
          <w:lang w:eastAsia="fr-FR"/>
        </w:rPr>
        <w:t> </w:t>
      </w:r>
      <w:r w:rsidRPr="005D350F">
        <w:rPr>
          <w:rFonts w:asciiTheme="majorBidi" w:hAnsiTheme="majorBidi" w:cstheme="majorBidi"/>
          <w:lang w:eastAsia="fr-FR"/>
        </w:rPr>
        <w:t>(Choe </w:t>
      </w:r>
      <w:r w:rsidRPr="005D350F">
        <w:rPr>
          <w:rFonts w:asciiTheme="majorBidi" w:hAnsiTheme="majorBidi" w:cstheme="majorBidi"/>
          <w:i/>
          <w:iCs/>
          <w:lang w:eastAsia="fr-FR"/>
        </w:rPr>
        <w:t>et al.,</w:t>
      </w:r>
      <w:r w:rsidRPr="005D350F">
        <w:rPr>
          <w:rFonts w:asciiTheme="majorBidi" w:hAnsiTheme="majorBidi" w:cstheme="majorBidi"/>
          <w:lang w:eastAsia="fr-FR"/>
        </w:rPr>
        <w:t xml:space="preserve"> 2016)</w:t>
      </w:r>
      <w:r w:rsidRPr="005D350F">
        <w:rPr>
          <w:rFonts w:asciiTheme="majorBidi" w:hAnsiTheme="majorBidi" w:cstheme="majorBidi"/>
          <w:color w:val="4472C4" w:themeColor="accent1"/>
          <w:lang w:eastAsia="fr-FR"/>
        </w:rPr>
        <w:t> </w:t>
      </w:r>
      <w:r w:rsidRPr="005D350F">
        <w:rPr>
          <w:rFonts w:asciiTheme="majorBidi" w:hAnsiTheme="majorBidi" w:cstheme="majorBidi"/>
          <w:color w:val="000000" w:themeColor="text1"/>
          <w:lang w:eastAsia="fr-FR"/>
        </w:rPr>
        <w:t>.</w:t>
      </w:r>
      <w:r w:rsidRPr="005D350F">
        <w:rPr>
          <w:rFonts w:asciiTheme="majorBidi" w:hAnsiTheme="majorBidi" w:cstheme="majorBidi"/>
          <w:color w:val="000000" w:themeColor="text1"/>
          <w:sz w:val="20"/>
          <w:szCs w:val="20"/>
          <w:lang w:eastAsia="fr-FR"/>
        </w:rPr>
        <w:t xml:space="preserve">                                      </w:t>
      </w:r>
      <w:r>
        <w:rPr>
          <w:rFonts w:asciiTheme="majorBidi" w:hAnsiTheme="majorBidi" w:cstheme="majorBidi"/>
          <w:color w:val="1F1F1F"/>
          <w:lang w:eastAsia="fr-FR"/>
        </w:rPr>
        <w:t xml:space="preserve"> </w:t>
      </w:r>
      <w:r w:rsidRPr="008B6D7C">
        <w:rPr>
          <w:rFonts w:asciiTheme="majorBidi" w:hAnsiTheme="majorBidi" w:cstheme="majorBidi"/>
          <w:color w:val="1F1F1F"/>
          <w:lang w:eastAsia="fr-FR"/>
        </w:rPr>
        <w:t>Il existe trois principaux types de tissus adipeux chez les mammifères : le tissu adipeux blanc, le tissu adipeux brun et le tissu adipeux beige</w:t>
      </w:r>
      <w:r>
        <w:rPr>
          <w:rFonts w:asciiTheme="majorBidi" w:hAnsiTheme="majorBidi" w:cstheme="majorBidi"/>
          <w:color w:val="1F1F1F"/>
          <w:lang w:eastAsia="fr-FR"/>
        </w:rPr>
        <w:t>.</w:t>
      </w:r>
    </w:p>
    <w:p w14:paraId="32C444E3" w14:textId="1914FFAC" w:rsidR="00B1458C" w:rsidRDefault="0074055A" w:rsidP="00B1458C">
      <w:pPr>
        <w:pStyle w:val="Titre2"/>
        <w:rPr>
          <w:lang w:eastAsia="fr-FR"/>
        </w:rPr>
      </w:pPr>
      <w:bookmarkStart w:id="34" w:name="_Toc167472737"/>
      <w:bookmarkStart w:id="35" w:name="_Toc168302215"/>
      <w:bookmarkStart w:id="36" w:name="_Toc170226657"/>
      <w:r>
        <w:rPr>
          <w:lang w:eastAsia="fr-FR"/>
        </w:rPr>
        <w:t>T</w:t>
      </w:r>
      <w:r w:rsidR="00B1458C" w:rsidRPr="00B1458C">
        <w:rPr>
          <w:lang w:eastAsia="fr-FR"/>
        </w:rPr>
        <w:t>ypes de tissu adipeux</w:t>
      </w:r>
      <w:bookmarkEnd w:id="34"/>
      <w:r w:rsidR="001A3465">
        <w:rPr>
          <w:lang w:eastAsia="fr-FR"/>
        </w:rPr>
        <w:t xml:space="preserve"> et leurs localisation</w:t>
      </w:r>
      <w:bookmarkEnd w:id="35"/>
      <w:r w:rsidR="00E90E64">
        <w:rPr>
          <w:lang w:eastAsia="fr-FR"/>
        </w:rPr>
        <w:t>s</w:t>
      </w:r>
      <w:bookmarkEnd w:id="36"/>
    </w:p>
    <w:p w14:paraId="35C5C332" w14:textId="511C50AD" w:rsidR="00B1458C" w:rsidRPr="00774723" w:rsidRDefault="0074055A" w:rsidP="00B1458C">
      <w:pPr>
        <w:pStyle w:val="Titre3"/>
        <w:rPr>
          <w:b/>
          <w:bCs/>
          <w:lang w:eastAsia="fr-FR"/>
        </w:rPr>
      </w:pPr>
      <w:bookmarkStart w:id="37" w:name="_Toc167472738"/>
      <w:bookmarkStart w:id="38" w:name="_Toc168302216"/>
      <w:bookmarkStart w:id="39" w:name="_Toc170226658"/>
      <w:r>
        <w:rPr>
          <w:b/>
          <w:bCs/>
          <w:lang w:eastAsia="fr-FR"/>
        </w:rPr>
        <w:t>T</w:t>
      </w:r>
      <w:r w:rsidR="00B1458C" w:rsidRPr="00774723">
        <w:rPr>
          <w:b/>
          <w:bCs/>
          <w:lang w:eastAsia="fr-FR"/>
        </w:rPr>
        <w:t>issu adipeux blanc</w:t>
      </w:r>
      <w:bookmarkEnd w:id="37"/>
      <w:bookmarkEnd w:id="38"/>
      <w:bookmarkEnd w:id="39"/>
    </w:p>
    <w:p w14:paraId="3E217493" w14:textId="0A4A6274" w:rsidR="00B1458C" w:rsidRDefault="005715E0" w:rsidP="00FA0E00">
      <w:pPr>
        <w:pStyle w:val="Paragraphedeliste"/>
        <w:spacing w:line="360" w:lineRule="auto"/>
        <w:ind w:left="0"/>
        <w:jc w:val="both"/>
        <w:rPr>
          <w:rFonts w:asciiTheme="majorBidi" w:hAnsiTheme="majorBidi" w:cstheme="majorBidi"/>
          <w:sz w:val="24"/>
          <w:szCs w:val="24"/>
          <w:shd w:val="clear" w:color="auto" w:fill="FFFFFF"/>
        </w:rPr>
      </w:pPr>
      <w:r>
        <w:rPr>
          <w:rFonts w:asciiTheme="majorBidi" w:eastAsia="Times New Roman" w:hAnsiTheme="majorBidi" w:cstheme="majorBidi"/>
          <w:color w:val="1F1F1F"/>
          <w:sz w:val="24"/>
          <w:szCs w:val="24"/>
          <w:lang w:eastAsia="fr-FR"/>
        </w:rPr>
        <w:t>L</w:t>
      </w:r>
      <w:r w:rsidR="00B1458C" w:rsidRPr="008B6D7C">
        <w:rPr>
          <w:rFonts w:asciiTheme="majorBidi" w:eastAsia="Times New Roman" w:hAnsiTheme="majorBidi" w:cstheme="majorBidi"/>
          <w:color w:val="1F1F1F"/>
          <w:sz w:val="24"/>
          <w:szCs w:val="24"/>
          <w:lang w:eastAsia="fr-FR"/>
        </w:rPr>
        <w:t>e plus abondant, est principalement responsable du stockage de l'énergie et de l'isolation thermique. Il est composé d'adipocytes monoloculaires qui contiennent une seule grosse gouttelette de graisse</w:t>
      </w:r>
      <w:r w:rsidR="00B1458C" w:rsidRPr="00A24EB1">
        <w:rPr>
          <w:rFonts w:asciiTheme="majorBidi" w:hAnsiTheme="majorBidi" w:cstheme="majorBidi"/>
          <w:color w:val="4472C4" w:themeColor="accent1"/>
          <w:sz w:val="24"/>
          <w:szCs w:val="24"/>
          <w:lang w:eastAsia="fr-FR"/>
        </w:rPr>
        <w:t xml:space="preserve"> </w:t>
      </w:r>
      <w:r w:rsidR="00B1458C" w:rsidRPr="005D350F">
        <w:rPr>
          <w:rFonts w:asciiTheme="majorBidi" w:hAnsiTheme="majorBidi" w:cstheme="majorBidi"/>
          <w:sz w:val="24"/>
          <w:szCs w:val="24"/>
          <w:lang w:eastAsia="fr-FR"/>
        </w:rPr>
        <w:t>(</w:t>
      </w:r>
      <w:r w:rsidR="00B1458C" w:rsidRPr="005D350F">
        <w:rPr>
          <w:rFonts w:asciiTheme="majorBidi" w:hAnsiTheme="majorBidi" w:cstheme="majorBidi"/>
          <w:sz w:val="24"/>
          <w:szCs w:val="24"/>
          <w:shd w:val="clear" w:color="auto" w:fill="FFFFFF"/>
        </w:rPr>
        <w:t xml:space="preserve">Chait </w:t>
      </w:r>
      <w:r w:rsidR="00B1458C" w:rsidRPr="0074055A">
        <w:rPr>
          <w:rFonts w:asciiTheme="majorBidi" w:hAnsiTheme="majorBidi" w:cstheme="majorBidi"/>
          <w:sz w:val="24"/>
          <w:szCs w:val="24"/>
          <w:shd w:val="clear" w:color="auto" w:fill="FFFFFF"/>
        </w:rPr>
        <w:t>et</w:t>
      </w:r>
      <w:r w:rsidR="00B1458C" w:rsidRPr="005D350F">
        <w:rPr>
          <w:rFonts w:asciiTheme="majorBidi" w:hAnsiTheme="majorBidi" w:cstheme="majorBidi"/>
          <w:i/>
          <w:iCs/>
          <w:sz w:val="24"/>
          <w:szCs w:val="24"/>
          <w:shd w:val="clear" w:color="auto" w:fill="FFFFFF"/>
        </w:rPr>
        <w:t xml:space="preserve"> </w:t>
      </w:r>
      <w:r w:rsidR="00B1458C" w:rsidRPr="005D350F">
        <w:rPr>
          <w:rFonts w:asciiTheme="majorBidi" w:hAnsiTheme="majorBidi" w:cstheme="majorBidi"/>
          <w:sz w:val="24"/>
          <w:szCs w:val="24"/>
          <w:shd w:val="clear" w:color="auto" w:fill="FFFFFF"/>
        </w:rPr>
        <w:t>Den Hartigh ,2020).</w:t>
      </w:r>
    </w:p>
    <w:p w14:paraId="12D863BC" w14:textId="01FAE1D2" w:rsidR="00B1458C" w:rsidRDefault="00B1458C" w:rsidP="00FA0E00">
      <w:pPr>
        <w:pStyle w:val="Paragraphedeliste"/>
        <w:spacing w:line="360" w:lineRule="auto"/>
        <w:ind w:left="0"/>
        <w:jc w:val="both"/>
        <w:rPr>
          <w:rFonts w:ascii="Times New Roman" w:hAnsi="Times New Roman" w:cs="Times New Roman"/>
          <w:color w:val="000000" w:themeColor="text1"/>
          <w:sz w:val="24"/>
          <w:szCs w:val="24"/>
        </w:rPr>
      </w:pPr>
      <w:r w:rsidRPr="00C4001A">
        <w:rPr>
          <w:rFonts w:ascii="Times New Roman" w:hAnsi="Times New Roman" w:cs="Times New Roman"/>
          <w:sz w:val="24"/>
          <w:szCs w:val="24"/>
        </w:rPr>
        <w:t xml:space="preserve">Chez l’homme, le TA blanc est l’un des organes les plus volumineux, qui peut atteindre 45 kg </w:t>
      </w:r>
      <w:r>
        <w:rPr>
          <w:rFonts w:ascii="Times New Roman" w:hAnsi="Times New Roman" w:cs="Times New Roman"/>
          <w:sz w:val="24"/>
          <w:szCs w:val="24"/>
        </w:rPr>
        <w:t>ou plus chez le sujet obèse,</w:t>
      </w:r>
      <w:r w:rsidRPr="00C4001A">
        <w:rPr>
          <w:rFonts w:ascii="Times New Roman" w:hAnsi="Times New Roman" w:cs="Times New Roman"/>
          <w:sz w:val="24"/>
          <w:szCs w:val="24"/>
        </w:rPr>
        <w:t xml:space="preserve"> généralement, il existe plusieurs types de TAB comme le tissu adipeux de soutien et le tissu de la moelle osseuse, aussi bien le TA sous cutanée et viscéral (participent notablement au métabolisme énergétique), Les TA sous-cutanés sont plus riches en eau et en acides gras mono insaturés et à chaîne ramifiée que les tissus viscéraux</w:t>
      </w:r>
      <w:r>
        <w:t xml:space="preserve"> </w:t>
      </w:r>
      <w:r w:rsidRPr="005D350F">
        <w:rPr>
          <w:rFonts w:ascii="Times New Roman" w:hAnsi="Times New Roman" w:cs="Times New Roman"/>
          <w:color w:val="000000" w:themeColor="text1"/>
          <w:sz w:val="24"/>
          <w:szCs w:val="24"/>
        </w:rPr>
        <w:t xml:space="preserve">(Alligier </w:t>
      </w:r>
      <w:r>
        <w:rPr>
          <w:rFonts w:ascii="Times New Roman" w:hAnsi="Times New Roman" w:cs="Times New Roman"/>
          <w:i/>
          <w:iCs/>
          <w:color w:val="000000" w:themeColor="text1"/>
          <w:sz w:val="24"/>
          <w:szCs w:val="24"/>
        </w:rPr>
        <w:t>et al.</w:t>
      </w:r>
      <w:r w:rsidRPr="005D350F">
        <w:rPr>
          <w:rFonts w:ascii="Times New Roman" w:hAnsi="Times New Roman" w:cs="Times New Roman"/>
          <w:i/>
          <w:iCs/>
          <w:color w:val="000000" w:themeColor="text1"/>
          <w:sz w:val="24"/>
          <w:szCs w:val="24"/>
        </w:rPr>
        <w:t xml:space="preserve"> , </w:t>
      </w:r>
      <w:r w:rsidRPr="005D350F">
        <w:rPr>
          <w:rFonts w:ascii="Times New Roman" w:hAnsi="Times New Roman" w:cs="Times New Roman"/>
          <w:color w:val="000000" w:themeColor="text1"/>
          <w:sz w:val="24"/>
          <w:szCs w:val="24"/>
        </w:rPr>
        <w:t>2013)</w:t>
      </w:r>
      <w:r>
        <w:rPr>
          <w:rFonts w:ascii="Times New Roman" w:hAnsi="Times New Roman" w:cs="Times New Roman"/>
          <w:color w:val="000000" w:themeColor="text1"/>
          <w:sz w:val="24"/>
          <w:szCs w:val="24"/>
        </w:rPr>
        <w:t>.</w:t>
      </w:r>
    </w:p>
    <w:p w14:paraId="370EAD36" w14:textId="77777777" w:rsidR="005715E0" w:rsidRDefault="005715E0" w:rsidP="005715E0">
      <w:pPr>
        <w:rPr>
          <w:rFonts w:asciiTheme="majorBidi" w:hAnsiTheme="majorBidi" w:cstheme="majorBidi"/>
          <w:color w:val="000000" w:themeColor="text1"/>
          <w:shd w:val="clear" w:color="auto" w:fill="FFFFFF"/>
        </w:rPr>
      </w:pPr>
      <w:r w:rsidRPr="00425D10">
        <w:rPr>
          <w:color w:val="222222"/>
          <w:shd w:val="clear" w:color="auto" w:fill="FFFFFF"/>
        </w:rPr>
        <w:t>Les principales réserves de graisse blanche se trouvent à la fois sous la peau, dans ce qu'on appelle la couche sous-cutanée, et dans la cavité abdominale ou viscérale, entourant des organes tels que le cœur, les reins, les poumons, les seins et la moelle osseuse. La distribution des tissus adipeux varie d'une personne à l'autre, en fonction du sexe, de l'âge et en réponse à certaines maladies. L'accumulation de graisse viscérale est liée à un risque accru de maladies cardiovasculaires et de diabète de type 2</w:t>
      </w:r>
      <w:r>
        <w:rPr>
          <w:rFonts w:ascii="Arial" w:hAnsi="Arial" w:cs="Arial"/>
          <w:color w:val="222222"/>
          <w:sz w:val="20"/>
          <w:szCs w:val="20"/>
          <w:shd w:val="clear" w:color="auto" w:fill="FFFFFF"/>
        </w:rPr>
        <w:t xml:space="preserve"> </w:t>
      </w:r>
      <w:r w:rsidRPr="0000722E">
        <w:rPr>
          <w:rFonts w:ascii="Arial" w:hAnsi="Arial" w:cs="Arial"/>
          <w:color w:val="FF0000"/>
          <w:sz w:val="20"/>
          <w:szCs w:val="20"/>
          <w:shd w:val="clear" w:color="auto" w:fill="FFFFFF"/>
        </w:rPr>
        <w:t xml:space="preserve"> </w:t>
      </w:r>
      <w:r w:rsidRPr="005D350F">
        <w:rPr>
          <w:rFonts w:asciiTheme="majorBidi" w:hAnsiTheme="majorBidi" w:cstheme="majorBidi"/>
          <w:color w:val="000000" w:themeColor="text1"/>
          <w:shd w:val="clear" w:color="auto" w:fill="FFFFFF"/>
        </w:rPr>
        <w:t>(</w:t>
      </w:r>
      <w:r>
        <w:rPr>
          <w:rFonts w:asciiTheme="majorBidi" w:hAnsiTheme="majorBidi" w:cstheme="majorBidi"/>
          <w:color w:val="000000" w:themeColor="text1"/>
          <w:shd w:val="clear" w:color="auto" w:fill="FFFFFF"/>
        </w:rPr>
        <w:t>Tordjman,</w:t>
      </w:r>
      <w:r w:rsidRPr="005D350F">
        <w:rPr>
          <w:rFonts w:asciiTheme="majorBidi" w:hAnsiTheme="majorBidi" w:cstheme="majorBidi"/>
          <w:color w:val="000000" w:themeColor="text1"/>
          <w:shd w:val="clear" w:color="auto" w:fill="FFFFFF"/>
        </w:rPr>
        <w:t xml:space="preserve"> 2013).</w:t>
      </w:r>
    </w:p>
    <w:p w14:paraId="089AD5F4" w14:textId="77777777" w:rsidR="005715E0" w:rsidRDefault="005715E0" w:rsidP="00B1458C">
      <w:pPr>
        <w:pStyle w:val="Paragraphedeliste"/>
        <w:spacing w:line="360" w:lineRule="auto"/>
        <w:ind w:left="0"/>
        <w:rPr>
          <w:rFonts w:ascii="Times New Roman" w:hAnsi="Times New Roman" w:cs="Times New Roman"/>
          <w:color w:val="000000" w:themeColor="text1"/>
          <w:sz w:val="24"/>
          <w:szCs w:val="24"/>
        </w:rPr>
      </w:pPr>
    </w:p>
    <w:p w14:paraId="7BFD9A90" w14:textId="77777777" w:rsidR="005715E0" w:rsidRDefault="005715E0" w:rsidP="00B1458C">
      <w:pPr>
        <w:pStyle w:val="Paragraphedeliste"/>
        <w:spacing w:line="360" w:lineRule="auto"/>
        <w:ind w:left="0"/>
        <w:rPr>
          <w:rFonts w:ascii="Times New Roman" w:hAnsi="Times New Roman" w:cs="Times New Roman"/>
          <w:color w:val="000000" w:themeColor="text1"/>
          <w:sz w:val="24"/>
          <w:szCs w:val="24"/>
        </w:rPr>
      </w:pPr>
    </w:p>
    <w:p w14:paraId="10B5E0AD" w14:textId="71C98828" w:rsidR="00B1458C" w:rsidRPr="00774723" w:rsidRDefault="0074055A" w:rsidP="00B1458C">
      <w:pPr>
        <w:pStyle w:val="Titre3"/>
        <w:rPr>
          <w:rFonts w:eastAsia="Times New Roman"/>
          <w:b/>
          <w:bCs/>
          <w:lang w:eastAsia="fr-FR"/>
        </w:rPr>
      </w:pPr>
      <w:bookmarkStart w:id="40" w:name="_Toc167472739"/>
      <w:bookmarkStart w:id="41" w:name="_Toc168302217"/>
      <w:bookmarkStart w:id="42" w:name="_Toc170226659"/>
      <w:r>
        <w:rPr>
          <w:rFonts w:eastAsia="Times New Roman"/>
          <w:b/>
          <w:bCs/>
          <w:lang w:eastAsia="fr-FR"/>
        </w:rPr>
        <w:lastRenderedPageBreak/>
        <w:t>T</w:t>
      </w:r>
      <w:r w:rsidR="00B1458C" w:rsidRPr="00774723">
        <w:rPr>
          <w:rFonts w:eastAsia="Times New Roman"/>
          <w:b/>
          <w:bCs/>
          <w:lang w:eastAsia="fr-FR"/>
        </w:rPr>
        <w:t>issu adipeux brun</w:t>
      </w:r>
      <w:bookmarkEnd w:id="40"/>
      <w:bookmarkEnd w:id="41"/>
      <w:bookmarkEnd w:id="42"/>
    </w:p>
    <w:p w14:paraId="5B2554F5" w14:textId="77777777" w:rsidR="00B1458C" w:rsidRDefault="00B1458C" w:rsidP="00B1458C">
      <w:pPr>
        <w:rPr>
          <w:lang w:eastAsia="fr-FR"/>
        </w:rPr>
      </w:pPr>
      <w:r>
        <w:rPr>
          <w:lang w:eastAsia="fr-FR"/>
        </w:rPr>
        <w:t xml:space="preserve">Le tissu adipeux brun (TABr) est une forme de tissu spécialisé qui joue un rôle dans la production de chaleur corporelle, un processus appelé thermogenèse. Son activation principale se produit généralement en réponse au froid, par le biais de la stimulation du système nerveux sympathique. Il a été suggéré que stimuler le TABr, ce qui augmente la dépense énergétique, pourrait être une approche thérapeutique intéressante pour traiter l'obésité. Cependant, il a été observé que les patients obèses présentent une diminution de l'activation du TABr en réponse au froid. Chez les humains, le tissu adipeux brun est présent chez le fœtus et le nouveau-né, mais il diminue rapidement par la suite (Carey </w:t>
      </w:r>
      <w:r w:rsidRPr="00B1458C">
        <w:rPr>
          <w:i/>
          <w:iCs/>
          <w:lang w:eastAsia="fr-FR"/>
        </w:rPr>
        <w:t>et al.,</w:t>
      </w:r>
      <w:r>
        <w:rPr>
          <w:lang w:eastAsia="fr-FR"/>
        </w:rPr>
        <w:t xml:space="preserve"> 2013). </w:t>
      </w:r>
    </w:p>
    <w:p w14:paraId="46530A0B" w14:textId="77777777" w:rsidR="005715E0" w:rsidRDefault="005715E0" w:rsidP="005715E0">
      <w:pPr>
        <w:rPr>
          <w:rFonts w:asciiTheme="majorBidi" w:hAnsiTheme="majorBidi" w:cstheme="majorBidi"/>
          <w:color w:val="000000" w:themeColor="text1"/>
          <w:lang w:eastAsia="fr-FR"/>
        </w:rPr>
      </w:pPr>
      <w:r w:rsidRPr="00425D10">
        <w:rPr>
          <w:rFonts w:asciiTheme="majorBidi" w:hAnsiTheme="majorBidi" w:cstheme="majorBidi"/>
          <w:color w:val="000000" w:themeColor="text1"/>
          <w:lang w:eastAsia="fr-FR"/>
        </w:rPr>
        <w:t>Les tissus adipeux bruns sont localisés autour des organes tels que le cœur, les reins, les poumons, les seins et la moelle osseuse. De plus, il existe du tissu adipeux sous-cutané et v</w:t>
      </w:r>
      <w:r>
        <w:rPr>
          <w:rFonts w:asciiTheme="majorBidi" w:hAnsiTheme="majorBidi" w:cstheme="majorBidi"/>
          <w:color w:val="000000" w:themeColor="text1"/>
          <w:lang w:eastAsia="fr-FR"/>
        </w:rPr>
        <w:t>iscéral entourant les intestins (Ouchi </w:t>
      </w:r>
      <w:r>
        <w:rPr>
          <w:rFonts w:asciiTheme="majorBidi" w:hAnsiTheme="majorBidi" w:cstheme="majorBidi"/>
          <w:i/>
          <w:iCs/>
          <w:color w:val="000000" w:themeColor="text1"/>
          <w:lang w:eastAsia="fr-FR"/>
        </w:rPr>
        <w:t>et al</w:t>
      </w:r>
      <w:r>
        <w:rPr>
          <w:rFonts w:asciiTheme="majorBidi" w:hAnsiTheme="majorBidi" w:cstheme="majorBidi"/>
          <w:color w:val="000000" w:themeColor="text1"/>
          <w:lang w:eastAsia="fr-FR"/>
        </w:rPr>
        <w:t xml:space="preserve">., 2011). </w:t>
      </w:r>
    </w:p>
    <w:p w14:paraId="3E61BB16" w14:textId="4ED3ED62" w:rsidR="005715E0" w:rsidRPr="001A3465" w:rsidRDefault="005715E0" w:rsidP="001A3465">
      <w:pPr>
        <w:rPr>
          <w:rFonts w:asciiTheme="majorBidi" w:hAnsiTheme="majorBidi" w:cstheme="majorBidi"/>
          <w:color w:val="000000" w:themeColor="text1"/>
          <w:lang w:eastAsia="fr-FR"/>
        </w:rPr>
      </w:pPr>
      <w:r w:rsidRPr="00FE1672">
        <w:rPr>
          <w:lang w:eastAsia="fr-FR"/>
        </w:rPr>
        <w:t>Le tissu adipeux à plusieurs vacuoles est présent dans un organe adipeux proche de l'aorte thoracique chez le rat, mais cette variété de tissu adipeux est restreinte à certaines zones du corps chez l'adulte, comme les creux des aisselles, la région du cou, le médiastin et la peau du dos, entre autres (Elaine, 2008)</w:t>
      </w:r>
      <w:r>
        <w:rPr>
          <w:lang w:eastAsia="fr-FR"/>
        </w:rPr>
        <w:t>.</w:t>
      </w:r>
    </w:p>
    <w:p w14:paraId="76AE6F44" w14:textId="3203C0F6" w:rsidR="00B1458C" w:rsidRDefault="00B1458C" w:rsidP="00B1458C">
      <w:pPr>
        <w:rPr>
          <w:lang w:eastAsia="fr-FR"/>
        </w:rPr>
      </w:pPr>
      <w:r>
        <w:rPr>
          <w:lang w:eastAsia="fr-FR"/>
        </w:rPr>
        <w:t xml:space="preserve">Il existe plusieurs différences en termes </w:t>
      </w:r>
      <w:r w:rsidR="00FA0E00">
        <w:rPr>
          <w:lang w:eastAsia="fr-FR"/>
        </w:rPr>
        <w:t xml:space="preserve">et de forme et de fonction, </w:t>
      </w:r>
      <w:r>
        <w:rPr>
          <w:lang w:eastAsia="fr-FR"/>
        </w:rPr>
        <w:t>entre le tissu adipeux b</w:t>
      </w:r>
      <w:r w:rsidR="00CD7B5F">
        <w:rPr>
          <w:lang w:eastAsia="fr-FR"/>
        </w:rPr>
        <w:t>lanc et le tissu adipeux brun (t</w:t>
      </w:r>
      <w:r>
        <w:rPr>
          <w:lang w:eastAsia="fr-FR"/>
        </w:rPr>
        <w:t>ableau 1).</w:t>
      </w:r>
    </w:p>
    <w:p w14:paraId="76E88585" w14:textId="2A7C30A7" w:rsidR="00C17DE7" w:rsidRPr="00FE1672" w:rsidRDefault="00C17DE7" w:rsidP="00FE1672">
      <w:pPr>
        <w:pStyle w:val="Lgende"/>
        <w:rPr>
          <w:i w:val="0"/>
          <w:iCs w:val="0"/>
          <w:color w:val="000000" w:themeColor="text1"/>
          <w:sz w:val="24"/>
          <w:szCs w:val="24"/>
          <w:lang w:eastAsia="fr-FR"/>
        </w:rPr>
      </w:pPr>
      <w:bookmarkStart w:id="43" w:name="_Toc168305017"/>
      <w:r w:rsidRPr="00774723">
        <w:rPr>
          <w:b/>
          <w:bCs/>
          <w:i w:val="0"/>
          <w:iCs w:val="0"/>
          <w:color w:val="000000" w:themeColor="text1"/>
          <w:sz w:val="24"/>
          <w:szCs w:val="24"/>
        </w:rPr>
        <w:t xml:space="preserve">Tableau </w:t>
      </w:r>
      <w:r w:rsidRPr="00774723">
        <w:rPr>
          <w:b/>
          <w:bCs/>
          <w:i w:val="0"/>
          <w:iCs w:val="0"/>
          <w:color w:val="000000" w:themeColor="text1"/>
          <w:sz w:val="24"/>
          <w:szCs w:val="24"/>
        </w:rPr>
        <w:fldChar w:fldCharType="begin"/>
      </w:r>
      <w:r w:rsidRPr="00774723">
        <w:rPr>
          <w:b/>
          <w:bCs/>
          <w:i w:val="0"/>
          <w:iCs w:val="0"/>
          <w:color w:val="000000" w:themeColor="text1"/>
          <w:sz w:val="24"/>
          <w:szCs w:val="24"/>
        </w:rPr>
        <w:instrText xml:space="preserve"> SEQ Tableau \* ARABIC </w:instrText>
      </w:r>
      <w:r w:rsidRPr="00774723">
        <w:rPr>
          <w:b/>
          <w:bCs/>
          <w:i w:val="0"/>
          <w:iCs w:val="0"/>
          <w:color w:val="000000" w:themeColor="text1"/>
          <w:sz w:val="24"/>
          <w:szCs w:val="24"/>
        </w:rPr>
        <w:fldChar w:fldCharType="separate"/>
      </w:r>
      <w:r w:rsidR="00B5205A">
        <w:rPr>
          <w:b/>
          <w:bCs/>
          <w:i w:val="0"/>
          <w:iCs w:val="0"/>
          <w:noProof/>
          <w:color w:val="000000" w:themeColor="text1"/>
          <w:sz w:val="24"/>
          <w:szCs w:val="24"/>
        </w:rPr>
        <w:t>1</w:t>
      </w:r>
      <w:r w:rsidRPr="00774723">
        <w:rPr>
          <w:b/>
          <w:bCs/>
          <w:i w:val="0"/>
          <w:iCs w:val="0"/>
          <w:color w:val="000000" w:themeColor="text1"/>
          <w:sz w:val="24"/>
          <w:szCs w:val="24"/>
        </w:rPr>
        <w:fldChar w:fldCharType="end"/>
      </w:r>
      <w:r w:rsidRPr="00774723">
        <w:rPr>
          <w:b/>
          <w:bCs/>
          <w:i w:val="0"/>
          <w:iCs w:val="0"/>
          <w:color w:val="000000" w:themeColor="text1"/>
          <w:sz w:val="24"/>
          <w:szCs w:val="24"/>
        </w:rPr>
        <w:t>.</w:t>
      </w:r>
      <w:r w:rsidRPr="00FE1672">
        <w:rPr>
          <w:i w:val="0"/>
          <w:iCs w:val="0"/>
          <w:color w:val="000000" w:themeColor="text1"/>
          <w:sz w:val="24"/>
          <w:szCs w:val="24"/>
        </w:rPr>
        <w:t xml:space="preserve"> Les </w:t>
      </w:r>
      <w:r w:rsidR="00774723" w:rsidRPr="00FE1672">
        <w:rPr>
          <w:i w:val="0"/>
          <w:iCs w:val="0"/>
          <w:color w:val="000000" w:themeColor="text1"/>
          <w:sz w:val="24"/>
          <w:szCs w:val="24"/>
        </w:rPr>
        <w:t>différence</w:t>
      </w:r>
      <w:r w:rsidRPr="00FE1672">
        <w:rPr>
          <w:i w:val="0"/>
          <w:iCs w:val="0"/>
          <w:color w:val="000000" w:themeColor="text1"/>
          <w:sz w:val="24"/>
          <w:szCs w:val="24"/>
        </w:rPr>
        <w:t xml:space="preserve"> </w:t>
      </w:r>
      <w:r w:rsidR="00774723" w:rsidRPr="00FE1672">
        <w:rPr>
          <w:i w:val="0"/>
          <w:iCs w:val="0"/>
          <w:color w:val="000000" w:themeColor="text1"/>
          <w:sz w:val="24"/>
          <w:szCs w:val="24"/>
        </w:rPr>
        <w:t>fonctionnelles</w:t>
      </w:r>
      <w:r w:rsidRPr="00FE1672">
        <w:rPr>
          <w:i w:val="0"/>
          <w:iCs w:val="0"/>
          <w:color w:val="000000" w:themeColor="text1"/>
          <w:sz w:val="24"/>
          <w:szCs w:val="24"/>
        </w:rPr>
        <w:t xml:space="preserve"> entre tissus adipeux bla</w:t>
      </w:r>
      <w:r w:rsidR="00FE1672">
        <w:rPr>
          <w:i w:val="0"/>
          <w:iCs w:val="0"/>
          <w:color w:val="000000" w:themeColor="text1"/>
          <w:sz w:val="24"/>
          <w:szCs w:val="24"/>
        </w:rPr>
        <w:t>n</w:t>
      </w:r>
      <w:r w:rsidR="00E66E6D">
        <w:rPr>
          <w:i w:val="0"/>
          <w:iCs w:val="0"/>
          <w:color w:val="000000" w:themeColor="text1"/>
          <w:sz w:val="24"/>
          <w:szCs w:val="24"/>
        </w:rPr>
        <w:t>c et brun</w:t>
      </w:r>
      <w:r w:rsidR="00FE1672">
        <w:rPr>
          <w:i w:val="0"/>
          <w:iCs w:val="0"/>
          <w:color w:val="000000" w:themeColor="text1"/>
          <w:sz w:val="24"/>
          <w:szCs w:val="24"/>
        </w:rPr>
        <w:t xml:space="preserve"> </w:t>
      </w:r>
      <w:r w:rsidR="00FE1672" w:rsidRPr="00FE1672">
        <w:rPr>
          <w:i w:val="0"/>
          <w:iCs w:val="0"/>
          <w:color w:val="000000" w:themeColor="text1"/>
          <w:sz w:val="24"/>
          <w:szCs w:val="24"/>
        </w:rPr>
        <w:t xml:space="preserve">(kuhn </w:t>
      </w:r>
      <w:r w:rsidR="00FE1672" w:rsidRPr="00FE1672">
        <w:rPr>
          <w:color w:val="000000" w:themeColor="text1"/>
          <w:sz w:val="24"/>
          <w:szCs w:val="24"/>
        </w:rPr>
        <w:t>et al.,</w:t>
      </w:r>
      <w:r w:rsidR="00FE1672" w:rsidRPr="00FE1672">
        <w:rPr>
          <w:i w:val="0"/>
          <w:iCs w:val="0"/>
          <w:color w:val="000000" w:themeColor="text1"/>
          <w:sz w:val="24"/>
          <w:szCs w:val="24"/>
        </w:rPr>
        <w:t xml:space="preserve"> 2012)</w:t>
      </w:r>
      <w:r w:rsidR="00FE1672">
        <w:rPr>
          <w:i w:val="0"/>
          <w:iCs w:val="0"/>
          <w:color w:val="000000" w:themeColor="text1"/>
          <w:sz w:val="24"/>
          <w:szCs w:val="24"/>
        </w:rPr>
        <w:t>.</w:t>
      </w:r>
      <w:bookmarkEnd w:id="43"/>
    </w:p>
    <w:tbl>
      <w:tblPr>
        <w:tblpPr w:leftFromText="141" w:rightFromText="141" w:vertAnchor="text"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52"/>
        <w:gridCol w:w="3022"/>
        <w:gridCol w:w="3469"/>
      </w:tblGrid>
      <w:tr w:rsidR="00C17DE7" w:rsidRPr="00C17DE7" w14:paraId="13B562E9" w14:textId="77777777" w:rsidTr="008762BC">
        <w:trPr>
          <w:trHeight w:val="597"/>
        </w:trPr>
        <w:tc>
          <w:tcPr>
            <w:tcW w:w="2552" w:type="dxa"/>
            <w:tcBorders>
              <w:bottom w:val="single" w:sz="2" w:space="0" w:color="000000"/>
              <w:right w:val="single" w:sz="2" w:space="0" w:color="000000"/>
            </w:tcBorders>
          </w:tcPr>
          <w:p w14:paraId="21471BBB" w14:textId="77777777" w:rsidR="00C17DE7" w:rsidRPr="00C17DE7" w:rsidRDefault="00C17DE7" w:rsidP="008762BC">
            <w:pPr>
              <w:rPr>
                <w:b/>
                <w:lang w:eastAsia="fr-FR"/>
              </w:rPr>
            </w:pPr>
            <w:r w:rsidRPr="00C17DE7">
              <w:rPr>
                <w:b/>
                <w:lang w:eastAsia="fr-FR"/>
              </w:rPr>
              <w:t>Caractéristiques</w:t>
            </w:r>
          </w:p>
        </w:tc>
        <w:tc>
          <w:tcPr>
            <w:tcW w:w="3022" w:type="dxa"/>
            <w:tcBorders>
              <w:left w:val="single" w:sz="2" w:space="0" w:color="000000"/>
              <w:bottom w:val="single" w:sz="2" w:space="0" w:color="000000"/>
              <w:right w:val="single" w:sz="2" w:space="0" w:color="000000"/>
            </w:tcBorders>
          </w:tcPr>
          <w:p w14:paraId="3FFFA628" w14:textId="77777777" w:rsidR="00C17DE7" w:rsidRPr="00C17DE7" w:rsidRDefault="00C17DE7" w:rsidP="008762BC">
            <w:pPr>
              <w:rPr>
                <w:b/>
                <w:lang w:eastAsia="fr-FR"/>
              </w:rPr>
            </w:pPr>
            <w:r w:rsidRPr="00C17DE7">
              <w:rPr>
                <w:b/>
                <w:lang w:eastAsia="fr-FR"/>
              </w:rPr>
              <w:t>TA blanc</w:t>
            </w:r>
          </w:p>
        </w:tc>
        <w:tc>
          <w:tcPr>
            <w:tcW w:w="3469" w:type="dxa"/>
            <w:tcBorders>
              <w:left w:val="single" w:sz="2" w:space="0" w:color="000000"/>
              <w:bottom w:val="single" w:sz="2" w:space="0" w:color="000000"/>
            </w:tcBorders>
          </w:tcPr>
          <w:p w14:paraId="4D962279" w14:textId="77777777" w:rsidR="00C17DE7" w:rsidRPr="00C17DE7" w:rsidRDefault="00C17DE7" w:rsidP="008762BC">
            <w:pPr>
              <w:rPr>
                <w:b/>
                <w:lang w:eastAsia="fr-FR"/>
              </w:rPr>
            </w:pPr>
            <w:r w:rsidRPr="00C17DE7">
              <w:rPr>
                <w:b/>
                <w:lang w:eastAsia="fr-FR"/>
              </w:rPr>
              <w:t>TA brun</w:t>
            </w:r>
          </w:p>
        </w:tc>
      </w:tr>
      <w:tr w:rsidR="00C17DE7" w:rsidRPr="00C17DE7" w14:paraId="012D1F6D" w14:textId="77777777" w:rsidTr="008762BC">
        <w:trPr>
          <w:trHeight w:val="1766"/>
        </w:trPr>
        <w:tc>
          <w:tcPr>
            <w:tcW w:w="2552" w:type="dxa"/>
            <w:tcBorders>
              <w:top w:val="single" w:sz="2" w:space="0" w:color="000000"/>
              <w:bottom w:val="single" w:sz="2" w:space="0" w:color="000000"/>
              <w:right w:val="single" w:sz="2" w:space="0" w:color="000000"/>
            </w:tcBorders>
          </w:tcPr>
          <w:p w14:paraId="30A04E27" w14:textId="77777777" w:rsidR="00C17DE7" w:rsidRPr="00C17DE7" w:rsidRDefault="00C17DE7" w:rsidP="008762BC">
            <w:pPr>
              <w:rPr>
                <w:b/>
                <w:lang w:eastAsia="fr-FR"/>
              </w:rPr>
            </w:pPr>
          </w:p>
          <w:p w14:paraId="10E2E8EA" w14:textId="77777777" w:rsidR="00C17DE7" w:rsidRPr="00C17DE7" w:rsidRDefault="00C17DE7" w:rsidP="008762BC">
            <w:pPr>
              <w:rPr>
                <w:b/>
                <w:lang w:eastAsia="fr-FR"/>
              </w:rPr>
            </w:pPr>
          </w:p>
          <w:p w14:paraId="6C0E1C11" w14:textId="77777777" w:rsidR="00C17DE7" w:rsidRPr="00C17DE7" w:rsidRDefault="00C17DE7" w:rsidP="008762BC">
            <w:pPr>
              <w:rPr>
                <w:b/>
                <w:lang w:eastAsia="fr-FR"/>
              </w:rPr>
            </w:pPr>
            <w:r w:rsidRPr="00C17DE7">
              <w:rPr>
                <w:b/>
                <w:lang w:eastAsia="fr-FR"/>
              </w:rPr>
              <w:t>Fonction</w:t>
            </w:r>
          </w:p>
        </w:tc>
        <w:tc>
          <w:tcPr>
            <w:tcW w:w="3022" w:type="dxa"/>
            <w:tcBorders>
              <w:top w:val="single" w:sz="2" w:space="0" w:color="000000"/>
              <w:left w:val="single" w:sz="2" w:space="0" w:color="000000"/>
              <w:bottom w:val="single" w:sz="2" w:space="0" w:color="000000"/>
              <w:right w:val="single" w:sz="2" w:space="0" w:color="000000"/>
            </w:tcBorders>
          </w:tcPr>
          <w:p w14:paraId="3F92E0B7" w14:textId="655F49AA" w:rsidR="00FE1672" w:rsidRDefault="00C17DE7" w:rsidP="008762BC">
            <w:pPr>
              <w:rPr>
                <w:lang w:eastAsia="fr-FR"/>
              </w:rPr>
            </w:pPr>
            <w:r w:rsidRPr="00C17DE7">
              <w:rPr>
                <w:lang w:eastAsia="fr-FR"/>
              </w:rPr>
              <w:t xml:space="preserve">Adipogenèse </w:t>
            </w:r>
          </w:p>
          <w:p w14:paraId="6D54A382" w14:textId="77777777" w:rsidR="00FE1672" w:rsidRDefault="00C17DE7" w:rsidP="008762BC">
            <w:pPr>
              <w:rPr>
                <w:lang w:eastAsia="fr-FR"/>
              </w:rPr>
            </w:pPr>
            <w:r w:rsidRPr="00C17DE7">
              <w:rPr>
                <w:lang w:eastAsia="fr-FR"/>
              </w:rPr>
              <w:t>Lipogenèse</w:t>
            </w:r>
          </w:p>
          <w:p w14:paraId="7457A7D1" w14:textId="6311B43A" w:rsidR="00C17DE7" w:rsidRPr="00C17DE7" w:rsidRDefault="00C17DE7" w:rsidP="008762BC">
            <w:pPr>
              <w:rPr>
                <w:lang w:eastAsia="fr-FR"/>
              </w:rPr>
            </w:pPr>
            <w:r w:rsidRPr="00C17DE7">
              <w:rPr>
                <w:lang w:eastAsia="fr-FR"/>
              </w:rPr>
              <w:t xml:space="preserve"> Lipolyse</w:t>
            </w:r>
          </w:p>
          <w:p w14:paraId="61CDEFA4" w14:textId="77777777" w:rsidR="00C17DE7" w:rsidRPr="00C17DE7" w:rsidRDefault="00C17DE7" w:rsidP="008762BC">
            <w:pPr>
              <w:rPr>
                <w:lang w:eastAsia="fr-FR"/>
              </w:rPr>
            </w:pPr>
            <w:r w:rsidRPr="00C17DE7">
              <w:rPr>
                <w:lang w:eastAsia="fr-FR"/>
              </w:rPr>
              <w:t>Sécrétion d’adipokines</w:t>
            </w:r>
          </w:p>
        </w:tc>
        <w:tc>
          <w:tcPr>
            <w:tcW w:w="3469" w:type="dxa"/>
            <w:tcBorders>
              <w:top w:val="single" w:sz="2" w:space="0" w:color="000000"/>
              <w:left w:val="single" w:sz="2" w:space="0" w:color="000000"/>
              <w:bottom w:val="single" w:sz="2" w:space="0" w:color="000000"/>
            </w:tcBorders>
          </w:tcPr>
          <w:p w14:paraId="77C5FAA2" w14:textId="77777777" w:rsidR="00C17DE7" w:rsidRPr="00C17DE7" w:rsidRDefault="00C17DE7" w:rsidP="008762BC">
            <w:pPr>
              <w:rPr>
                <w:lang w:eastAsia="fr-FR"/>
              </w:rPr>
            </w:pPr>
            <w:r w:rsidRPr="00C17DE7">
              <w:rPr>
                <w:lang w:eastAsia="fr-FR"/>
              </w:rPr>
              <w:t>Thermogenèse</w:t>
            </w:r>
          </w:p>
        </w:tc>
      </w:tr>
      <w:tr w:rsidR="00C17DE7" w:rsidRPr="00C17DE7" w14:paraId="705E76A2" w14:textId="77777777" w:rsidTr="008762BC">
        <w:trPr>
          <w:trHeight w:val="1763"/>
        </w:trPr>
        <w:tc>
          <w:tcPr>
            <w:tcW w:w="2552" w:type="dxa"/>
            <w:tcBorders>
              <w:top w:val="single" w:sz="2" w:space="0" w:color="000000"/>
              <w:bottom w:val="single" w:sz="2" w:space="0" w:color="000000"/>
              <w:right w:val="single" w:sz="2" w:space="0" w:color="000000"/>
            </w:tcBorders>
          </w:tcPr>
          <w:p w14:paraId="3B1B54C4" w14:textId="77777777" w:rsidR="00C17DE7" w:rsidRPr="00C17DE7" w:rsidRDefault="00C17DE7" w:rsidP="008762BC">
            <w:pPr>
              <w:rPr>
                <w:b/>
                <w:lang w:eastAsia="fr-FR"/>
              </w:rPr>
            </w:pPr>
          </w:p>
          <w:p w14:paraId="228FB793" w14:textId="77777777" w:rsidR="00C17DE7" w:rsidRPr="00C17DE7" w:rsidRDefault="00C17DE7" w:rsidP="008762BC">
            <w:pPr>
              <w:rPr>
                <w:b/>
                <w:lang w:eastAsia="fr-FR"/>
              </w:rPr>
            </w:pPr>
          </w:p>
          <w:p w14:paraId="7E825592" w14:textId="77777777" w:rsidR="00C17DE7" w:rsidRPr="00C17DE7" w:rsidRDefault="00C17DE7" w:rsidP="008762BC">
            <w:pPr>
              <w:rPr>
                <w:b/>
                <w:lang w:eastAsia="fr-FR"/>
              </w:rPr>
            </w:pPr>
            <w:r w:rsidRPr="00C17DE7">
              <w:rPr>
                <w:b/>
                <w:lang w:eastAsia="fr-FR"/>
              </w:rPr>
              <w:t>Localisation</w:t>
            </w:r>
          </w:p>
        </w:tc>
        <w:tc>
          <w:tcPr>
            <w:tcW w:w="3022" w:type="dxa"/>
            <w:tcBorders>
              <w:top w:val="single" w:sz="2" w:space="0" w:color="000000"/>
              <w:left w:val="single" w:sz="2" w:space="0" w:color="000000"/>
              <w:bottom w:val="single" w:sz="2" w:space="0" w:color="000000"/>
              <w:right w:val="single" w:sz="2" w:space="0" w:color="000000"/>
            </w:tcBorders>
          </w:tcPr>
          <w:p w14:paraId="1399FCCA" w14:textId="77777777" w:rsidR="00FE1672" w:rsidRDefault="00C17DE7" w:rsidP="008762BC">
            <w:pPr>
              <w:rPr>
                <w:lang w:eastAsia="fr-FR"/>
              </w:rPr>
            </w:pPr>
            <w:r w:rsidRPr="00C17DE7">
              <w:rPr>
                <w:lang w:eastAsia="fr-FR"/>
              </w:rPr>
              <w:t xml:space="preserve">Sous- cutanée </w:t>
            </w:r>
          </w:p>
          <w:p w14:paraId="74895B31" w14:textId="77777777" w:rsidR="00FE1672" w:rsidRDefault="00C17DE7" w:rsidP="008762BC">
            <w:pPr>
              <w:rPr>
                <w:lang w:eastAsia="fr-FR"/>
              </w:rPr>
            </w:pPr>
            <w:r w:rsidRPr="00C17DE7">
              <w:rPr>
                <w:lang w:eastAsia="fr-FR"/>
              </w:rPr>
              <w:t xml:space="preserve">Cervicale </w:t>
            </w:r>
          </w:p>
          <w:p w14:paraId="402A09E8" w14:textId="77777777" w:rsidR="00FE1672" w:rsidRDefault="00C17DE7" w:rsidP="008762BC">
            <w:pPr>
              <w:rPr>
                <w:lang w:eastAsia="fr-FR"/>
              </w:rPr>
            </w:pPr>
            <w:r w:rsidRPr="00C17DE7">
              <w:rPr>
                <w:lang w:eastAsia="fr-FR"/>
              </w:rPr>
              <w:t xml:space="preserve">Péricardique </w:t>
            </w:r>
          </w:p>
          <w:p w14:paraId="6919B3B4" w14:textId="27CAF255" w:rsidR="00C17DE7" w:rsidRPr="00C17DE7" w:rsidRDefault="00C17DE7" w:rsidP="008762BC">
            <w:pPr>
              <w:rPr>
                <w:lang w:eastAsia="fr-FR"/>
              </w:rPr>
            </w:pPr>
            <w:r w:rsidRPr="00C17DE7">
              <w:rPr>
                <w:lang w:eastAsia="fr-FR"/>
              </w:rPr>
              <w:t>Rétro- péritonéale</w:t>
            </w:r>
          </w:p>
        </w:tc>
        <w:tc>
          <w:tcPr>
            <w:tcW w:w="3469" w:type="dxa"/>
            <w:tcBorders>
              <w:top w:val="single" w:sz="2" w:space="0" w:color="000000"/>
              <w:left w:val="single" w:sz="2" w:space="0" w:color="000000"/>
              <w:bottom w:val="single" w:sz="2" w:space="0" w:color="000000"/>
            </w:tcBorders>
          </w:tcPr>
          <w:p w14:paraId="5EC5BB04" w14:textId="77777777" w:rsidR="00FE1672" w:rsidRDefault="00C17DE7" w:rsidP="008762BC">
            <w:pPr>
              <w:rPr>
                <w:lang w:eastAsia="fr-FR"/>
              </w:rPr>
            </w:pPr>
            <w:r w:rsidRPr="00C17DE7">
              <w:rPr>
                <w:lang w:eastAsia="fr-FR"/>
              </w:rPr>
              <w:t xml:space="preserve">Inter-scapulaire </w:t>
            </w:r>
          </w:p>
          <w:p w14:paraId="5B43FBE9" w14:textId="77777777" w:rsidR="00FE1672" w:rsidRDefault="00C17DE7" w:rsidP="008762BC">
            <w:pPr>
              <w:rPr>
                <w:lang w:eastAsia="fr-FR"/>
              </w:rPr>
            </w:pPr>
            <w:r w:rsidRPr="00C17DE7">
              <w:rPr>
                <w:lang w:eastAsia="fr-FR"/>
              </w:rPr>
              <w:t xml:space="preserve">Cervicale </w:t>
            </w:r>
          </w:p>
          <w:p w14:paraId="33BBC5A1" w14:textId="77777777" w:rsidR="00FE1672" w:rsidRDefault="00C17DE7" w:rsidP="008762BC">
            <w:pPr>
              <w:rPr>
                <w:lang w:eastAsia="fr-FR"/>
              </w:rPr>
            </w:pPr>
            <w:r w:rsidRPr="00C17DE7">
              <w:rPr>
                <w:lang w:eastAsia="fr-FR"/>
              </w:rPr>
              <w:t>Médiastinale</w:t>
            </w:r>
          </w:p>
          <w:p w14:paraId="1A0FEF5D" w14:textId="45997F57" w:rsidR="00C17DE7" w:rsidRPr="00C17DE7" w:rsidRDefault="00C17DE7" w:rsidP="008762BC">
            <w:pPr>
              <w:rPr>
                <w:lang w:eastAsia="fr-FR"/>
              </w:rPr>
            </w:pPr>
            <w:r w:rsidRPr="00C17DE7">
              <w:rPr>
                <w:lang w:eastAsia="fr-FR"/>
              </w:rPr>
              <w:t xml:space="preserve"> Para- vertébrale</w:t>
            </w:r>
          </w:p>
        </w:tc>
      </w:tr>
      <w:tr w:rsidR="00C17DE7" w:rsidRPr="00C17DE7" w14:paraId="4A174594" w14:textId="77777777" w:rsidTr="008762BC">
        <w:trPr>
          <w:trHeight w:val="2181"/>
        </w:trPr>
        <w:tc>
          <w:tcPr>
            <w:tcW w:w="2552" w:type="dxa"/>
            <w:tcBorders>
              <w:top w:val="single" w:sz="2" w:space="0" w:color="000000"/>
              <w:bottom w:val="single" w:sz="2" w:space="0" w:color="000000"/>
              <w:right w:val="single" w:sz="2" w:space="0" w:color="000000"/>
            </w:tcBorders>
          </w:tcPr>
          <w:p w14:paraId="72FA195D" w14:textId="77777777" w:rsidR="00C17DE7" w:rsidRPr="00C17DE7" w:rsidRDefault="00C17DE7" w:rsidP="008762BC">
            <w:pPr>
              <w:rPr>
                <w:b/>
                <w:lang w:eastAsia="fr-FR"/>
              </w:rPr>
            </w:pPr>
          </w:p>
          <w:p w14:paraId="7FABF001" w14:textId="77777777" w:rsidR="00C17DE7" w:rsidRPr="00C17DE7" w:rsidRDefault="00C17DE7" w:rsidP="008762BC">
            <w:pPr>
              <w:rPr>
                <w:b/>
                <w:lang w:eastAsia="fr-FR"/>
              </w:rPr>
            </w:pPr>
          </w:p>
          <w:p w14:paraId="022353DF" w14:textId="77777777" w:rsidR="00C17DE7" w:rsidRPr="00C17DE7" w:rsidRDefault="00C17DE7" w:rsidP="008762BC">
            <w:pPr>
              <w:rPr>
                <w:b/>
                <w:lang w:eastAsia="fr-FR"/>
              </w:rPr>
            </w:pPr>
          </w:p>
          <w:p w14:paraId="20554F15" w14:textId="77777777" w:rsidR="00C17DE7" w:rsidRPr="00C17DE7" w:rsidRDefault="00C17DE7" w:rsidP="008762BC">
            <w:pPr>
              <w:rPr>
                <w:b/>
                <w:lang w:eastAsia="fr-FR"/>
              </w:rPr>
            </w:pPr>
            <w:r w:rsidRPr="00C17DE7">
              <w:rPr>
                <w:b/>
                <w:lang w:eastAsia="fr-FR"/>
              </w:rPr>
              <w:t>Morphologie</w:t>
            </w:r>
          </w:p>
        </w:tc>
        <w:tc>
          <w:tcPr>
            <w:tcW w:w="3022" w:type="dxa"/>
            <w:tcBorders>
              <w:top w:val="single" w:sz="2" w:space="0" w:color="000000"/>
              <w:left w:val="single" w:sz="2" w:space="0" w:color="000000"/>
              <w:bottom w:val="single" w:sz="2" w:space="0" w:color="000000"/>
              <w:right w:val="single" w:sz="2" w:space="0" w:color="000000"/>
            </w:tcBorders>
          </w:tcPr>
          <w:p w14:paraId="198D6E07" w14:textId="77777777" w:rsidR="00C17DE7" w:rsidRPr="00C17DE7" w:rsidRDefault="00C17DE7" w:rsidP="008762BC">
            <w:pPr>
              <w:jc w:val="left"/>
              <w:rPr>
                <w:lang w:eastAsia="fr-FR"/>
              </w:rPr>
            </w:pPr>
            <w:r w:rsidRPr="00C17DE7">
              <w:rPr>
                <w:lang w:eastAsia="fr-FR"/>
              </w:rPr>
              <w:t>25- 200 μm</w:t>
            </w:r>
          </w:p>
          <w:p w14:paraId="61C2D14A" w14:textId="77777777" w:rsidR="00C17DE7" w:rsidRPr="00C17DE7" w:rsidRDefault="00C17DE7" w:rsidP="008762BC">
            <w:pPr>
              <w:jc w:val="left"/>
              <w:rPr>
                <w:lang w:eastAsia="fr-FR"/>
              </w:rPr>
            </w:pPr>
            <w:r w:rsidRPr="00C17DE7">
              <w:rPr>
                <w:lang w:eastAsia="fr-FR"/>
              </w:rPr>
              <w:t>Grosse gouttelette lipidique unique</w:t>
            </w:r>
          </w:p>
          <w:p w14:paraId="09E4006B" w14:textId="71C3E084" w:rsidR="00C17DE7" w:rsidRPr="00C17DE7" w:rsidRDefault="00C17DE7" w:rsidP="008762BC">
            <w:pPr>
              <w:jc w:val="left"/>
              <w:rPr>
                <w:lang w:eastAsia="fr-FR"/>
              </w:rPr>
            </w:pPr>
            <w:r w:rsidRPr="00C17DE7">
              <w:rPr>
                <w:lang w:eastAsia="fr-FR"/>
              </w:rPr>
              <w:t>Noyau</w:t>
            </w:r>
            <w:r w:rsidR="00774723">
              <w:rPr>
                <w:lang w:eastAsia="fr-FR"/>
              </w:rPr>
              <w:t xml:space="preserve"> </w:t>
            </w:r>
            <w:r w:rsidRPr="00C17DE7">
              <w:rPr>
                <w:lang w:eastAsia="fr-FR"/>
              </w:rPr>
              <w:t>refoulé</w:t>
            </w:r>
            <w:r w:rsidR="00FE1672">
              <w:rPr>
                <w:lang w:eastAsia="fr-FR"/>
              </w:rPr>
              <w:t xml:space="preserve"> </w:t>
            </w:r>
            <w:r w:rsidRPr="00C17DE7">
              <w:rPr>
                <w:lang w:eastAsia="fr-FR"/>
              </w:rPr>
              <w:t>à la périphérie</w:t>
            </w:r>
          </w:p>
        </w:tc>
        <w:tc>
          <w:tcPr>
            <w:tcW w:w="3469" w:type="dxa"/>
            <w:tcBorders>
              <w:top w:val="single" w:sz="2" w:space="0" w:color="000000"/>
              <w:left w:val="single" w:sz="2" w:space="0" w:color="000000"/>
              <w:bottom w:val="single" w:sz="2" w:space="0" w:color="000000"/>
            </w:tcBorders>
          </w:tcPr>
          <w:p w14:paraId="0AF0B801" w14:textId="77777777" w:rsidR="00C17DE7" w:rsidRPr="00C17DE7" w:rsidRDefault="00C17DE7" w:rsidP="008762BC">
            <w:pPr>
              <w:rPr>
                <w:lang w:eastAsia="fr-FR"/>
              </w:rPr>
            </w:pPr>
            <w:r w:rsidRPr="00C17DE7">
              <w:rPr>
                <w:lang w:eastAsia="fr-FR"/>
              </w:rPr>
              <w:t>15- 60 μm</w:t>
            </w:r>
          </w:p>
          <w:p w14:paraId="4FCFBB81" w14:textId="77777777" w:rsidR="00C17DE7" w:rsidRPr="00C17DE7" w:rsidRDefault="00C17DE7" w:rsidP="008762BC">
            <w:pPr>
              <w:rPr>
                <w:lang w:eastAsia="fr-FR"/>
              </w:rPr>
            </w:pPr>
            <w:r w:rsidRPr="00C17DE7">
              <w:rPr>
                <w:lang w:eastAsia="fr-FR"/>
              </w:rPr>
              <w:t>Multiples gouttelettes lipidiques</w:t>
            </w:r>
          </w:p>
          <w:p w14:paraId="6F592617" w14:textId="77777777" w:rsidR="00C17DE7" w:rsidRPr="00C17DE7" w:rsidRDefault="00C17DE7" w:rsidP="008762BC">
            <w:pPr>
              <w:rPr>
                <w:lang w:eastAsia="fr-FR"/>
              </w:rPr>
            </w:pPr>
            <w:r w:rsidRPr="00C17DE7">
              <w:rPr>
                <w:lang w:eastAsia="fr-FR"/>
              </w:rPr>
              <w:t>Noyau central et très riche en mitochondries</w:t>
            </w:r>
          </w:p>
        </w:tc>
      </w:tr>
      <w:tr w:rsidR="00C17DE7" w:rsidRPr="00C17DE7" w14:paraId="751C1AF9" w14:textId="77777777" w:rsidTr="008762BC">
        <w:trPr>
          <w:trHeight w:val="1766"/>
        </w:trPr>
        <w:tc>
          <w:tcPr>
            <w:tcW w:w="2552" w:type="dxa"/>
            <w:tcBorders>
              <w:top w:val="single" w:sz="2" w:space="0" w:color="000000"/>
              <w:right w:val="single" w:sz="2" w:space="0" w:color="000000"/>
            </w:tcBorders>
          </w:tcPr>
          <w:p w14:paraId="79D5171A" w14:textId="77777777" w:rsidR="00C17DE7" w:rsidRPr="00C17DE7" w:rsidRDefault="00C17DE7" w:rsidP="008762BC">
            <w:pPr>
              <w:rPr>
                <w:b/>
                <w:lang w:eastAsia="fr-FR"/>
              </w:rPr>
            </w:pPr>
          </w:p>
          <w:p w14:paraId="7EE44690" w14:textId="77777777" w:rsidR="00C17DE7" w:rsidRPr="00C17DE7" w:rsidRDefault="00C17DE7" w:rsidP="008762BC">
            <w:pPr>
              <w:rPr>
                <w:b/>
                <w:lang w:eastAsia="fr-FR"/>
              </w:rPr>
            </w:pPr>
            <w:r w:rsidRPr="00C17DE7">
              <w:rPr>
                <w:b/>
                <w:lang w:eastAsia="fr-FR"/>
              </w:rPr>
              <w:t>Marqueurs moléculaires</w:t>
            </w:r>
          </w:p>
        </w:tc>
        <w:tc>
          <w:tcPr>
            <w:tcW w:w="3022" w:type="dxa"/>
            <w:tcBorders>
              <w:top w:val="single" w:sz="2" w:space="0" w:color="000000"/>
              <w:left w:val="single" w:sz="2" w:space="0" w:color="000000"/>
              <w:right w:val="single" w:sz="2" w:space="0" w:color="000000"/>
            </w:tcBorders>
          </w:tcPr>
          <w:p w14:paraId="5D9073CC" w14:textId="77777777" w:rsidR="00FE1672" w:rsidRDefault="00C17DE7" w:rsidP="008762BC">
            <w:pPr>
              <w:rPr>
                <w:lang w:eastAsia="fr-FR"/>
              </w:rPr>
            </w:pPr>
            <w:r w:rsidRPr="00C17DE7">
              <w:rPr>
                <w:lang w:eastAsia="fr-FR"/>
              </w:rPr>
              <w:t xml:space="preserve">PPAR γ </w:t>
            </w:r>
          </w:p>
          <w:p w14:paraId="7C604A63" w14:textId="09B73F3E" w:rsidR="00C17DE7" w:rsidRPr="00C17DE7" w:rsidRDefault="00C17DE7" w:rsidP="008762BC">
            <w:pPr>
              <w:rPr>
                <w:lang w:eastAsia="fr-FR"/>
              </w:rPr>
            </w:pPr>
            <w:r w:rsidRPr="00C17DE7">
              <w:rPr>
                <w:lang w:eastAsia="fr-FR"/>
              </w:rPr>
              <w:t>C/EBP</w:t>
            </w:r>
          </w:p>
          <w:p w14:paraId="1512A284" w14:textId="77777777" w:rsidR="00C17DE7" w:rsidRPr="00C17DE7" w:rsidRDefault="00C17DE7" w:rsidP="008762BC">
            <w:pPr>
              <w:rPr>
                <w:lang w:eastAsia="fr-FR"/>
              </w:rPr>
            </w:pPr>
            <w:r w:rsidRPr="00C17DE7">
              <w:rPr>
                <w:lang w:eastAsia="fr-FR"/>
              </w:rPr>
              <w:t>Leptine</w:t>
            </w:r>
          </w:p>
        </w:tc>
        <w:tc>
          <w:tcPr>
            <w:tcW w:w="3469" w:type="dxa"/>
            <w:tcBorders>
              <w:top w:val="single" w:sz="2" w:space="0" w:color="000000"/>
              <w:left w:val="single" w:sz="2" w:space="0" w:color="000000"/>
            </w:tcBorders>
          </w:tcPr>
          <w:p w14:paraId="5601E7BE" w14:textId="77777777" w:rsidR="00FE1672" w:rsidRDefault="00C17DE7" w:rsidP="008762BC">
            <w:pPr>
              <w:rPr>
                <w:lang w:eastAsia="fr-FR"/>
              </w:rPr>
            </w:pPr>
            <w:r w:rsidRPr="00C17DE7">
              <w:rPr>
                <w:lang w:eastAsia="fr-FR"/>
              </w:rPr>
              <w:t xml:space="preserve">UCP1 </w:t>
            </w:r>
          </w:p>
          <w:p w14:paraId="642C7008" w14:textId="77777777" w:rsidR="00FE1672" w:rsidRDefault="00C17DE7" w:rsidP="008762BC">
            <w:pPr>
              <w:rPr>
                <w:lang w:eastAsia="fr-FR"/>
              </w:rPr>
            </w:pPr>
            <w:r w:rsidRPr="00C17DE7">
              <w:rPr>
                <w:lang w:eastAsia="fr-FR"/>
              </w:rPr>
              <w:t xml:space="preserve">PRDM16 </w:t>
            </w:r>
          </w:p>
          <w:p w14:paraId="06F160D2" w14:textId="60096D7C" w:rsidR="00C17DE7" w:rsidRPr="00C17DE7" w:rsidRDefault="00C17DE7" w:rsidP="008762BC">
            <w:pPr>
              <w:rPr>
                <w:lang w:eastAsia="fr-FR"/>
              </w:rPr>
            </w:pPr>
            <w:r w:rsidRPr="00C17DE7">
              <w:rPr>
                <w:lang w:eastAsia="fr-FR"/>
              </w:rPr>
              <w:t xml:space="preserve">PGC- 1α </w:t>
            </w:r>
            <w:r w:rsidR="00FE1672">
              <w:rPr>
                <w:lang w:eastAsia="fr-FR"/>
              </w:rPr>
              <w:t xml:space="preserve"> et </w:t>
            </w:r>
            <w:r w:rsidRPr="00C17DE7">
              <w:rPr>
                <w:lang w:eastAsia="fr-FR"/>
              </w:rPr>
              <w:t>β3AR</w:t>
            </w:r>
          </w:p>
        </w:tc>
      </w:tr>
    </w:tbl>
    <w:p w14:paraId="01B1E72A" w14:textId="77777777" w:rsidR="00B8364D" w:rsidRDefault="00AF5579" w:rsidP="00677BD8">
      <w:pPr>
        <w:pStyle w:val="Titre3"/>
        <w:jc w:val="left"/>
        <w:rPr>
          <w:lang w:eastAsia="fr-FR"/>
        </w:rPr>
      </w:pPr>
      <w:bookmarkStart w:id="44" w:name="_Toc170226660"/>
      <w:bookmarkStart w:id="45" w:name="_Toc168302218"/>
      <w:r w:rsidRPr="00AF5579">
        <w:rPr>
          <w:b/>
          <w:bCs/>
          <w:lang w:eastAsia="fr-FR"/>
        </w:rPr>
        <w:t>Tissu adipeux beige</w:t>
      </w:r>
      <w:bookmarkEnd w:id="44"/>
      <w:r>
        <w:rPr>
          <w:lang w:eastAsia="fr-FR"/>
        </w:rPr>
        <w:t> </w:t>
      </w:r>
    </w:p>
    <w:p w14:paraId="62D30718" w14:textId="45702054" w:rsidR="00AF5579" w:rsidRDefault="00AF5579" w:rsidP="00B8364D">
      <w:pPr>
        <w:rPr>
          <w:lang w:eastAsia="fr-FR"/>
        </w:rPr>
      </w:pPr>
      <w:r w:rsidRPr="00AF5579">
        <w:rPr>
          <w:lang w:eastAsia="fr-FR"/>
        </w:rPr>
        <w:t>Le tissu adipeux beige, un type unique de tissu adipeux, partage des caractéristiques avec le tissu adipeux blanc et brun. Les adipocytes beiges, semblables aux adipocytes bruns, peuvent dissiper de l'énergie par thermogenèse. Contrairement au tissu adipeux brun localisé dans des sites superficiels spécifiques, le tissu adipeux beige se retrouve au sein des dépôts de tissu adipeux blanc, notamment dans les régions sous-cutanées. Le développement d’adipocytes beiges peut être déclenché par des stimuli comme l’exercice, l’exposition au froid ou certaines hormones. Dans l’ensemble, le tissu adipeux beige présente des propriétés thermogénique</w:t>
      </w:r>
      <w:r>
        <w:rPr>
          <w:lang w:eastAsia="fr-FR"/>
        </w:rPr>
        <w:t xml:space="preserve">s proches du tissu adipeux brun </w:t>
      </w:r>
      <w:r w:rsidR="00CD7B5F">
        <w:rPr>
          <w:lang w:eastAsia="fr-FR"/>
        </w:rPr>
        <w:t>(f</w:t>
      </w:r>
      <w:r w:rsidR="00926A66">
        <w:rPr>
          <w:lang w:eastAsia="fr-FR"/>
        </w:rPr>
        <w:t xml:space="preserve">igure 1) </w:t>
      </w:r>
      <w:r>
        <w:rPr>
          <w:lang w:eastAsia="fr-FR"/>
        </w:rPr>
        <w:t>(</w:t>
      </w:r>
      <w:r w:rsidRPr="00AF5579">
        <w:rPr>
          <w:lang w:eastAsia="fr-FR"/>
        </w:rPr>
        <w:t>Frigolet</w:t>
      </w:r>
      <w:r>
        <w:rPr>
          <w:lang w:eastAsia="fr-FR"/>
        </w:rPr>
        <w:t xml:space="preserve"> et </w:t>
      </w:r>
      <w:r w:rsidRPr="00AF5579">
        <w:rPr>
          <w:lang w:eastAsia="fr-FR"/>
        </w:rPr>
        <w:t>Gutiérrez-Aguilar</w:t>
      </w:r>
      <w:r>
        <w:rPr>
          <w:lang w:eastAsia="fr-FR"/>
        </w:rPr>
        <w:t> ,</w:t>
      </w:r>
      <w:r w:rsidRPr="00AF5579">
        <w:t xml:space="preserve"> </w:t>
      </w:r>
      <w:r w:rsidRPr="00AF5579">
        <w:rPr>
          <w:lang w:eastAsia="fr-FR"/>
        </w:rPr>
        <w:t>2020</w:t>
      </w:r>
      <w:r>
        <w:rPr>
          <w:lang w:eastAsia="fr-FR"/>
        </w:rPr>
        <w:t>).</w:t>
      </w:r>
      <w:bookmarkEnd w:id="45"/>
    </w:p>
    <w:p w14:paraId="747B2C29" w14:textId="77777777" w:rsidR="00AF5579" w:rsidRDefault="00AF5579" w:rsidP="00AF5579">
      <w:pPr>
        <w:rPr>
          <w:lang w:eastAsia="fr-FR"/>
        </w:rPr>
      </w:pPr>
    </w:p>
    <w:p w14:paraId="7C2C886F" w14:textId="4FC780B6" w:rsidR="00AF5579" w:rsidRPr="00AF5579" w:rsidRDefault="00E90E64" w:rsidP="00E90E64">
      <w:pPr>
        <w:rPr>
          <w:lang w:eastAsia="fr-FR"/>
        </w:rPr>
      </w:pPr>
      <w:r>
        <w:rPr>
          <w:noProof/>
          <w:lang w:eastAsia="fr-FR"/>
        </w:rPr>
        <w:lastRenderedPageBreak/>
        <w:drawing>
          <wp:inline distT="0" distB="0" distL="0" distR="0" wp14:anchorId="33A1B6E3" wp14:editId="438F3CCA">
            <wp:extent cx="5939790" cy="5259676"/>
            <wp:effectExtent l="0" t="0" r="3810"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939790" cy="5259676"/>
                    </a:xfrm>
                    <a:prstGeom prst="rect">
                      <a:avLst/>
                    </a:prstGeom>
                  </pic:spPr>
                </pic:pic>
              </a:graphicData>
            </a:graphic>
          </wp:inline>
        </w:drawing>
      </w:r>
    </w:p>
    <w:tbl>
      <w:tblPr>
        <w:tblStyle w:val="Grilledutableau"/>
        <w:tblW w:w="100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12"/>
      </w:tblGrid>
      <w:tr w:rsidR="00FE1672" w14:paraId="74883F7C" w14:textId="77777777" w:rsidTr="00EE2EA6">
        <w:trPr>
          <w:trHeight w:val="1256"/>
        </w:trPr>
        <w:tc>
          <w:tcPr>
            <w:tcW w:w="10012" w:type="dxa"/>
          </w:tcPr>
          <w:p w14:paraId="5715A5D8" w14:textId="70765DE2" w:rsidR="00926A66" w:rsidRPr="00142C9B" w:rsidRDefault="00FA0E00" w:rsidP="00142C9B">
            <w:pPr>
              <w:jc w:val="center"/>
              <w:rPr>
                <w:bCs/>
                <w:color w:val="000000" w:themeColor="text1"/>
                <w:lang w:eastAsia="fr-FR"/>
              </w:rPr>
            </w:pPr>
            <w:r w:rsidRPr="008C421D">
              <w:rPr>
                <w:b/>
                <w:bCs/>
                <w:color w:val="000000" w:themeColor="text1"/>
              </w:rPr>
              <w:t xml:space="preserve">Figure </w:t>
            </w:r>
            <w:r w:rsidRPr="008C421D">
              <w:rPr>
                <w:b/>
                <w:bCs/>
                <w:color w:val="000000" w:themeColor="text1"/>
              </w:rPr>
              <w:fldChar w:fldCharType="begin"/>
            </w:r>
            <w:r w:rsidRPr="008C421D">
              <w:rPr>
                <w:b/>
                <w:bCs/>
                <w:color w:val="000000" w:themeColor="text1"/>
              </w:rPr>
              <w:instrText xml:space="preserve"> SEQ Figure \* ARABIC </w:instrText>
            </w:r>
            <w:r w:rsidRPr="008C421D">
              <w:rPr>
                <w:b/>
                <w:bCs/>
                <w:color w:val="000000" w:themeColor="text1"/>
              </w:rPr>
              <w:fldChar w:fldCharType="separate"/>
            </w:r>
            <w:r w:rsidR="00B5205A">
              <w:rPr>
                <w:b/>
                <w:bCs/>
                <w:noProof/>
                <w:color w:val="000000" w:themeColor="text1"/>
              </w:rPr>
              <w:t>1</w:t>
            </w:r>
            <w:r w:rsidRPr="008C421D">
              <w:rPr>
                <w:b/>
                <w:bCs/>
                <w:color w:val="000000" w:themeColor="text1"/>
              </w:rPr>
              <w:fldChar w:fldCharType="end"/>
            </w:r>
            <w:r w:rsidRPr="008C421D">
              <w:rPr>
                <w:b/>
                <w:bCs/>
                <w:color w:val="000000" w:themeColor="text1"/>
              </w:rPr>
              <w:t>.</w:t>
            </w:r>
            <w:r w:rsidRPr="00FA0E00">
              <w:rPr>
                <w:color w:val="000000" w:themeColor="text1"/>
              </w:rPr>
              <w:t xml:space="preserve"> </w:t>
            </w:r>
            <w:r w:rsidR="00677BD8" w:rsidRPr="00677BD8">
              <w:rPr>
                <w:color w:val="000000" w:themeColor="text1"/>
              </w:rPr>
              <w:t xml:space="preserve">Localisation du tissu adipeux blanc, brun et beige. Dans les structures de tissu adipeux jaunes et blanches et dans les dépôts </w:t>
            </w:r>
            <w:r w:rsidR="00677BD8">
              <w:rPr>
                <w:color w:val="000000" w:themeColor="text1"/>
              </w:rPr>
              <w:t>de tissu adipeux bleus et bruns</w:t>
            </w:r>
            <w:r w:rsidRPr="00FA0E00">
              <w:rPr>
                <w:color w:val="000000" w:themeColor="text1"/>
                <w:lang w:eastAsia="fr-FR"/>
              </w:rPr>
              <w:t xml:space="preserve"> </w:t>
            </w:r>
            <w:r w:rsidRPr="00FA0E00">
              <w:rPr>
                <w:bCs/>
                <w:color w:val="000000" w:themeColor="text1"/>
                <w:lang w:eastAsia="fr-FR"/>
              </w:rPr>
              <w:t>(</w:t>
            </w:r>
            <w:r w:rsidR="00AF5579" w:rsidRPr="00AF5579">
              <w:rPr>
                <w:lang w:eastAsia="fr-FR"/>
              </w:rPr>
              <w:t>Frigolet</w:t>
            </w:r>
            <w:r w:rsidR="00AF5579">
              <w:rPr>
                <w:lang w:eastAsia="fr-FR"/>
              </w:rPr>
              <w:t xml:space="preserve"> et </w:t>
            </w:r>
            <w:r w:rsidR="00926A66">
              <w:rPr>
                <w:lang w:eastAsia="fr-FR"/>
              </w:rPr>
              <w:t>Gutiérrez</w:t>
            </w:r>
            <w:r w:rsidR="00AF5579" w:rsidRPr="00AF5579">
              <w:rPr>
                <w:lang w:eastAsia="fr-FR"/>
              </w:rPr>
              <w:t>Aguilar</w:t>
            </w:r>
            <w:r w:rsidR="00AF5579">
              <w:rPr>
                <w:lang w:eastAsia="fr-FR"/>
              </w:rPr>
              <w:t> ,</w:t>
            </w:r>
            <w:r w:rsidR="00AF5579" w:rsidRPr="00AF5579">
              <w:t xml:space="preserve"> </w:t>
            </w:r>
            <w:r w:rsidR="00AF5579" w:rsidRPr="00AF5579">
              <w:rPr>
                <w:lang w:eastAsia="fr-FR"/>
              </w:rPr>
              <w:t>2020</w:t>
            </w:r>
            <w:r w:rsidR="00142C9B">
              <w:rPr>
                <w:bCs/>
                <w:color w:val="000000" w:themeColor="text1"/>
                <w:lang w:eastAsia="fr-FR"/>
              </w:rPr>
              <w:t>).</w:t>
            </w:r>
          </w:p>
        </w:tc>
      </w:tr>
      <w:tr w:rsidR="00FE1672" w14:paraId="3997BEB0" w14:textId="77777777" w:rsidTr="00EE2EA6">
        <w:trPr>
          <w:trHeight w:val="724"/>
        </w:trPr>
        <w:tc>
          <w:tcPr>
            <w:tcW w:w="10012" w:type="dxa"/>
          </w:tcPr>
          <w:p w14:paraId="6A949917" w14:textId="315E3BDA" w:rsidR="00FA0E00" w:rsidRPr="00FA0E00" w:rsidRDefault="00FA0E00" w:rsidP="00FA0E00">
            <w:pPr>
              <w:pStyle w:val="Lgende"/>
              <w:rPr>
                <w:bCs/>
                <w:i w:val="0"/>
                <w:iCs w:val="0"/>
                <w:color w:val="000000" w:themeColor="text1"/>
                <w:sz w:val="24"/>
                <w:szCs w:val="24"/>
                <w:lang w:eastAsia="fr-FR"/>
              </w:rPr>
            </w:pPr>
          </w:p>
          <w:p w14:paraId="627BEE77" w14:textId="77777777" w:rsidR="00FE1672" w:rsidRPr="001A3465" w:rsidRDefault="00E66E6D" w:rsidP="00E66E6D">
            <w:pPr>
              <w:pStyle w:val="Titre2"/>
              <w:outlineLvl w:val="1"/>
              <w:rPr>
                <w:lang w:eastAsia="fr-FR"/>
              </w:rPr>
            </w:pPr>
            <w:bookmarkStart w:id="46" w:name="_Toc167472743"/>
            <w:bookmarkStart w:id="47" w:name="_Toc168302219"/>
            <w:bookmarkStart w:id="48" w:name="_Toc170226661"/>
            <w:r w:rsidRPr="001A3465">
              <w:rPr>
                <w:lang w:eastAsia="fr-FR"/>
              </w:rPr>
              <w:t>Adipocyte</w:t>
            </w:r>
            <w:bookmarkEnd w:id="46"/>
            <w:bookmarkEnd w:id="47"/>
            <w:bookmarkEnd w:id="48"/>
          </w:p>
          <w:p w14:paraId="02C66973" w14:textId="77777777" w:rsidR="00E66E6D" w:rsidRPr="00774723" w:rsidRDefault="00E66E6D" w:rsidP="00E66E6D">
            <w:pPr>
              <w:pStyle w:val="Titre3"/>
              <w:outlineLvl w:val="2"/>
              <w:rPr>
                <w:b/>
                <w:bCs/>
                <w:lang w:eastAsia="fr-FR"/>
              </w:rPr>
            </w:pPr>
            <w:bookmarkStart w:id="49" w:name="_Toc167472744"/>
            <w:bookmarkStart w:id="50" w:name="_Toc168302220"/>
            <w:bookmarkStart w:id="51" w:name="_Toc170226662"/>
            <w:r w:rsidRPr="00774723">
              <w:rPr>
                <w:b/>
                <w:bCs/>
                <w:lang w:eastAsia="fr-FR"/>
              </w:rPr>
              <w:t>Définition</w:t>
            </w:r>
            <w:bookmarkEnd w:id="49"/>
            <w:bookmarkEnd w:id="50"/>
            <w:bookmarkEnd w:id="51"/>
          </w:p>
          <w:p w14:paraId="7379DC1C" w14:textId="45ECB83C" w:rsidR="00DD2EF6" w:rsidRPr="00DD2EF6" w:rsidRDefault="00DD2EF6" w:rsidP="00B813C0">
            <w:pPr>
              <w:rPr>
                <w:rFonts w:asciiTheme="majorBidi" w:hAnsiTheme="majorBidi" w:cstheme="majorBidi"/>
                <w:i/>
                <w:iCs/>
                <w:lang w:eastAsia="fr-FR"/>
              </w:rPr>
            </w:pPr>
            <w:r w:rsidRPr="00880694">
              <w:rPr>
                <w:rFonts w:asciiTheme="majorBidi" w:hAnsiTheme="majorBidi" w:cstheme="majorBidi"/>
                <w:lang w:eastAsia="fr-FR"/>
              </w:rPr>
              <w:t>L'adipocyte est une cellule ronde qui co</w:t>
            </w:r>
            <w:r w:rsidR="008C421D">
              <w:rPr>
                <w:rFonts w:asciiTheme="majorBidi" w:hAnsiTheme="majorBidi" w:cstheme="majorBidi"/>
                <w:lang w:eastAsia="fr-FR"/>
              </w:rPr>
              <w:t>ntient une vacuole de lipides a</w:t>
            </w:r>
            <w:r w:rsidRPr="00880694">
              <w:rPr>
                <w:rFonts w:asciiTheme="majorBidi" w:hAnsiTheme="majorBidi" w:cstheme="majorBidi"/>
                <w:lang w:eastAsia="fr-FR"/>
              </w:rPr>
              <w:t>vec le noyau et le protoplasme repoussés sur les bords, les adipocytes se forment à partir de cellules pré-adipocytes, dont certaines restent en réserve</w:t>
            </w:r>
            <w:r w:rsidR="00D66B7B">
              <w:rPr>
                <w:rFonts w:asciiTheme="majorBidi" w:hAnsiTheme="majorBidi" w:cstheme="majorBidi"/>
                <w:lang w:eastAsia="fr-FR"/>
              </w:rPr>
              <w:t xml:space="preserve"> (Figure </w:t>
            </w:r>
            <w:r w:rsidR="00B813C0">
              <w:rPr>
                <w:rFonts w:asciiTheme="majorBidi" w:hAnsiTheme="majorBidi" w:cstheme="majorBidi"/>
                <w:lang w:eastAsia="fr-FR"/>
              </w:rPr>
              <w:t>2)</w:t>
            </w:r>
            <w:r w:rsidRPr="00880694">
              <w:rPr>
                <w:rFonts w:asciiTheme="majorBidi" w:hAnsiTheme="majorBidi" w:cstheme="majorBidi"/>
                <w:lang w:eastAsia="fr-FR"/>
              </w:rPr>
              <w:t>. Il semble que trois périodes de développement soient essentielles pour déterminer le nombre d'adipocytes et donc la constitution de la masse graisseuse</w:t>
            </w:r>
            <w:r w:rsidRPr="000139BF">
              <w:rPr>
                <w:rFonts w:asciiTheme="majorBidi" w:hAnsiTheme="majorBidi" w:cstheme="majorBidi"/>
                <w:color w:val="FF0000"/>
                <w:lang w:eastAsia="fr-FR"/>
              </w:rPr>
              <w:t xml:space="preserve"> </w:t>
            </w:r>
            <w:r w:rsidRPr="005D350F">
              <w:rPr>
                <w:rFonts w:asciiTheme="majorBidi" w:hAnsiTheme="majorBidi" w:cstheme="majorBidi"/>
                <w:color w:val="000000" w:themeColor="text1"/>
                <w:lang w:eastAsia="fr-FR"/>
              </w:rPr>
              <w:t>(</w:t>
            </w:r>
            <w:r w:rsidRPr="005D350F">
              <w:rPr>
                <w:rFonts w:asciiTheme="majorBidi" w:hAnsiTheme="majorBidi" w:cstheme="majorBidi"/>
                <w:color w:val="000000" w:themeColor="text1"/>
                <w:shd w:val="clear" w:color="auto" w:fill="FFFFFF"/>
              </w:rPr>
              <w:t xml:space="preserve">Alligier </w:t>
            </w:r>
            <w:r>
              <w:rPr>
                <w:rFonts w:asciiTheme="majorBidi" w:hAnsiTheme="majorBidi" w:cstheme="majorBidi"/>
                <w:i/>
                <w:iCs/>
                <w:color w:val="000000" w:themeColor="text1"/>
                <w:shd w:val="clear" w:color="auto" w:fill="FFFFFF"/>
              </w:rPr>
              <w:t>et al</w:t>
            </w:r>
            <w:r w:rsidRPr="005D350F">
              <w:rPr>
                <w:rFonts w:asciiTheme="majorBidi" w:hAnsiTheme="majorBidi" w:cstheme="majorBidi"/>
                <w:i/>
                <w:iCs/>
                <w:color w:val="000000" w:themeColor="text1"/>
                <w:shd w:val="clear" w:color="auto" w:fill="FFFFFF"/>
              </w:rPr>
              <w:t>.,</w:t>
            </w:r>
            <w:r>
              <w:rPr>
                <w:rFonts w:asciiTheme="majorBidi" w:hAnsiTheme="majorBidi" w:cstheme="majorBidi"/>
                <w:i/>
                <w:iCs/>
                <w:color w:val="000000" w:themeColor="text1"/>
                <w:shd w:val="clear" w:color="auto" w:fill="FFFFFF"/>
              </w:rPr>
              <w:t xml:space="preserve"> </w:t>
            </w:r>
            <w:r w:rsidRPr="005D350F">
              <w:rPr>
                <w:rFonts w:asciiTheme="majorBidi" w:hAnsiTheme="majorBidi" w:cstheme="majorBidi"/>
                <w:color w:val="000000" w:themeColor="text1"/>
                <w:shd w:val="clear" w:color="auto" w:fill="FFFFFF"/>
              </w:rPr>
              <w:t>2013)</w:t>
            </w:r>
            <w:r>
              <w:rPr>
                <w:rFonts w:asciiTheme="majorBidi" w:hAnsiTheme="majorBidi" w:cstheme="majorBidi"/>
                <w:color w:val="000000" w:themeColor="text1"/>
                <w:shd w:val="clear" w:color="auto" w:fill="FFFFFF"/>
              </w:rPr>
              <w:t>.</w:t>
            </w:r>
            <w:r>
              <w:rPr>
                <w:rFonts w:asciiTheme="majorBidi" w:hAnsiTheme="majorBidi" w:cstheme="majorBidi"/>
                <w:b/>
                <w:bCs/>
                <w:color w:val="FF0000"/>
                <w:lang w:eastAsia="fr-FR"/>
              </w:rPr>
              <w:tab/>
            </w:r>
            <w:r>
              <w:rPr>
                <w:rFonts w:asciiTheme="majorBidi" w:hAnsiTheme="majorBidi" w:cstheme="majorBidi"/>
                <w:b/>
                <w:bCs/>
                <w:color w:val="FF0000"/>
                <w:lang w:eastAsia="fr-FR"/>
              </w:rPr>
              <w:tab/>
            </w:r>
          </w:p>
          <w:p w14:paraId="24FE2186" w14:textId="77777777" w:rsidR="00DD2EF6" w:rsidRDefault="00DD2EF6" w:rsidP="001A3465">
            <w:pPr>
              <w:rPr>
                <w:color w:val="000000" w:themeColor="text1"/>
              </w:rPr>
            </w:pPr>
            <w:r w:rsidRPr="000139BF">
              <w:rPr>
                <w:rFonts w:asciiTheme="majorBidi" w:hAnsiTheme="majorBidi" w:cstheme="majorBidi"/>
                <w:lang w:eastAsia="fr-FR"/>
              </w:rPr>
              <w:lastRenderedPageBreak/>
              <w:t>Les adipocytes sont des cellules animales trouvées dans le tissu adipeux, spécialisées dans le stockage des graisses sous forme de triglycérides, ce qui constitue environ 95% du tissu adipeux. Ce dernier contient également environ 10% d'eau et entre 5% et 15% de matière sè</w:t>
            </w:r>
            <w:r>
              <w:rPr>
                <w:rFonts w:asciiTheme="majorBidi" w:hAnsiTheme="majorBidi" w:cstheme="majorBidi"/>
                <w:lang w:eastAsia="fr-FR"/>
              </w:rPr>
              <w:t xml:space="preserve">che, qui ne sont pas lipidiques </w:t>
            </w:r>
            <w:r w:rsidRPr="005D350F">
              <w:rPr>
                <w:rFonts w:asciiTheme="majorBidi" w:hAnsiTheme="majorBidi" w:cstheme="majorBidi"/>
                <w:color w:val="000000" w:themeColor="text1"/>
                <w:lang w:eastAsia="fr-FR"/>
              </w:rPr>
              <w:t>(</w:t>
            </w:r>
            <w:r w:rsidRPr="005D350F">
              <w:rPr>
                <w:color w:val="000000" w:themeColor="text1"/>
              </w:rPr>
              <w:t>Kierszenbauh,</w:t>
            </w:r>
            <w:r>
              <w:rPr>
                <w:color w:val="000000" w:themeColor="text1"/>
              </w:rPr>
              <w:t xml:space="preserve"> </w:t>
            </w:r>
            <w:r w:rsidRPr="005D350F">
              <w:rPr>
                <w:color w:val="000000" w:themeColor="text1"/>
              </w:rPr>
              <w:t>2006).</w:t>
            </w:r>
          </w:p>
          <w:p w14:paraId="1EF78588" w14:textId="6A5A016C" w:rsidR="00DD2EF6" w:rsidRDefault="00DD2EF6" w:rsidP="001A3465">
            <w:pPr>
              <w:rPr>
                <w:rFonts w:asciiTheme="majorBidi" w:hAnsiTheme="majorBidi" w:cstheme="majorBidi"/>
                <w:lang w:eastAsia="fr-FR"/>
              </w:rPr>
            </w:pPr>
            <w:r w:rsidRPr="00DD2EF6">
              <w:rPr>
                <w:rFonts w:asciiTheme="majorBidi" w:hAnsiTheme="majorBidi" w:cstheme="majorBidi"/>
                <w:lang w:eastAsia="fr-FR"/>
              </w:rPr>
              <w:t>Un adipocyte, une cellule présente dans le tissu adipeux du corps, est spécialisé dans le stockage des graisses, également appelées TG. L'organisme utilise ces réserves de graisse pour son fonctionnement. Les adipocytes se déclinent en deux types : les blancs, aussi appelés uniloculaires, et les bruns, également appelés multiloculaires. Ces cellules adipeuses aident les nourrissons à résister au froid et régulent l'appétit en sécrétant des hormones (Pierrick, 2014)</w:t>
            </w:r>
            <w:r>
              <w:rPr>
                <w:rFonts w:asciiTheme="majorBidi" w:hAnsiTheme="majorBidi" w:cstheme="majorBidi"/>
                <w:lang w:eastAsia="fr-FR"/>
              </w:rPr>
              <w:t>.</w:t>
            </w:r>
          </w:p>
          <w:tbl>
            <w:tblPr>
              <w:tblStyle w:val="Grilledutableau"/>
              <w:tblW w:w="0" w:type="auto"/>
              <w:tblInd w:w="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34"/>
            </w:tblGrid>
            <w:tr w:rsidR="00DD2EF6" w14:paraId="58AD586B" w14:textId="77777777" w:rsidTr="00E17B36">
              <w:trPr>
                <w:trHeight w:val="4321"/>
              </w:trPr>
              <w:tc>
                <w:tcPr>
                  <w:tcW w:w="9434" w:type="dxa"/>
                </w:tcPr>
                <w:p w14:paraId="6DB52084" w14:textId="70B0D2F5" w:rsidR="00DD2EF6" w:rsidRPr="008C421D" w:rsidRDefault="00142C9B" w:rsidP="00142C9B">
                  <w:pPr>
                    <w:jc w:val="center"/>
                    <w:rPr>
                      <w:rFonts w:asciiTheme="majorBidi" w:hAnsiTheme="majorBidi" w:cstheme="majorBidi"/>
                      <w:lang w:eastAsia="fr-FR"/>
                    </w:rPr>
                  </w:pPr>
                  <w:bookmarkStart w:id="52" w:name="_Toc167308109"/>
                  <w:r w:rsidRPr="008C421D">
                    <w:rPr>
                      <w:noProof/>
                      <w:color w:val="FF0000"/>
                      <w:sz w:val="22"/>
                      <w:szCs w:val="22"/>
                      <w:lang w:eastAsia="fr-FR"/>
                    </w:rPr>
                    <w:drawing>
                      <wp:anchor distT="0" distB="0" distL="114300" distR="114300" simplePos="0" relativeHeight="251664384" behindDoc="0" locked="0" layoutInCell="1" allowOverlap="1" wp14:anchorId="01E00536" wp14:editId="0D569EA4">
                        <wp:simplePos x="0" y="0"/>
                        <wp:positionH relativeFrom="column">
                          <wp:posOffset>323850</wp:posOffset>
                        </wp:positionH>
                        <wp:positionV relativeFrom="paragraph">
                          <wp:posOffset>155575</wp:posOffset>
                        </wp:positionV>
                        <wp:extent cx="5255260" cy="2121535"/>
                        <wp:effectExtent l="0" t="0" r="2540" b="0"/>
                        <wp:wrapTopAndBottom/>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55260" cy="2121535"/>
                                </a:xfrm>
                                <a:prstGeom prst="rect">
                                  <a:avLst/>
                                </a:prstGeom>
                                <a:noFill/>
                              </pic:spPr>
                            </pic:pic>
                          </a:graphicData>
                        </a:graphic>
                        <wp14:sizeRelH relativeFrom="page">
                          <wp14:pctWidth>0</wp14:pctWidth>
                        </wp14:sizeRelH>
                        <wp14:sizeRelV relativeFrom="page">
                          <wp14:pctHeight>0</wp14:pctHeight>
                        </wp14:sizeRelV>
                      </wp:anchor>
                    </w:drawing>
                  </w:r>
                  <w:r w:rsidR="008C421D" w:rsidRPr="008C421D">
                    <w:rPr>
                      <w:b/>
                      <w:bCs/>
                    </w:rPr>
                    <w:t xml:space="preserve">Figure </w:t>
                  </w:r>
                  <w:r w:rsidR="008C421D" w:rsidRPr="008C421D">
                    <w:rPr>
                      <w:b/>
                      <w:bCs/>
                    </w:rPr>
                    <w:fldChar w:fldCharType="begin"/>
                  </w:r>
                  <w:r w:rsidR="008C421D" w:rsidRPr="008C421D">
                    <w:rPr>
                      <w:b/>
                      <w:bCs/>
                    </w:rPr>
                    <w:instrText xml:space="preserve"> SEQ Figure \* ARABIC </w:instrText>
                  </w:r>
                  <w:r w:rsidR="008C421D" w:rsidRPr="008C421D">
                    <w:rPr>
                      <w:b/>
                      <w:bCs/>
                    </w:rPr>
                    <w:fldChar w:fldCharType="separate"/>
                  </w:r>
                  <w:r w:rsidR="00B5205A">
                    <w:rPr>
                      <w:b/>
                      <w:bCs/>
                      <w:noProof/>
                    </w:rPr>
                    <w:t>2</w:t>
                  </w:r>
                  <w:r w:rsidR="008C421D" w:rsidRPr="008C421D">
                    <w:rPr>
                      <w:b/>
                      <w:bCs/>
                    </w:rPr>
                    <w:fldChar w:fldCharType="end"/>
                  </w:r>
                  <w:r w:rsidR="008C421D" w:rsidRPr="008C421D">
                    <w:rPr>
                      <w:b/>
                      <w:bCs/>
                    </w:rPr>
                    <w:t>.</w:t>
                  </w:r>
                  <w:r w:rsidR="008C421D" w:rsidRPr="008C421D">
                    <w:t xml:space="preserve"> Morphologie d'un adipocyte </w:t>
                  </w:r>
                  <w:r w:rsidR="008C421D" w:rsidRPr="008C421D">
                    <w:rPr>
                      <w:b/>
                    </w:rPr>
                    <w:t>(</w:t>
                  </w:r>
                  <w:r w:rsidR="008C421D" w:rsidRPr="008C421D">
                    <w:t>Sandrine, 2013).</w:t>
                  </w:r>
                  <w:bookmarkEnd w:id="52"/>
                </w:p>
              </w:tc>
            </w:tr>
            <w:tr w:rsidR="00DD2EF6" w14:paraId="03F8DF1E" w14:textId="77777777" w:rsidTr="00E17B36">
              <w:trPr>
                <w:trHeight w:val="459"/>
              </w:trPr>
              <w:tc>
                <w:tcPr>
                  <w:tcW w:w="9434" w:type="dxa"/>
                </w:tcPr>
                <w:p w14:paraId="0D25F371" w14:textId="12D27839" w:rsidR="00DD2EF6" w:rsidRPr="00774723" w:rsidRDefault="00774723" w:rsidP="008C421D">
                  <w:pPr>
                    <w:pStyle w:val="Lgende"/>
                    <w:rPr>
                      <w:rFonts w:asciiTheme="majorBidi" w:hAnsiTheme="majorBidi" w:cstheme="majorBidi"/>
                      <w:i w:val="0"/>
                      <w:iCs w:val="0"/>
                      <w:sz w:val="24"/>
                      <w:szCs w:val="24"/>
                      <w:lang w:eastAsia="fr-FR"/>
                    </w:rPr>
                  </w:pPr>
                  <w:r>
                    <w:rPr>
                      <w:b/>
                      <w:bCs/>
                      <w:i w:val="0"/>
                      <w:iCs w:val="0"/>
                      <w:color w:val="auto"/>
                      <w:sz w:val="24"/>
                      <w:szCs w:val="24"/>
                    </w:rPr>
                    <w:t xml:space="preserve">        </w:t>
                  </w:r>
                  <w:r w:rsidR="008C421D">
                    <w:rPr>
                      <w:b/>
                      <w:bCs/>
                      <w:i w:val="0"/>
                      <w:iCs w:val="0"/>
                      <w:color w:val="auto"/>
                      <w:sz w:val="24"/>
                      <w:szCs w:val="24"/>
                    </w:rPr>
                    <w:t xml:space="preserve">  </w:t>
                  </w:r>
                  <w:r w:rsidR="009E70B3">
                    <w:rPr>
                      <w:b/>
                      <w:bCs/>
                      <w:i w:val="0"/>
                      <w:iCs w:val="0"/>
                      <w:color w:val="auto"/>
                      <w:sz w:val="24"/>
                      <w:szCs w:val="24"/>
                    </w:rPr>
                    <w:t xml:space="preserve">            </w:t>
                  </w:r>
                  <w:r>
                    <w:rPr>
                      <w:b/>
                      <w:bCs/>
                      <w:i w:val="0"/>
                      <w:iCs w:val="0"/>
                      <w:color w:val="auto"/>
                      <w:sz w:val="24"/>
                      <w:szCs w:val="24"/>
                    </w:rPr>
                    <w:t xml:space="preserve"> </w:t>
                  </w:r>
                </w:p>
              </w:tc>
            </w:tr>
          </w:tbl>
          <w:p w14:paraId="0C600EA7" w14:textId="6029B8E7" w:rsidR="00310CB4" w:rsidRPr="00774723" w:rsidRDefault="00DD2EF6" w:rsidP="00310CB4">
            <w:pPr>
              <w:pStyle w:val="Titre3"/>
              <w:outlineLvl w:val="2"/>
              <w:rPr>
                <w:b/>
                <w:bCs/>
                <w:lang w:eastAsia="fr-FR"/>
              </w:rPr>
            </w:pPr>
            <w:r w:rsidRPr="00774723">
              <w:rPr>
                <w:b/>
                <w:bCs/>
                <w:lang w:eastAsia="fr-FR"/>
              </w:rPr>
              <w:t xml:space="preserve"> </w:t>
            </w:r>
            <w:bookmarkStart w:id="53" w:name="_Toc167472745"/>
            <w:bookmarkStart w:id="54" w:name="_Toc168302221"/>
            <w:bookmarkStart w:id="55" w:name="_Toc170226663"/>
            <w:r w:rsidR="0074055A">
              <w:rPr>
                <w:b/>
                <w:bCs/>
                <w:lang w:eastAsia="fr-FR"/>
              </w:rPr>
              <w:t>Principaux</w:t>
            </w:r>
            <w:r w:rsidR="00310CB4" w:rsidRPr="00774723">
              <w:rPr>
                <w:b/>
                <w:bCs/>
                <w:lang w:eastAsia="fr-FR"/>
              </w:rPr>
              <w:t xml:space="preserve"> types </w:t>
            </w:r>
            <w:bookmarkEnd w:id="53"/>
            <w:r w:rsidR="0074055A">
              <w:rPr>
                <w:b/>
                <w:bCs/>
                <w:lang w:eastAsia="fr-FR"/>
              </w:rPr>
              <w:t>d’adipocyte :</w:t>
            </w:r>
            <w:bookmarkEnd w:id="54"/>
            <w:bookmarkEnd w:id="55"/>
          </w:p>
          <w:p w14:paraId="5FBEF9EC" w14:textId="77777777" w:rsidR="00310CB4" w:rsidRDefault="00310CB4" w:rsidP="00310CB4">
            <w:pPr>
              <w:pStyle w:val="Titre4"/>
              <w:outlineLvl w:val="3"/>
              <w:rPr>
                <w:lang w:eastAsia="fr-FR"/>
              </w:rPr>
            </w:pPr>
            <w:r>
              <w:rPr>
                <w:lang w:eastAsia="fr-FR"/>
              </w:rPr>
              <w:t>Adipocyte uniloculaire (Graisse blanche)</w:t>
            </w:r>
          </w:p>
          <w:p w14:paraId="4A8EA5B2" w14:textId="1CA017AB" w:rsidR="00310CB4" w:rsidRDefault="00310CB4" w:rsidP="001A3465">
            <w:pPr>
              <w:rPr>
                <w:rFonts w:asciiTheme="majorBidi" w:hAnsiTheme="majorBidi" w:cstheme="majorBidi"/>
                <w:color w:val="000000" w:themeColor="text1"/>
                <w:lang w:eastAsia="fr-FR"/>
              </w:rPr>
            </w:pPr>
            <w:r w:rsidRPr="00C90466">
              <w:rPr>
                <w:rFonts w:asciiTheme="majorBidi" w:hAnsiTheme="majorBidi" w:cstheme="majorBidi"/>
                <w:color w:val="000000" w:themeColor="text1"/>
                <w:lang w:eastAsia="fr-FR"/>
              </w:rPr>
              <w:t>L'adipocyte blanc se distingue par la présence d'une seule vacuole lipidique, contenant des triglycérides ou des triesters de glycérol et d'acides gras, qui occupe presque tout le volume de la cellule. Dans cette configuration, le noyau est repoussé vers la périphérie contre la membrane cellulaire. Dans les adipocytes uniloculaires, les mitochondries sont p</w:t>
            </w:r>
            <w:r>
              <w:rPr>
                <w:rFonts w:asciiTheme="majorBidi" w:hAnsiTheme="majorBidi" w:cstheme="majorBidi"/>
                <w:color w:val="000000" w:themeColor="text1"/>
                <w:lang w:eastAsia="fr-FR"/>
              </w:rPr>
              <w:t>eu nombreuses (Jean clos, 2012)</w:t>
            </w:r>
            <w:r w:rsidRPr="00C90466">
              <w:rPr>
                <w:rFonts w:asciiTheme="majorBidi" w:hAnsiTheme="majorBidi" w:cstheme="majorBidi"/>
                <w:color w:val="000000" w:themeColor="text1"/>
                <w:lang w:eastAsia="fr-FR"/>
              </w:rPr>
              <w:t>.</w:t>
            </w:r>
            <w:r>
              <w:rPr>
                <w:rFonts w:asciiTheme="majorBidi" w:hAnsiTheme="majorBidi" w:cstheme="majorBidi"/>
                <w:color w:val="000000" w:themeColor="text1"/>
                <w:lang w:eastAsia="fr-FR"/>
              </w:rPr>
              <w:t xml:space="preserve"> </w:t>
            </w:r>
            <w:r w:rsidRPr="00C90466">
              <w:rPr>
                <w:rFonts w:asciiTheme="majorBidi" w:hAnsiTheme="majorBidi" w:cstheme="majorBidi"/>
                <w:color w:val="000000" w:themeColor="text1"/>
                <w:lang w:eastAsia="fr-FR"/>
              </w:rPr>
              <w:t xml:space="preserve">Une volumineuse inclusion lipidique unique </w:t>
            </w:r>
            <w:r w:rsidR="00BC670E" w:rsidRPr="00C90466">
              <w:rPr>
                <w:rFonts w:asciiTheme="majorBidi" w:hAnsiTheme="majorBidi" w:cstheme="majorBidi"/>
                <w:color w:val="000000" w:themeColor="text1"/>
                <w:lang w:eastAsia="fr-FR"/>
              </w:rPr>
              <w:t>résulte</w:t>
            </w:r>
            <w:r w:rsidRPr="00C90466">
              <w:rPr>
                <w:rFonts w:asciiTheme="majorBidi" w:hAnsiTheme="majorBidi" w:cstheme="majorBidi"/>
                <w:color w:val="000000" w:themeColor="text1"/>
                <w:lang w:eastAsia="fr-FR"/>
              </w:rPr>
              <w:t xml:space="preserve"> de la coalexence de </w:t>
            </w:r>
            <w:r w:rsidR="001A3465" w:rsidRPr="00C90466">
              <w:rPr>
                <w:rFonts w:asciiTheme="majorBidi" w:hAnsiTheme="majorBidi" w:cstheme="majorBidi"/>
                <w:color w:val="000000" w:themeColor="text1"/>
                <w:lang w:eastAsia="fr-FR"/>
              </w:rPr>
              <w:t>multiples gouttelettes</w:t>
            </w:r>
            <w:r w:rsidRPr="00C90466">
              <w:rPr>
                <w:rFonts w:asciiTheme="majorBidi" w:hAnsiTheme="majorBidi" w:cstheme="majorBidi"/>
                <w:color w:val="000000" w:themeColor="text1"/>
                <w:lang w:eastAsia="fr-FR"/>
              </w:rPr>
              <w:t xml:space="preserve"> lipidique réponse le noyau en position excentré. Sur cette préparation la graisse   n’est pas colorée (Mojallal </w:t>
            </w:r>
            <w:r w:rsidRPr="00310CB4">
              <w:rPr>
                <w:rFonts w:asciiTheme="majorBidi" w:hAnsiTheme="majorBidi" w:cstheme="majorBidi"/>
                <w:i/>
                <w:iCs/>
                <w:color w:val="000000" w:themeColor="text1"/>
                <w:lang w:eastAsia="fr-FR"/>
              </w:rPr>
              <w:t>et al.,</w:t>
            </w:r>
            <w:r w:rsidRPr="00C90466">
              <w:rPr>
                <w:rFonts w:asciiTheme="majorBidi" w:hAnsiTheme="majorBidi" w:cstheme="majorBidi"/>
                <w:color w:val="000000" w:themeColor="text1"/>
                <w:lang w:eastAsia="fr-FR"/>
              </w:rPr>
              <w:t xml:space="preserve"> 2005).</w:t>
            </w:r>
          </w:p>
          <w:p w14:paraId="31C61B8E" w14:textId="4432BF39" w:rsidR="00310CB4" w:rsidRDefault="00310CB4" w:rsidP="00310CB4">
            <w:pPr>
              <w:pStyle w:val="Titre4"/>
              <w:outlineLvl w:val="3"/>
              <w:rPr>
                <w:lang w:eastAsia="fr-FR"/>
              </w:rPr>
            </w:pPr>
            <w:r w:rsidRPr="00310CB4">
              <w:rPr>
                <w:lang w:eastAsia="fr-FR"/>
              </w:rPr>
              <w:t>Adipocyte multiloculaire</w:t>
            </w:r>
          </w:p>
          <w:p w14:paraId="4601B8F7" w14:textId="77777777" w:rsidR="00310CB4" w:rsidRDefault="00310CB4" w:rsidP="001A3465">
            <w:pPr>
              <w:rPr>
                <w:color w:val="000000" w:themeColor="text1"/>
              </w:rPr>
            </w:pPr>
            <w:r w:rsidRPr="00EC114A">
              <w:rPr>
                <w:rFonts w:asciiTheme="majorBidi" w:hAnsiTheme="majorBidi" w:cstheme="majorBidi"/>
                <w:lang w:eastAsia="fr-FR"/>
              </w:rPr>
              <w:lastRenderedPageBreak/>
              <w:t>Les adipocytes bruns contiennent de nombreuses vacuoles remplies de TG (adipocytes multiloculaires) et de nombreuses mitochondries avec des crêtes abondantes. La couleur du tissu est due à l'abondance de cytochromes (transporteurs de la chaîne respiratoire de la membrane interne de la mitochondrie). La graisse brune est présente chez les nouveau-nés humains. Les cellules contiennent des mitochondries dans la membrane contenant la thermogénine, une protéine de découplage responsable de la dissipation de l'énergie sous forme de chaleur (dans ce cas, il n'y a pas de fonctionnement de l'ATP synthétase p</w:t>
            </w:r>
            <w:r>
              <w:rPr>
                <w:rFonts w:asciiTheme="majorBidi" w:hAnsiTheme="majorBidi" w:cstheme="majorBidi"/>
                <w:lang w:eastAsia="fr-FR"/>
              </w:rPr>
              <w:t xml:space="preserve">ermettant la synthèse de l'ATP) </w:t>
            </w:r>
            <w:r w:rsidRPr="005D350F">
              <w:rPr>
                <w:rFonts w:asciiTheme="majorBidi" w:hAnsiTheme="majorBidi" w:cstheme="majorBidi"/>
                <w:color w:val="000000" w:themeColor="text1"/>
                <w:lang w:eastAsia="fr-FR"/>
              </w:rPr>
              <w:t>(</w:t>
            </w:r>
            <w:r w:rsidRPr="005D350F">
              <w:rPr>
                <w:color w:val="000000" w:themeColor="text1"/>
              </w:rPr>
              <w:t>Mouniam, 2011).</w:t>
            </w:r>
          </w:p>
          <w:p w14:paraId="4B21A935" w14:textId="78B9F56B" w:rsidR="00310CB4" w:rsidRPr="00774723" w:rsidRDefault="00310CB4" w:rsidP="00310CB4">
            <w:pPr>
              <w:pStyle w:val="Titre3"/>
              <w:outlineLvl w:val="2"/>
              <w:rPr>
                <w:b/>
                <w:bCs/>
                <w:lang w:eastAsia="fr-FR"/>
              </w:rPr>
            </w:pPr>
            <w:bookmarkStart w:id="56" w:name="_Toc167472746"/>
            <w:bookmarkStart w:id="57" w:name="_Toc168302222"/>
            <w:bookmarkStart w:id="58" w:name="_Toc170226664"/>
            <w:r w:rsidRPr="00774723">
              <w:rPr>
                <w:b/>
                <w:bCs/>
                <w:lang w:eastAsia="fr-FR"/>
              </w:rPr>
              <w:t>Fonctions endocriniennes de l’adipocyte</w:t>
            </w:r>
            <w:bookmarkEnd w:id="56"/>
            <w:bookmarkEnd w:id="57"/>
            <w:bookmarkEnd w:id="58"/>
          </w:p>
          <w:p w14:paraId="74EE494F" w14:textId="6679068A" w:rsidR="00BC670E" w:rsidRDefault="00BC670E" w:rsidP="00BC670E">
            <w:pPr>
              <w:rPr>
                <w:lang w:eastAsia="fr-FR"/>
              </w:rPr>
            </w:pPr>
            <w:r>
              <w:rPr>
                <w:lang w:eastAsia="fr-FR"/>
              </w:rPr>
              <w:t xml:space="preserve"> </w:t>
            </w:r>
            <w:r w:rsidRPr="00BC670E">
              <w:rPr>
                <w:lang w:eastAsia="fr-FR"/>
              </w:rPr>
              <w:t>Le tissu adipeux a été reconnu comme un organe endocrinien qui stocke les lipides grâce aux adipocytes, qui sécrètent des hormones appelées adipokines telles que l'adiponectine, qui régule la glycémie, la résistine et la leptine, qui jouent un rôle crucial dans divers processus, notamment la régulation de la s</w:t>
            </w:r>
            <w:r w:rsidR="00CD7B5F">
              <w:rPr>
                <w:lang w:eastAsia="fr-FR"/>
              </w:rPr>
              <w:t>atiété dans le co</w:t>
            </w:r>
            <w:r w:rsidR="00B8364D">
              <w:rPr>
                <w:lang w:eastAsia="fr-FR"/>
              </w:rPr>
              <w:t>rps</w:t>
            </w:r>
            <w:r w:rsidR="00CD7B5F">
              <w:rPr>
                <w:lang w:eastAsia="fr-FR"/>
              </w:rPr>
              <w:t xml:space="preserve"> (f</w:t>
            </w:r>
            <w:r w:rsidR="00D66B7B">
              <w:rPr>
                <w:lang w:eastAsia="fr-FR"/>
              </w:rPr>
              <w:t xml:space="preserve">igure </w:t>
            </w:r>
            <w:r>
              <w:rPr>
                <w:lang w:eastAsia="fr-FR"/>
              </w:rPr>
              <w:t>3</w:t>
            </w:r>
            <w:r w:rsidRPr="00BC670E">
              <w:rPr>
                <w:lang w:eastAsia="fr-FR"/>
              </w:rPr>
              <w:t>) (Gérard, 1998)</w:t>
            </w:r>
            <w:r>
              <w:rPr>
                <w:lang w:eastAsia="fr-FR"/>
              </w:rPr>
              <w:t>.</w:t>
            </w:r>
          </w:p>
          <w:tbl>
            <w:tblPr>
              <w:tblStyle w:val="Grilledutableau"/>
              <w:tblW w:w="9762" w:type="dxa"/>
              <w:tblInd w:w="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62"/>
            </w:tblGrid>
            <w:tr w:rsidR="00BC670E" w14:paraId="4F116056" w14:textId="77777777" w:rsidTr="009C03B5">
              <w:trPr>
                <w:trHeight w:val="5365"/>
              </w:trPr>
              <w:tc>
                <w:tcPr>
                  <w:tcW w:w="9762" w:type="dxa"/>
                </w:tcPr>
                <w:p w14:paraId="0EA0EF84" w14:textId="4682E709" w:rsidR="00BC670E" w:rsidRPr="00EE2EA6" w:rsidRDefault="00E90E64" w:rsidP="00EE2EA6">
                  <w:pPr>
                    <w:rPr>
                      <w:b/>
                      <w:bCs/>
                      <w:color w:val="000000" w:themeColor="text1"/>
                    </w:rPr>
                  </w:pPr>
                  <w:bookmarkStart w:id="59" w:name="_Toc167308110"/>
                  <w:r>
                    <w:rPr>
                      <w:noProof/>
                      <w:lang w:eastAsia="fr-FR"/>
                    </w:rPr>
                    <w:drawing>
                      <wp:anchor distT="0" distB="0" distL="114300" distR="114300" simplePos="0" relativeHeight="251678720" behindDoc="0" locked="0" layoutInCell="1" allowOverlap="1" wp14:anchorId="012923E8" wp14:editId="21FAE0F5">
                        <wp:simplePos x="0" y="0"/>
                        <wp:positionH relativeFrom="column">
                          <wp:posOffset>-14605</wp:posOffset>
                        </wp:positionH>
                        <wp:positionV relativeFrom="paragraph">
                          <wp:posOffset>615950</wp:posOffset>
                        </wp:positionV>
                        <wp:extent cx="6055995" cy="3575050"/>
                        <wp:effectExtent l="0" t="0" r="1905" b="6350"/>
                        <wp:wrapTopAndBottom/>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extLst>
                                    <a:ext uri="{28A0092B-C50C-407E-A947-70E740481C1C}">
                                      <a14:useLocalDpi xmlns:a14="http://schemas.microsoft.com/office/drawing/2010/main" val="0"/>
                                    </a:ext>
                                  </a:extLst>
                                </a:blip>
                                <a:stretch>
                                  <a:fillRect/>
                                </a:stretch>
                              </pic:blipFill>
                              <pic:spPr>
                                <a:xfrm>
                                  <a:off x="0" y="0"/>
                                  <a:ext cx="6055995" cy="3575050"/>
                                </a:xfrm>
                                <a:prstGeom prst="rect">
                                  <a:avLst/>
                                </a:prstGeom>
                              </pic:spPr>
                            </pic:pic>
                          </a:graphicData>
                        </a:graphic>
                        <wp14:sizeRelH relativeFrom="page">
                          <wp14:pctWidth>0</wp14:pctWidth>
                        </wp14:sizeRelH>
                        <wp14:sizeRelV relativeFrom="page">
                          <wp14:pctHeight>0</wp14:pctHeight>
                        </wp14:sizeRelV>
                      </wp:anchor>
                    </w:drawing>
                  </w:r>
                  <w:bookmarkEnd w:id="59"/>
                </w:p>
              </w:tc>
            </w:tr>
            <w:tr w:rsidR="00BC670E" w14:paraId="4F21331C" w14:textId="77777777" w:rsidTr="009C03B5">
              <w:trPr>
                <w:trHeight w:val="1253"/>
              </w:trPr>
              <w:tc>
                <w:tcPr>
                  <w:tcW w:w="9762" w:type="dxa"/>
                </w:tcPr>
                <w:p w14:paraId="143A33B9" w14:textId="2EC1DC48" w:rsidR="00E90E64" w:rsidRDefault="00E90E64" w:rsidP="007578E0">
                  <w:pPr>
                    <w:jc w:val="center"/>
                    <w:rPr>
                      <w:b/>
                      <w:bCs/>
                      <w:color w:val="000000" w:themeColor="text1"/>
                    </w:rPr>
                  </w:pPr>
                  <w:r w:rsidRPr="008C421D">
                    <w:rPr>
                      <w:b/>
                      <w:bCs/>
                      <w:color w:val="000000" w:themeColor="text1"/>
                    </w:rPr>
                    <w:t xml:space="preserve">Figure </w:t>
                  </w:r>
                  <w:r w:rsidRPr="008C421D">
                    <w:rPr>
                      <w:b/>
                      <w:bCs/>
                      <w:color w:val="000000" w:themeColor="text1"/>
                    </w:rPr>
                    <w:fldChar w:fldCharType="begin"/>
                  </w:r>
                  <w:r w:rsidRPr="008C421D">
                    <w:rPr>
                      <w:b/>
                      <w:bCs/>
                      <w:color w:val="000000" w:themeColor="text1"/>
                    </w:rPr>
                    <w:instrText xml:space="preserve"> SEQ Figure \* ARABIC </w:instrText>
                  </w:r>
                  <w:r w:rsidRPr="008C421D">
                    <w:rPr>
                      <w:b/>
                      <w:bCs/>
                      <w:color w:val="000000" w:themeColor="text1"/>
                    </w:rPr>
                    <w:fldChar w:fldCharType="separate"/>
                  </w:r>
                  <w:r>
                    <w:rPr>
                      <w:b/>
                      <w:bCs/>
                      <w:noProof/>
                      <w:color w:val="000000" w:themeColor="text1"/>
                    </w:rPr>
                    <w:t>3</w:t>
                  </w:r>
                  <w:r w:rsidRPr="008C421D">
                    <w:rPr>
                      <w:b/>
                      <w:bCs/>
                      <w:color w:val="000000" w:themeColor="text1"/>
                    </w:rPr>
                    <w:fldChar w:fldCharType="end"/>
                  </w:r>
                  <w:r w:rsidRPr="008C421D">
                    <w:rPr>
                      <w:b/>
                      <w:bCs/>
                      <w:color w:val="000000" w:themeColor="text1"/>
                    </w:rPr>
                    <w:t>.</w:t>
                  </w:r>
                  <w:r w:rsidRPr="008C421D">
                    <w:rPr>
                      <w:color w:val="000000" w:themeColor="text1"/>
                    </w:rPr>
                    <w:t xml:space="preserve"> Le tissu adipeux sécrète plusieurs molécules de type hormonal appelée adipokines (Andrade-Oliveira </w:t>
                  </w:r>
                  <w:r w:rsidRPr="008C421D">
                    <w:rPr>
                      <w:i/>
                      <w:iCs/>
                      <w:color w:val="000000" w:themeColor="text1"/>
                    </w:rPr>
                    <w:t>et al.,</w:t>
                  </w:r>
                  <w:r w:rsidRPr="008C421D">
                    <w:rPr>
                      <w:color w:val="000000" w:themeColor="text1"/>
                    </w:rPr>
                    <w:t xml:space="preserve"> 2015).</w:t>
                  </w:r>
                </w:p>
                <w:p w14:paraId="68A9A4B9" w14:textId="77777777" w:rsidR="00BC670E" w:rsidRDefault="00BC670E" w:rsidP="00BC670E">
                  <w:pPr>
                    <w:keepNext/>
                    <w:rPr>
                      <w:lang w:eastAsia="fr-FR"/>
                    </w:rPr>
                  </w:pPr>
                </w:p>
              </w:tc>
            </w:tr>
          </w:tbl>
          <w:p w14:paraId="29F86718" w14:textId="0A115C8B" w:rsidR="00E66E6D" w:rsidRPr="00E66E6D" w:rsidRDefault="00E66E6D" w:rsidP="00310CB4">
            <w:pPr>
              <w:rPr>
                <w:lang w:eastAsia="fr-FR"/>
              </w:rPr>
            </w:pPr>
          </w:p>
        </w:tc>
      </w:tr>
    </w:tbl>
    <w:p w14:paraId="1B524E61" w14:textId="77777777" w:rsidR="009F4854" w:rsidRPr="00EE2EA6" w:rsidRDefault="009F4854" w:rsidP="00EE2EA6">
      <w:pPr>
        <w:sectPr w:rsidR="009F4854" w:rsidRPr="00EE2EA6" w:rsidSect="00EE2EA6">
          <w:headerReference w:type="default" r:id="rId23"/>
          <w:footerReference w:type="default" r:id="rId24"/>
          <w:pgSz w:w="11906" w:h="16838" w:code="9"/>
          <w:pgMar w:top="1134" w:right="1134" w:bottom="1134" w:left="1418" w:header="567" w:footer="567" w:gutter="0"/>
          <w:pgNumType w:start="2"/>
          <w:cols w:space="720"/>
          <w:docGrid w:linePitch="360"/>
        </w:sectPr>
      </w:pPr>
      <w:bookmarkStart w:id="60" w:name="_GoBack"/>
      <w:bookmarkEnd w:id="60"/>
    </w:p>
    <w:tbl>
      <w:tblPr>
        <w:tblStyle w:val="Grilledutableau"/>
        <w:tblW w:w="96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69"/>
      </w:tblGrid>
      <w:tr w:rsidR="00DD2EF6" w14:paraId="50DC9262" w14:textId="77777777" w:rsidTr="00E17B36">
        <w:trPr>
          <w:trHeight w:val="139"/>
        </w:trPr>
        <w:tc>
          <w:tcPr>
            <w:tcW w:w="9669" w:type="dxa"/>
          </w:tcPr>
          <w:p w14:paraId="6E08544A" w14:textId="0CBA8B89" w:rsidR="00DD2EF6" w:rsidRDefault="00DD2EF6" w:rsidP="00E66E6D">
            <w:pPr>
              <w:pStyle w:val="Lgende"/>
              <w:rPr>
                <w:i w:val="0"/>
                <w:iCs w:val="0"/>
                <w:color w:val="000000" w:themeColor="text1"/>
                <w:sz w:val="24"/>
                <w:szCs w:val="24"/>
              </w:rPr>
            </w:pPr>
          </w:p>
          <w:p w14:paraId="50967BC4" w14:textId="77777777" w:rsidR="00C01659" w:rsidRDefault="00C01659" w:rsidP="00C01659"/>
          <w:p w14:paraId="3816E2CC" w14:textId="77777777" w:rsidR="00C01659" w:rsidRDefault="00C01659" w:rsidP="00C01659"/>
          <w:p w14:paraId="610788B8" w14:textId="77777777" w:rsidR="00C01659" w:rsidRDefault="00C01659" w:rsidP="00C01659"/>
          <w:p w14:paraId="7914E829" w14:textId="77777777" w:rsidR="00C01659" w:rsidRDefault="00C01659" w:rsidP="00C01659"/>
          <w:p w14:paraId="321B6D9F" w14:textId="77777777" w:rsidR="00C01659" w:rsidRDefault="00C01659" w:rsidP="00C01659"/>
          <w:p w14:paraId="492FEA4A" w14:textId="77777777" w:rsidR="00C01659" w:rsidRDefault="00C01659" w:rsidP="00C01659"/>
          <w:p w14:paraId="395BB2D0" w14:textId="77777777" w:rsidR="00E17B36" w:rsidRDefault="00E17B36" w:rsidP="00C01659"/>
          <w:p w14:paraId="0DE79747" w14:textId="77777777" w:rsidR="00E17B36" w:rsidRDefault="00E17B36" w:rsidP="00C01659"/>
          <w:p w14:paraId="3E0B4180" w14:textId="77777777" w:rsidR="00C01659" w:rsidRPr="00C01659" w:rsidRDefault="00C01659" w:rsidP="00C01659"/>
        </w:tc>
      </w:tr>
    </w:tbl>
    <w:p w14:paraId="4C3BBC63" w14:textId="30CCE062" w:rsidR="005F705F" w:rsidRDefault="0054062E" w:rsidP="00E17B36">
      <w:pPr>
        <w:jc w:val="center"/>
        <w:rPr>
          <w:rFonts w:asciiTheme="majorBidi" w:hAnsiTheme="majorBidi" w:cstheme="majorBidi"/>
          <w:b/>
          <w:bCs/>
          <w:sz w:val="72"/>
          <w:szCs w:val="72"/>
        </w:rPr>
      </w:pPr>
      <w:r w:rsidRPr="00382403">
        <w:rPr>
          <w:rFonts w:asciiTheme="majorBidi" w:hAnsiTheme="majorBidi" w:cstheme="majorBidi"/>
          <w:b/>
          <w:bCs/>
          <w:sz w:val="72"/>
          <w:szCs w:val="72"/>
        </w:rPr>
        <w:t>Chapitre II :</w:t>
      </w:r>
    </w:p>
    <w:p w14:paraId="1275FA05" w14:textId="6D4D8E98" w:rsidR="006B6059" w:rsidRPr="00382403" w:rsidRDefault="006B6059" w:rsidP="006B6059">
      <w:pPr>
        <w:jc w:val="center"/>
        <w:rPr>
          <w:rFonts w:asciiTheme="majorBidi" w:hAnsiTheme="majorBidi" w:cstheme="majorBidi"/>
          <w:b/>
          <w:bCs/>
          <w:sz w:val="72"/>
          <w:szCs w:val="72"/>
        </w:rPr>
        <w:sectPr w:rsidR="006B6059" w:rsidRPr="00382403" w:rsidSect="008762BC">
          <w:headerReference w:type="default" r:id="rId25"/>
          <w:footerReference w:type="default" r:id="rId26"/>
          <w:pgSz w:w="11906" w:h="16838" w:code="9"/>
          <w:pgMar w:top="1134" w:right="1134" w:bottom="1134" w:left="1418" w:header="567" w:footer="567" w:gutter="0"/>
          <w:pgNumType w:start="8"/>
          <w:cols w:space="720"/>
          <w:docGrid w:linePitch="360"/>
        </w:sectPr>
      </w:pPr>
      <w:r>
        <w:rPr>
          <w:rFonts w:asciiTheme="majorBidi" w:hAnsiTheme="majorBidi" w:cstheme="majorBidi"/>
          <w:b/>
          <w:bCs/>
          <w:sz w:val="72"/>
          <w:szCs w:val="72"/>
        </w:rPr>
        <w:t xml:space="preserve"> </w:t>
      </w:r>
      <w:r w:rsidR="001A3465">
        <w:rPr>
          <w:rFonts w:asciiTheme="majorBidi" w:hAnsiTheme="majorBidi" w:cstheme="majorBidi"/>
          <w:b/>
          <w:bCs/>
          <w:sz w:val="72"/>
          <w:szCs w:val="72"/>
        </w:rPr>
        <w:t>Adipo</w:t>
      </w:r>
      <w:r w:rsidR="003A2989">
        <w:rPr>
          <w:rFonts w:asciiTheme="majorBidi" w:hAnsiTheme="majorBidi" w:cstheme="majorBidi"/>
          <w:b/>
          <w:bCs/>
          <w:sz w:val="72"/>
          <w:szCs w:val="72"/>
        </w:rPr>
        <w:t>kines</w:t>
      </w:r>
      <w:r w:rsidR="001A3465">
        <w:rPr>
          <w:rFonts w:asciiTheme="majorBidi" w:hAnsiTheme="majorBidi" w:cstheme="majorBidi"/>
          <w:b/>
          <w:bCs/>
          <w:sz w:val="72"/>
          <w:szCs w:val="72"/>
        </w:rPr>
        <w:t xml:space="preserve"> et leurs rôles physiologiques </w:t>
      </w:r>
    </w:p>
    <w:p w14:paraId="32479046" w14:textId="1F5F9BCB" w:rsidR="0015382D" w:rsidRDefault="00BE478E" w:rsidP="006B6059">
      <w:pPr>
        <w:pStyle w:val="Titre1"/>
      </w:pPr>
      <w:bookmarkStart w:id="61" w:name="_Toc167472748"/>
      <w:bookmarkStart w:id="62" w:name="_Toc168302223"/>
      <w:bookmarkStart w:id="63" w:name="_Toc170226665"/>
      <w:r>
        <w:lastRenderedPageBreak/>
        <w:t>A</w:t>
      </w:r>
      <w:r w:rsidR="006B6059" w:rsidRPr="006B6059">
        <w:t>dipokines et leurs rôles physiologiques</w:t>
      </w:r>
      <w:bookmarkEnd w:id="61"/>
      <w:bookmarkEnd w:id="62"/>
      <w:bookmarkEnd w:id="63"/>
    </w:p>
    <w:p w14:paraId="056E1C1C" w14:textId="60C66568" w:rsidR="0048053E" w:rsidRDefault="0048053E" w:rsidP="0048053E">
      <w:pPr>
        <w:pStyle w:val="Titre2"/>
        <w:rPr>
          <w:lang w:eastAsia="fr-FR"/>
        </w:rPr>
      </w:pPr>
      <w:bookmarkStart w:id="64" w:name="_Toc167472747"/>
      <w:bookmarkStart w:id="65" w:name="_Toc168302224"/>
      <w:bookmarkStart w:id="66" w:name="_Toc170226666"/>
      <w:r w:rsidRPr="00BC670E">
        <w:rPr>
          <w:lang w:eastAsia="fr-FR"/>
        </w:rPr>
        <w:t>Adipokines</w:t>
      </w:r>
      <w:bookmarkEnd w:id="64"/>
      <w:bookmarkEnd w:id="65"/>
      <w:bookmarkEnd w:id="66"/>
    </w:p>
    <w:p w14:paraId="6C39183D" w14:textId="77777777" w:rsidR="0048053E" w:rsidRDefault="0048053E" w:rsidP="001A3465">
      <w:pPr>
        <w:rPr>
          <w:rFonts w:asciiTheme="majorBidi" w:hAnsiTheme="majorBidi" w:cstheme="majorBidi"/>
        </w:rPr>
      </w:pPr>
      <w:r w:rsidRPr="000E0D15">
        <w:rPr>
          <w:rFonts w:asciiTheme="majorBidi" w:hAnsiTheme="majorBidi" w:cstheme="majorBidi"/>
        </w:rPr>
        <w:t xml:space="preserve">L'augmentation du nombre de protéines signalétiques identifiées dans les tissus adipeux a rendu nécessaire leur nomination de manière collective. À l'origine, "Funahashi </w:t>
      </w:r>
      <w:r w:rsidRPr="00855902">
        <w:rPr>
          <w:rFonts w:asciiTheme="majorBidi" w:hAnsiTheme="majorBidi" w:cstheme="majorBidi"/>
          <w:i/>
          <w:iCs/>
        </w:rPr>
        <w:t>et al.</w:t>
      </w:r>
      <w:r w:rsidRPr="00855902">
        <w:rPr>
          <w:rFonts w:asciiTheme="majorBidi" w:hAnsiTheme="majorBidi" w:cstheme="majorBidi"/>
        </w:rPr>
        <w:t>"</w:t>
      </w:r>
      <w:r w:rsidRPr="000E0D15">
        <w:rPr>
          <w:rFonts w:asciiTheme="majorBidi" w:hAnsiTheme="majorBidi" w:cstheme="majorBidi"/>
        </w:rPr>
        <w:t xml:space="preserve"> ont proposé le terme "adipocytokines" en 1999, et son utilisation s'est largement répandue</w:t>
      </w:r>
      <w:r>
        <w:rPr>
          <w:rFonts w:asciiTheme="majorBidi" w:hAnsiTheme="majorBidi" w:cstheme="majorBidi"/>
        </w:rPr>
        <w:t xml:space="preserve"> </w:t>
      </w:r>
      <w:r>
        <w:rPr>
          <w:rFonts w:asciiTheme="majorBidi" w:hAnsiTheme="majorBidi" w:cstheme="majorBidi"/>
          <w:lang w:bidi="ar-DZ"/>
        </w:rPr>
        <w:t>(</w:t>
      </w:r>
      <w:r w:rsidRPr="000E0D15">
        <w:rPr>
          <w:rFonts w:asciiTheme="majorBidi" w:hAnsiTheme="majorBidi" w:cstheme="majorBidi"/>
        </w:rPr>
        <w:t xml:space="preserve">Funahashi </w:t>
      </w:r>
      <w:r w:rsidRPr="00774FA4">
        <w:rPr>
          <w:rFonts w:asciiTheme="majorBidi" w:hAnsiTheme="majorBidi" w:cstheme="majorBidi"/>
          <w:i/>
          <w:iCs/>
        </w:rPr>
        <w:t>et al</w:t>
      </w:r>
      <w:r>
        <w:rPr>
          <w:rFonts w:asciiTheme="majorBidi" w:hAnsiTheme="majorBidi" w:cstheme="majorBidi"/>
        </w:rPr>
        <w:t>., 1999)</w:t>
      </w:r>
      <w:r w:rsidRPr="000E0D15">
        <w:rPr>
          <w:rFonts w:asciiTheme="majorBidi" w:hAnsiTheme="majorBidi" w:cstheme="majorBidi"/>
        </w:rPr>
        <w:t xml:space="preserve">. </w:t>
      </w:r>
    </w:p>
    <w:p w14:paraId="6563D398" w14:textId="77777777" w:rsidR="0048053E" w:rsidRDefault="0048053E" w:rsidP="0048053E">
      <w:pPr>
        <w:rPr>
          <w:rFonts w:asciiTheme="majorBidi" w:hAnsiTheme="majorBidi" w:cstheme="majorBidi"/>
        </w:rPr>
      </w:pPr>
      <w:r w:rsidRPr="000E0D15">
        <w:rPr>
          <w:rFonts w:asciiTheme="majorBidi" w:hAnsiTheme="majorBidi" w:cstheme="majorBidi"/>
        </w:rPr>
        <w:t xml:space="preserve">Cependant, ce nom suggère que les protéines sécrétées par les cellules adipeuses sont des cytokines ou des molécules similaires aux cytokines. Bien que cette description soit applicable à certaines molécules telles que TNF- et IL-6, elle ne s'applique pas à la majorité des molécules sécrétées par les cellules adipeuses. Par conséquent, ce terme a été remplacé par le terme "adipokines" en 2004 par "Trayhurn </w:t>
      </w:r>
      <w:r>
        <w:rPr>
          <w:rFonts w:asciiTheme="majorBidi" w:hAnsiTheme="majorBidi" w:cstheme="majorBidi"/>
        </w:rPr>
        <w:t xml:space="preserve">et </w:t>
      </w:r>
      <w:r w:rsidRPr="000E0D15">
        <w:rPr>
          <w:rFonts w:asciiTheme="majorBidi" w:hAnsiTheme="majorBidi" w:cstheme="majorBidi"/>
        </w:rPr>
        <w:t xml:space="preserve">Wood". </w:t>
      </w:r>
    </w:p>
    <w:p w14:paraId="41B95CBD" w14:textId="77777777" w:rsidR="0048053E" w:rsidRPr="00774FA4" w:rsidRDefault="0048053E" w:rsidP="001A3465">
      <w:pPr>
        <w:rPr>
          <w:rFonts w:asciiTheme="majorBidi" w:hAnsiTheme="majorBidi" w:cstheme="majorBidi"/>
        </w:rPr>
      </w:pPr>
      <w:r w:rsidRPr="000E0D15">
        <w:rPr>
          <w:rFonts w:asciiTheme="majorBidi" w:hAnsiTheme="majorBidi" w:cstheme="majorBidi"/>
        </w:rPr>
        <w:t>La sécrétion est une caractéristique importante dans la définition de la molécule comme adipokine. Le même terme a été utilisé pour décrire la protéine sécrétée par les tissus adipeux en général, et pas seulement par les cellules adipeuses, telles que les protéines sécrétées par les cellules immunitaires infiltrant les tissus adipeux. Il convient de noter que le terme "adipokines" doit s'appliquer exclusivement aux protéines produites et sécrét</w:t>
      </w:r>
      <w:r>
        <w:rPr>
          <w:rFonts w:asciiTheme="majorBidi" w:hAnsiTheme="majorBidi" w:cstheme="majorBidi"/>
        </w:rPr>
        <w:t>ées par les cellules adipeuses (</w:t>
      </w:r>
      <w:r>
        <w:t xml:space="preserve">Wiesner </w:t>
      </w:r>
      <w:r w:rsidRPr="00774FA4">
        <w:rPr>
          <w:i/>
          <w:iCs/>
        </w:rPr>
        <w:t>et al</w:t>
      </w:r>
      <w:r>
        <w:t>.,</w:t>
      </w:r>
      <w:r w:rsidRPr="00774FA4">
        <w:t>2004</w:t>
      </w:r>
      <w:r>
        <w:t>).</w:t>
      </w:r>
    </w:p>
    <w:p w14:paraId="7F27956C" w14:textId="77777777" w:rsidR="0048053E" w:rsidRDefault="0048053E" w:rsidP="001A3465">
      <w:pPr>
        <w:rPr>
          <w:rFonts w:asciiTheme="majorBidi" w:hAnsiTheme="majorBidi" w:cstheme="majorBidi"/>
        </w:rPr>
      </w:pPr>
      <w:r w:rsidRPr="000E0D15">
        <w:rPr>
          <w:rFonts w:asciiTheme="majorBidi" w:hAnsiTheme="majorBidi" w:cstheme="majorBidi"/>
        </w:rPr>
        <w:t>Les adipokines ont diverses fonctions dans de nombreux systèmes et mécanismes, y compris l'équilibre de l'appétit et de l'énergie, l'équilibre hormonal, la réponse immunitaire, le métabolisme des lipides, la pression artérielle, l'inflammation, la formation vasculaire et la sensibilité à l'ins</w:t>
      </w:r>
      <w:r>
        <w:rPr>
          <w:rFonts w:asciiTheme="majorBidi" w:hAnsiTheme="majorBidi" w:cstheme="majorBidi"/>
        </w:rPr>
        <w:t xml:space="preserve">uline (Trayhurn </w:t>
      </w:r>
      <w:r w:rsidRPr="00B8364D">
        <w:rPr>
          <w:rFonts w:asciiTheme="majorBidi" w:hAnsiTheme="majorBidi" w:cstheme="majorBidi"/>
        </w:rPr>
        <w:t>et</w:t>
      </w:r>
      <w:r>
        <w:rPr>
          <w:rFonts w:asciiTheme="majorBidi" w:hAnsiTheme="majorBidi" w:cstheme="majorBidi"/>
        </w:rPr>
        <w:t xml:space="preserve"> Wood, 2004).</w:t>
      </w:r>
    </w:p>
    <w:p w14:paraId="3CED7179" w14:textId="6CD3E5A7" w:rsidR="00BE478E" w:rsidRDefault="00BE478E" w:rsidP="00BE478E">
      <w:pPr>
        <w:pStyle w:val="Titre2"/>
      </w:pPr>
      <w:bookmarkStart w:id="67" w:name="_Toc168302225"/>
      <w:bookmarkStart w:id="68" w:name="_Toc170226667"/>
      <w:r>
        <w:t>Différents types d’adipokines</w:t>
      </w:r>
      <w:bookmarkEnd w:id="67"/>
      <w:bookmarkEnd w:id="68"/>
    </w:p>
    <w:p w14:paraId="7AE44525" w14:textId="70185608" w:rsidR="00962521" w:rsidRDefault="003A2989" w:rsidP="00BE478E">
      <w:pPr>
        <w:pStyle w:val="Titre3"/>
      </w:pPr>
      <w:bookmarkStart w:id="69" w:name="_Toc167472749"/>
      <w:bookmarkStart w:id="70" w:name="_Toc168302226"/>
      <w:bookmarkStart w:id="71" w:name="_Toc170226668"/>
      <w:r>
        <w:t>A</w:t>
      </w:r>
      <w:r w:rsidR="006B6059" w:rsidRPr="006B6059">
        <w:t>diponectine</w:t>
      </w:r>
      <w:bookmarkEnd w:id="69"/>
      <w:bookmarkEnd w:id="70"/>
      <w:bookmarkEnd w:id="71"/>
    </w:p>
    <w:p w14:paraId="5639D9C1" w14:textId="3434264D" w:rsidR="003A2989" w:rsidRDefault="003A2989" w:rsidP="001A3465">
      <w:r>
        <w:t xml:space="preserve">La protéine adiponectine humaine contient 244 acides aminés. Elle est composée de quatre régions, dont une séquence signal à l'extrémité N-terminale, une région variable, un domaine collagénique et un domaine globulaire de type complément 1q à l'extrémité C-terminale. La protéine adiponectine subit une multimérisation en trimères (faible poids moléculaire, LMW), hexamères (poids moléculaire moyen, MMW) et multimères (poids moléculaire élevé, HMW). La HMW est considérée comme une isoforme majeure impliquée dans le métabolisme du glucose. (Kiełbowski </w:t>
      </w:r>
      <w:r w:rsidRPr="009F3DF1">
        <w:rPr>
          <w:i/>
          <w:iCs/>
        </w:rPr>
        <w:t>et al.,</w:t>
      </w:r>
      <w:r>
        <w:t xml:space="preserve"> 2023). L'adiponectine possède deux récepteurs principaux, AdipoR1 et AdipoR2. Les deux sont des protéines membranaires de surface avec sept domaines </w:t>
      </w:r>
      <w:r>
        <w:lastRenderedPageBreak/>
        <w:t>transmembran</w:t>
      </w:r>
      <w:r w:rsidR="008C421D">
        <w:t>aires (Figure</w:t>
      </w:r>
      <w:r w:rsidR="00D66B7B">
        <w:t xml:space="preserve"> </w:t>
      </w:r>
      <w:r w:rsidR="008C421D">
        <w:t>4</w:t>
      </w:r>
      <w:r>
        <w:t xml:space="preserve">), avec des structures moléculaires similaires, et sont exprimés dans le foie, le muscle et le tissu adipeux chez l'homme. AdipoR1 est un récepteur à haute affinité pour l'adiponectine globulaire, ainsi qu'un récepteur à faible affinité pour l'adiponectine pleine longueur dans le muscle squelettique. En revanche, l'AdipoR2 est un récepteur d'affinité intermédiaire pour l'adiponectine globulaire et l'adiponectine pleine longueur (Khoramipour </w:t>
      </w:r>
      <w:r w:rsidRPr="003A2989">
        <w:rPr>
          <w:i/>
          <w:iCs/>
        </w:rPr>
        <w:t xml:space="preserve">et al., </w:t>
      </w:r>
      <w:r>
        <w:t>2021).</w:t>
      </w:r>
    </w:p>
    <w:p w14:paraId="6695D11F" w14:textId="56E2E274" w:rsidR="003A2989" w:rsidRDefault="003A2989" w:rsidP="001A3465">
      <w:r>
        <w:t>L'adiponectine est dérivée du tissu adipeux (adipocytokine) récemment identifiée qui a des effets métaboliques importants. Elle est exprimée dans le tissu adipeux et libérée dans la circulation. L'expression et/ou la sécrétion d'adiponectine est augmentée par l'insuline comme le facteur de croissance-1 et l'ionomycine, et diminuée par le facteur de nécrose tumorale-α, les glucocorticoïdes, les agonistes β-adrénergiques et l'AMPc</w:t>
      </w:r>
      <w:r w:rsidR="009F3DF1">
        <w:t>.</w:t>
      </w:r>
      <w:r>
        <w:t xml:space="preserve"> En outre, l'expression et la sécrétion d'adiponectine sont augmentées par les activateurs du récepteur activé par les proliférateurs de peroxysomes (PPAR)-γ (Stefan </w:t>
      </w:r>
      <w:r w:rsidRPr="00B8364D">
        <w:t>et</w:t>
      </w:r>
      <w:r>
        <w:t xml:space="preserve"> Stumvoll, 2002).</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4"/>
      </w:tblGrid>
      <w:tr w:rsidR="003A2989" w14:paraId="431ADA08" w14:textId="77777777" w:rsidTr="003A25E2">
        <w:tc>
          <w:tcPr>
            <w:tcW w:w="9494" w:type="dxa"/>
          </w:tcPr>
          <w:p w14:paraId="03648A50" w14:textId="09D2C34D" w:rsidR="003A2989" w:rsidRDefault="003A2989" w:rsidP="003A2989">
            <w:r w:rsidRPr="003A2989">
              <w:rPr>
                <w:rFonts w:eastAsia="Calibri"/>
                <w:noProof/>
                <w:lang w:eastAsia="fr-FR"/>
              </w:rPr>
              <w:drawing>
                <wp:anchor distT="0" distB="0" distL="114300" distR="114300" simplePos="0" relativeHeight="251667456" behindDoc="0" locked="0" layoutInCell="1" allowOverlap="1" wp14:anchorId="759B175E" wp14:editId="5BFDFB31">
                  <wp:simplePos x="0" y="0"/>
                  <wp:positionH relativeFrom="column">
                    <wp:posOffset>169545</wp:posOffset>
                  </wp:positionH>
                  <wp:positionV relativeFrom="paragraph">
                    <wp:posOffset>129540</wp:posOffset>
                  </wp:positionV>
                  <wp:extent cx="5514975" cy="3200400"/>
                  <wp:effectExtent l="0" t="0" r="9525" b="0"/>
                  <wp:wrapTopAndBottom/>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ucture ad.PNG"/>
                          <pic:cNvPicPr/>
                        </pic:nvPicPr>
                        <pic:blipFill>
                          <a:blip r:embed="rId27">
                            <a:extLst>
                              <a:ext uri="{28A0092B-C50C-407E-A947-70E740481C1C}">
                                <a14:useLocalDpi xmlns:a14="http://schemas.microsoft.com/office/drawing/2010/main" val="0"/>
                              </a:ext>
                            </a:extLst>
                          </a:blip>
                          <a:stretch>
                            <a:fillRect/>
                          </a:stretch>
                        </pic:blipFill>
                        <pic:spPr>
                          <a:xfrm>
                            <a:off x="0" y="0"/>
                            <a:ext cx="5514975" cy="3200400"/>
                          </a:xfrm>
                          <a:prstGeom prst="rect">
                            <a:avLst/>
                          </a:prstGeom>
                        </pic:spPr>
                      </pic:pic>
                    </a:graphicData>
                  </a:graphic>
                  <wp14:sizeRelH relativeFrom="page">
                    <wp14:pctWidth>0</wp14:pctWidth>
                  </wp14:sizeRelH>
                  <wp14:sizeRelV relativeFrom="page">
                    <wp14:pctHeight>0</wp14:pctHeight>
                  </wp14:sizeRelV>
                </wp:anchor>
              </w:drawing>
            </w:r>
          </w:p>
        </w:tc>
      </w:tr>
      <w:tr w:rsidR="003A2989" w14:paraId="2DCB1A4B" w14:textId="77777777" w:rsidTr="003A25E2">
        <w:trPr>
          <w:trHeight w:val="656"/>
        </w:trPr>
        <w:tc>
          <w:tcPr>
            <w:tcW w:w="9494" w:type="dxa"/>
          </w:tcPr>
          <w:p w14:paraId="782B3CDE" w14:textId="4BFCC8DA" w:rsidR="003A2989" w:rsidRPr="00B8364D" w:rsidRDefault="00792E57" w:rsidP="00B8364D">
            <w:pPr>
              <w:pStyle w:val="Lgende"/>
              <w:jc w:val="center"/>
              <w:rPr>
                <w:i w:val="0"/>
                <w:iCs w:val="0"/>
                <w:color w:val="000000" w:themeColor="text1"/>
                <w:sz w:val="24"/>
                <w:szCs w:val="24"/>
              </w:rPr>
            </w:pPr>
            <w:bookmarkStart w:id="72" w:name="_Toc167308111"/>
            <w:r>
              <w:rPr>
                <w:b/>
                <w:bCs/>
                <w:i w:val="0"/>
                <w:iCs w:val="0"/>
                <w:color w:val="000000" w:themeColor="text1"/>
                <w:sz w:val="24"/>
                <w:szCs w:val="24"/>
              </w:rPr>
              <w:t xml:space="preserve">Figure </w:t>
            </w:r>
            <w:r w:rsidR="003A2989" w:rsidRPr="00792E57">
              <w:rPr>
                <w:b/>
                <w:bCs/>
                <w:i w:val="0"/>
                <w:iCs w:val="0"/>
                <w:color w:val="000000" w:themeColor="text1"/>
                <w:sz w:val="24"/>
                <w:szCs w:val="24"/>
              </w:rPr>
              <w:fldChar w:fldCharType="begin"/>
            </w:r>
            <w:r w:rsidR="003A2989" w:rsidRPr="00792E57">
              <w:rPr>
                <w:b/>
                <w:bCs/>
                <w:i w:val="0"/>
                <w:iCs w:val="0"/>
                <w:color w:val="000000" w:themeColor="text1"/>
                <w:sz w:val="24"/>
                <w:szCs w:val="24"/>
              </w:rPr>
              <w:instrText xml:space="preserve"> SEQ Figure \* ARABIC </w:instrText>
            </w:r>
            <w:r w:rsidR="003A2989" w:rsidRPr="00792E57">
              <w:rPr>
                <w:b/>
                <w:bCs/>
                <w:i w:val="0"/>
                <w:iCs w:val="0"/>
                <w:color w:val="000000" w:themeColor="text1"/>
                <w:sz w:val="24"/>
                <w:szCs w:val="24"/>
              </w:rPr>
              <w:fldChar w:fldCharType="separate"/>
            </w:r>
            <w:r w:rsidR="00B5205A">
              <w:rPr>
                <w:b/>
                <w:bCs/>
                <w:i w:val="0"/>
                <w:iCs w:val="0"/>
                <w:noProof/>
                <w:color w:val="000000" w:themeColor="text1"/>
                <w:sz w:val="24"/>
                <w:szCs w:val="24"/>
              </w:rPr>
              <w:t>4</w:t>
            </w:r>
            <w:r w:rsidR="003A2989" w:rsidRPr="00792E57">
              <w:rPr>
                <w:b/>
                <w:bCs/>
                <w:i w:val="0"/>
                <w:iCs w:val="0"/>
                <w:color w:val="000000" w:themeColor="text1"/>
                <w:sz w:val="24"/>
                <w:szCs w:val="24"/>
              </w:rPr>
              <w:fldChar w:fldCharType="end"/>
            </w:r>
            <w:r w:rsidR="003A2989" w:rsidRPr="00792E57">
              <w:rPr>
                <w:b/>
                <w:bCs/>
                <w:i w:val="0"/>
                <w:iCs w:val="0"/>
                <w:color w:val="000000" w:themeColor="text1"/>
                <w:sz w:val="24"/>
                <w:szCs w:val="24"/>
              </w:rPr>
              <w:t>.</w:t>
            </w:r>
            <w:r>
              <w:rPr>
                <w:i w:val="0"/>
                <w:iCs w:val="0"/>
                <w:color w:val="000000" w:themeColor="text1"/>
                <w:sz w:val="24"/>
                <w:szCs w:val="24"/>
              </w:rPr>
              <w:t xml:space="preserve"> </w:t>
            </w:r>
            <w:r w:rsidR="003A2989" w:rsidRPr="003A25E2">
              <w:rPr>
                <w:i w:val="0"/>
                <w:iCs w:val="0"/>
                <w:color w:val="000000" w:themeColor="text1"/>
                <w:sz w:val="24"/>
                <w:szCs w:val="24"/>
              </w:rPr>
              <w:t xml:space="preserve">Adiponectine et ses récepteurs et </w:t>
            </w:r>
            <w:r w:rsidR="00774723" w:rsidRPr="003A25E2">
              <w:rPr>
                <w:i w:val="0"/>
                <w:iCs w:val="0"/>
                <w:color w:val="000000" w:themeColor="text1"/>
                <w:sz w:val="24"/>
                <w:szCs w:val="24"/>
              </w:rPr>
              <w:t>représentation</w:t>
            </w:r>
            <w:r w:rsidR="003A2989" w:rsidRPr="003A25E2">
              <w:rPr>
                <w:i w:val="0"/>
                <w:iCs w:val="0"/>
                <w:color w:val="000000" w:themeColor="text1"/>
                <w:sz w:val="24"/>
                <w:szCs w:val="24"/>
              </w:rPr>
              <w:t xml:space="preserve"> schématique de la v</w:t>
            </w:r>
            <w:r>
              <w:rPr>
                <w:i w:val="0"/>
                <w:iCs w:val="0"/>
                <w:color w:val="000000" w:themeColor="text1"/>
                <w:sz w:val="24"/>
                <w:szCs w:val="24"/>
              </w:rPr>
              <w:t xml:space="preserve">oie de signalisation induite par </w:t>
            </w:r>
            <w:r w:rsidR="003A2989" w:rsidRPr="003A25E2">
              <w:rPr>
                <w:i w:val="0"/>
                <w:iCs w:val="0"/>
                <w:color w:val="000000" w:themeColor="text1"/>
                <w:sz w:val="24"/>
                <w:szCs w:val="24"/>
              </w:rPr>
              <w:t xml:space="preserve"> l'adiponectine (Khoramipour </w:t>
            </w:r>
            <w:r w:rsidR="003A2989" w:rsidRPr="003A25E2">
              <w:rPr>
                <w:color w:val="000000" w:themeColor="text1"/>
                <w:sz w:val="24"/>
                <w:szCs w:val="24"/>
              </w:rPr>
              <w:t>et al.,</w:t>
            </w:r>
            <w:r w:rsidR="003A2989" w:rsidRPr="003A25E2">
              <w:rPr>
                <w:i w:val="0"/>
                <w:iCs w:val="0"/>
                <w:color w:val="000000" w:themeColor="text1"/>
                <w:sz w:val="24"/>
                <w:szCs w:val="24"/>
              </w:rPr>
              <w:t xml:space="preserve"> 2021).</w:t>
            </w:r>
            <w:bookmarkEnd w:id="72"/>
          </w:p>
        </w:tc>
      </w:tr>
    </w:tbl>
    <w:p w14:paraId="4B9E0F09" w14:textId="77777777" w:rsidR="003A25E2" w:rsidRDefault="003A25E2" w:rsidP="008C421D">
      <w:r w:rsidRPr="003A25E2">
        <w:t xml:space="preserve">La fonction principale de l’adiponectine est d’améliorer la sensibilité à l’insuline et d’améliorer l’utilisation du glucose et l’oxydation des acides gras. L’adiponectine pourrait initier la protéine adaptatrice, la phosphotyrosine interagissant avec le domaine PH et la voie de signalisation leucine zipper 1 (APPL1)-AMPK. APPL1 se lie au domaine intracellulaire d’AdipoR et génère </w:t>
      </w:r>
      <w:r w:rsidRPr="003A25E2">
        <w:lastRenderedPageBreak/>
        <w:t xml:space="preserve">la translocation des facteurs de transcription dans le noyau (Mlyczyńska </w:t>
      </w:r>
      <w:r w:rsidRPr="003A25E2">
        <w:rPr>
          <w:i/>
          <w:iCs/>
        </w:rPr>
        <w:t xml:space="preserve">et al., </w:t>
      </w:r>
      <w:r w:rsidRPr="003A25E2">
        <w:t>2022). Les fonctions de l'adiponectine dans les différents organes du corps sont résumées dans le tableau suivant :</w:t>
      </w:r>
    </w:p>
    <w:p w14:paraId="0571DEF9" w14:textId="77D008C8" w:rsidR="003A25E2" w:rsidRPr="003A25E2" w:rsidRDefault="003A25E2" w:rsidP="003A25E2">
      <w:pPr>
        <w:pStyle w:val="Lgende"/>
        <w:rPr>
          <w:i w:val="0"/>
          <w:iCs w:val="0"/>
          <w:color w:val="000000" w:themeColor="text1"/>
          <w:sz w:val="24"/>
          <w:szCs w:val="24"/>
        </w:rPr>
      </w:pPr>
      <w:bookmarkStart w:id="73" w:name="_Toc168305018"/>
      <w:r w:rsidRPr="00792E57">
        <w:rPr>
          <w:b/>
          <w:bCs/>
          <w:i w:val="0"/>
          <w:iCs w:val="0"/>
          <w:color w:val="000000" w:themeColor="text1"/>
          <w:sz w:val="24"/>
          <w:szCs w:val="24"/>
        </w:rPr>
        <w:t xml:space="preserve">Tableau </w:t>
      </w:r>
      <w:r w:rsidRPr="00792E57">
        <w:rPr>
          <w:b/>
          <w:bCs/>
          <w:i w:val="0"/>
          <w:iCs w:val="0"/>
          <w:color w:val="000000" w:themeColor="text1"/>
          <w:sz w:val="24"/>
          <w:szCs w:val="24"/>
        </w:rPr>
        <w:fldChar w:fldCharType="begin"/>
      </w:r>
      <w:r w:rsidRPr="00792E57">
        <w:rPr>
          <w:b/>
          <w:bCs/>
          <w:i w:val="0"/>
          <w:iCs w:val="0"/>
          <w:color w:val="000000" w:themeColor="text1"/>
          <w:sz w:val="24"/>
          <w:szCs w:val="24"/>
        </w:rPr>
        <w:instrText xml:space="preserve"> SEQ Tableau \* ARABIC </w:instrText>
      </w:r>
      <w:r w:rsidRPr="00792E57">
        <w:rPr>
          <w:b/>
          <w:bCs/>
          <w:i w:val="0"/>
          <w:iCs w:val="0"/>
          <w:color w:val="000000" w:themeColor="text1"/>
          <w:sz w:val="24"/>
          <w:szCs w:val="24"/>
        </w:rPr>
        <w:fldChar w:fldCharType="separate"/>
      </w:r>
      <w:r w:rsidR="00B5205A">
        <w:rPr>
          <w:b/>
          <w:bCs/>
          <w:i w:val="0"/>
          <w:iCs w:val="0"/>
          <w:noProof/>
          <w:color w:val="000000" w:themeColor="text1"/>
          <w:sz w:val="24"/>
          <w:szCs w:val="24"/>
        </w:rPr>
        <w:t>2</w:t>
      </w:r>
      <w:r w:rsidRPr="00792E57">
        <w:rPr>
          <w:b/>
          <w:bCs/>
          <w:i w:val="0"/>
          <w:iCs w:val="0"/>
          <w:color w:val="000000" w:themeColor="text1"/>
          <w:sz w:val="24"/>
          <w:szCs w:val="24"/>
        </w:rPr>
        <w:fldChar w:fldCharType="end"/>
      </w:r>
      <w:r w:rsidRPr="00792E57">
        <w:rPr>
          <w:b/>
          <w:bCs/>
          <w:i w:val="0"/>
          <w:iCs w:val="0"/>
          <w:color w:val="000000" w:themeColor="text1"/>
          <w:sz w:val="24"/>
          <w:szCs w:val="24"/>
        </w:rPr>
        <w:t>.</w:t>
      </w:r>
      <w:r>
        <w:rPr>
          <w:i w:val="0"/>
          <w:iCs w:val="0"/>
          <w:color w:val="000000" w:themeColor="text1"/>
          <w:sz w:val="24"/>
          <w:szCs w:val="24"/>
        </w:rPr>
        <w:t xml:space="preserve"> </w:t>
      </w:r>
      <w:r w:rsidRPr="003A25E2">
        <w:rPr>
          <w:i w:val="0"/>
          <w:iCs w:val="0"/>
          <w:color w:val="000000" w:themeColor="text1"/>
          <w:sz w:val="24"/>
          <w:szCs w:val="24"/>
        </w:rPr>
        <w:t>L'adipone</w:t>
      </w:r>
      <w:r w:rsidR="00D66B7B">
        <w:rPr>
          <w:i w:val="0"/>
          <w:iCs w:val="0"/>
          <w:color w:val="000000" w:themeColor="text1"/>
          <w:sz w:val="24"/>
          <w:szCs w:val="24"/>
        </w:rPr>
        <w:t>ctine fonctionne dans différent</w:t>
      </w:r>
      <w:r w:rsidRPr="003A25E2">
        <w:rPr>
          <w:i w:val="0"/>
          <w:iCs w:val="0"/>
          <w:color w:val="000000" w:themeColor="text1"/>
          <w:sz w:val="24"/>
          <w:szCs w:val="24"/>
        </w:rPr>
        <w:t>s organes du corps</w:t>
      </w:r>
      <w:r w:rsidR="00792E57">
        <w:rPr>
          <w:i w:val="0"/>
          <w:iCs w:val="0"/>
          <w:color w:val="000000" w:themeColor="text1"/>
          <w:sz w:val="24"/>
          <w:szCs w:val="24"/>
        </w:rPr>
        <w:t xml:space="preserve"> </w:t>
      </w:r>
      <w:r w:rsidRPr="003A25E2">
        <w:rPr>
          <w:i w:val="0"/>
          <w:iCs w:val="0"/>
          <w:color w:val="000000" w:themeColor="text1"/>
          <w:sz w:val="24"/>
          <w:szCs w:val="24"/>
        </w:rPr>
        <w:t xml:space="preserve">(Khoramipour </w:t>
      </w:r>
      <w:r w:rsidRPr="003A25E2">
        <w:rPr>
          <w:color w:val="000000" w:themeColor="text1"/>
          <w:sz w:val="24"/>
          <w:szCs w:val="24"/>
        </w:rPr>
        <w:t>et al.,</w:t>
      </w:r>
      <w:r w:rsidRPr="003A25E2">
        <w:rPr>
          <w:i w:val="0"/>
          <w:iCs w:val="0"/>
          <w:color w:val="000000" w:themeColor="text1"/>
          <w:sz w:val="24"/>
          <w:szCs w:val="24"/>
        </w:rPr>
        <w:t xml:space="preserve"> 2021).</w:t>
      </w:r>
      <w:bookmarkEnd w:id="73"/>
    </w:p>
    <w:tbl>
      <w:tblPr>
        <w:tblStyle w:val="Grilledutableau"/>
        <w:tblW w:w="0" w:type="auto"/>
        <w:tblLook w:val="04A0" w:firstRow="1" w:lastRow="0" w:firstColumn="1" w:lastColumn="0" w:noHBand="0" w:noVBand="1"/>
      </w:tblPr>
      <w:tblGrid>
        <w:gridCol w:w="4606"/>
        <w:gridCol w:w="4606"/>
      </w:tblGrid>
      <w:tr w:rsidR="003A25E2" w:rsidRPr="003A25E2" w14:paraId="316C018D" w14:textId="77777777" w:rsidTr="00577033">
        <w:tc>
          <w:tcPr>
            <w:tcW w:w="4606" w:type="dxa"/>
          </w:tcPr>
          <w:p w14:paraId="135458BE" w14:textId="77777777" w:rsidR="003A25E2" w:rsidRPr="008C421D" w:rsidRDefault="003A25E2" w:rsidP="003A25E2">
            <w:pPr>
              <w:spacing w:before="0" w:after="200" w:line="276" w:lineRule="auto"/>
              <w:jc w:val="left"/>
              <w:rPr>
                <w:rFonts w:eastAsia="Calibri"/>
                <w:b/>
                <w:bCs/>
              </w:rPr>
            </w:pPr>
            <w:r w:rsidRPr="008C421D">
              <w:rPr>
                <w:rFonts w:eastAsia="Calibri"/>
                <w:b/>
                <w:bCs/>
              </w:rPr>
              <w:t xml:space="preserve">Les organes </w:t>
            </w:r>
          </w:p>
        </w:tc>
        <w:tc>
          <w:tcPr>
            <w:tcW w:w="4606" w:type="dxa"/>
          </w:tcPr>
          <w:p w14:paraId="25DD2F4A" w14:textId="573E9D07" w:rsidR="003A25E2" w:rsidRPr="008C421D" w:rsidRDefault="003A25E2" w:rsidP="003A25E2">
            <w:pPr>
              <w:spacing w:before="0" w:after="200" w:line="276" w:lineRule="auto"/>
              <w:jc w:val="left"/>
              <w:rPr>
                <w:rFonts w:eastAsia="Calibri"/>
                <w:b/>
                <w:bCs/>
              </w:rPr>
            </w:pPr>
            <w:r w:rsidRPr="008C421D">
              <w:rPr>
                <w:rFonts w:eastAsia="Calibri"/>
                <w:b/>
                <w:bCs/>
              </w:rPr>
              <w:t>fonction de l’adiponectine</w:t>
            </w:r>
          </w:p>
        </w:tc>
      </w:tr>
      <w:tr w:rsidR="003A25E2" w:rsidRPr="003A25E2" w14:paraId="15E82BA3" w14:textId="77777777" w:rsidTr="00577033">
        <w:tc>
          <w:tcPr>
            <w:tcW w:w="4606" w:type="dxa"/>
          </w:tcPr>
          <w:p w14:paraId="178445A2" w14:textId="77777777" w:rsidR="003A25E2" w:rsidRPr="003A25E2" w:rsidRDefault="003A25E2" w:rsidP="003A25E2">
            <w:pPr>
              <w:spacing w:before="0" w:after="200" w:line="276" w:lineRule="auto"/>
              <w:jc w:val="left"/>
              <w:rPr>
                <w:rFonts w:eastAsia="Calibri"/>
              </w:rPr>
            </w:pPr>
            <w:r w:rsidRPr="003A25E2">
              <w:rPr>
                <w:rFonts w:eastAsia="Calibri"/>
              </w:rPr>
              <w:t>Cerveau</w:t>
            </w:r>
          </w:p>
        </w:tc>
        <w:tc>
          <w:tcPr>
            <w:tcW w:w="4606" w:type="dxa"/>
          </w:tcPr>
          <w:p w14:paraId="48700F4C" w14:textId="77777777" w:rsidR="003A25E2" w:rsidRPr="003A25E2" w:rsidRDefault="003A25E2" w:rsidP="008C421D">
            <w:pPr>
              <w:spacing w:before="0" w:after="200" w:line="276" w:lineRule="auto"/>
              <w:rPr>
                <w:rFonts w:eastAsia="Calibri"/>
              </w:rPr>
            </w:pPr>
            <w:r w:rsidRPr="003A25E2">
              <w:rPr>
                <w:rFonts w:ascii="MS Gothic" w:eastAsia="MS Gothic" w:hAnsi="MS Gothic" w:cs="MS Gothic" w:hint="eastAsia"/>
              </w:rPr>
              <w:t>❖</w:t>
            </w:r>
            <w:r w:rsidRPr="003A25E2">
              <w:rPr>
                <w:rFonts w:eastAsia="Calibri"/>
              </w:rPr>
              <w:t xml:space="preserve"> Sensibilisation à l'insuline, propriétés anti-inflammatoires, angiogéniques et vasodilatatrices.</w:t>
            </w:r>
          </w:p>
          <w:p w14:paraId="0E07C056" w14:textId="77777777" w:rsidR="003A25E2" w:rsidRPr="003A25E2" w:rsidRDefault="003A25E2" w:rsidP="008C421D">
            <w:pPr>
              <w:spacing w:before="0" w:after="200" w:line="276" w:lineRule="auto"/>
              <w:rPr>
                <w:rFonts w:eastAsia="Calibri"/>
              </w:rPr>
            </w:pPr>
            <w:r w:rsidRPr="003A25E2">
              <w:rPr>
                <w:rFonts w:ascii="MS Gothic" w:eastAsia="MS Gothic" w:hAnsi="MS Gothic" w:cs="MS Gothic" w:hint="eastAsia"/>
              </w:rPr>
              <w:t>❖</w:t>
            </w:r>
            <w:r w:rsidRPr="003A25E2">
              <w:rPr>
                <w:rFonts w:eastAsia="Calibri"/>
              </w:rPr>
              <w:t xml:space="preserve"> Peut traverser la barrière cérébrale et être détectée dans le liquide céphalo-rachidien</w:t>
            </w:r>
          </w:p>
          <w:p w14:paraId="5A6A6208" w14:textId="77777777" w:rsidR="003A25E2" w:rsidRPr="003A25E2" w:rsidRDefault="003A25E2" w:rsidP="008C421D">
            <w:pPr>
              <w:spacing w:before="0" w:after="200" w:line="276" w:lineRule="auto"/>
              <w:rPr>
                <w:rFonts w:eastAsia="Calibri"/>
              </w:rPr>
            </w:pPr>
            <w:r w:rsidRPr="003A25E2">
              <w:rPr>
                <w:rFonts w:eastAsia="Calibri"/>
              </w:rPr>
              <w:t>Contrôle d'importantes fonctions cérébrales telles que l'homéostasie énergétique, la neurogenèse hippocampique et la plasticité synaptique.</w:t>
            </w:r>
          </w:p>
          <w:p w14:paraId="3E3FAEFD" w14:textId="77777777" w:rsidR="003A25E2" w:rsidRPr="003A25E2" w:rsidRDefault="003A25E2" w:rsidP="008C421D">
            <w:pPr>
              <w:spacing w:before="0" w:after="200" w:line="276" w:lineRule="auto"/>
              <w:rPr>
                <w:rFonts w:eastAsia="Calibri"/>
              </w:rPr>
            </w:pPr>
            <w:r w:rsidRPr="003A25E2">
              <w:rPr>
                <w:rFonts w:ascii="MS Gothic" w:eastAsia="MS Gothic" w:hAnsi="MS Gothic" w:cs="MS Gothic" w:hint="eastAsia"/>
              </w:rPr>
              <w:t>❖</w:t>
            </w:r>
            <w:r w:rsidRPr="003A25E2">
              <w:rPr>
                <w:rFonts w:eastAsia="Calibri"/>
              </w:rPr>
              <w:t xml:space="preserve"> Contrôle la neurogenèse et la plasticité synaptique</w:t>
            </w:r>
          </w:p>
          <w:p w14:paraId="2C28F0D6" w14:textId="77777777" w:rsidR="003A25E2" w:rsidRPr="003A25E2" w:rsidRDefault="003A25E2" w:rsidP="008C421D">
            <w:pPr>
              <w:spacing w:before="0" w:after="200" w:line="276" w:lineRule="auto"/>
              <w:rPr>
                <w:rFonts w:eastAsia="Calibri"/>
              </w:rPr>
            </w:pPr>
            <w:r w:rsidRPr="003A25E2">
              <w:rPr>
                <w:rFonts w:ascii="MS Gothic" w:eastAsia="MS Gothic" w:hAnsi="MS Gothic" w:cs="MS Gothic" w:hint="eastAsia"/>
              </w:rPr>
              <w:t>❖</w:t>
            </w:r>
            <w:r w:rsidRPr="003A25E2">
              <w:rPr>
                <w:rFonts w:eastAsia="Calibri"/>
              </w:rPr>
              <w:t xml:space="preserve"> L'AdipoR1 est exprimé principalement dans l'hippocampe</w:t>
            </w:r>
          </w:p>
          <w:p w14:paraId="39ABFBD0" w14:textId="77777777" w:rsidR="003A25E2" w:rsidRPr="003A25E2" w:rsidRDefault="003A25E2" w:rsidP="008C421D">
            <w:pPr>
              <w:spacing w:before="0" w:after="200" w:line="276" w:lineRule="auto"/>
              <w:rPr>
                <w:rFonts w:eastAsia="Calibri"/>
              </w:rPr>
            </w:pPr>
            <w:r w:rsidRPr="003A25E2">
              <w:rPr>
                <w:rFonts w:eastAsia="Calibri"/>
              </w:rPr>
              <w:t>Peut avoir un effet significatif sur les fonctions cognitives</w:t>
            </w:r>
          </w:p>
        </w:tc>
      </w:tr>
      <w:tr w:rsidR="003A25E2" w:rsidRPr="003A25E2" w14:paraId="071B043D" w14:textId="77777777" w:rsidTr="00577033">
        <w:tc>
          <w:tcPr>
            <w:tcW w:w="4606" w:type="dxa"/>
          </w:tcPr>
          <w:p w14:paraId="06DED43A" w14:textId="77777777" w:rsidR="003A25E2" w:rsidRPr="003A25E2" w:rsidRDefault="003A25E2" w:rsidP="003A25E2">
            <w:pPr>
              <w:spacing w:before="0" w:after="200" w:line="276" w:lineRule="auto"/>
              <w:jc w:val="left"/>
              <w:rPr>
                <w:rFonts w:eastAsia="Calibri"/>
              </w:rPr>
            </w:pPr>
            <w:r w:rsidRPr="003A25E2">
              <w:rPr>
                <w:rFonts w:eastAsia="Calibri"/>
              </w:rPr>
              <w:t>Foie</w:t>
            </w:r>
          </w:p>
        </w:tc>
        <w:tc>
          <w:tcPr>
            <w:tcW w:w="4606" w:type="dxa"/>
          </w:tcPr>
          <w:p w14:paraId="2D80578A" w14:textId="77777777" w:rsidR="003A25E2" w:rsidRPr="003A25E2" w:rsidRDefault="003A25E2" w:rsidP="008C421D">
            <w:pPr>
              <w:spacing w:before="0" w:after="200" w:line="276" w:lineRule="auto"/>
              <w:rPr>
                <w:rFonts w:eastAsia="Calibri"/>
              </w:rPr>
            </w:pPr>
            <w:r w:rsidRPr="003A25E2">
              <w:rPr>
                <w:rFonts w:ascii="MS Gothic" w:eastAsia="MS Gothic" w:hAnsi="MS Gothic" w:cs="MS Gothic" w:hint="eastAsia"/>
              </w:rPr>
              <w:t>❖</w:t>
            </w:r>
            <w:r w:rsidRPr="003A25E2">
              <w:rPr>
                <w:rFonts w:eastAsia="Calibri"/>
              </w:rPr>
              <w:t xml:space="preserve"> Contrôle le métabolisme du glucose et des lipides ; réduit la gluconéogenèse et augmente la glycolyse et l'oxydation des acides gras</w:t>
            </w:r>
          </w:p>
          <w:p w14:paraId="2FAB11E4" w14:textId="77777777" w:rsidR="003A25E2" w:rsidRPr="003A25E2" w:rsidRDefault="003A25E2" w:rsidP="008C421D">
            <w:pPr>
              <w:spacing w:before="0" w:after="200" w:line="276" w:lineRule="auto"/>
              <w:rPr>
                <w:rFonts w:eastAsia="Calibri"/>
              </w:rPr>
            </w:pPr>
            <w:r w:rsidRPr="003A25E2">
              <w:rPr>
                <w:rFonts w:ascii="MS Gothic" w:eastAsia="MS Gothic" w:hAnsi="MS Gothic" w:cs="MS Gothic" w:hint="eastAsia"/>
              </w:rPr>
              <w:t>❖</w:t>
            </w:r>
            <w:r w:rsidRPr="003A25E2">
              <w:rPr>
                <w:rFonts w:eastAsia="Calibri"/>
              </w:rPr>
              <w:t xml:space="preserve"> Réduit l'accumulation de graisse par l'activation de la voie SIRT1-AMPK</w:t>
            </w:r>
          </w:p>
          <w:p w14:paraId="50DA199D" w14:textId="77777777" w:rsidR="003A25E2" w:rsidRPr="003A25E2" w:rsidRDefault="003A25E2" w:rsidP="008C421D">
            <w:pPr>
              <w:spacing w:before="0" w:after="200" w:line="276" w:lineRule="auto"/>
              <w:rPr>
                <w:rFonts w:eastAsia="Calibri"/>
              </w:rPr>
            </w:pPr>
            <w:r w:rsidRPr="003A25E2">
              <w:rPr>
                <w:rFonts w:ascii="MS Gothic" w:eastAsia="MS Gothic" w:hAnsi="MS Gothic" w:cs="MS Gothic" w:hint="eastAsia"/>
              </w:rPr>
              <w:t>❖</w:t>
            </w:r>
            <w:r w:rsidRPr="003A25E2">
              <w:rPr>
                <w:rFonts w:eastAsia="Calibri"/>
              </w:rPr>
              <w:t xml:space="preserve"> Inhibe la gluconéogenèse, réduit les niveaux d'insuline dans la circulation sanguine, ce qui diminue la lipogenèse et</w:t>
            </w:r>
          </w:p>
          <w:p w14:paraId="5A15884E" w14:textId="77777777" w:rsidR="003A25E2" w:rsidRPr="003A25E2" w:rsidRDefault="003A25E2" w:rsidP="008C421D">
            <w:pPr>
              <w:spacing w:before="0" w:after="200" w:line="276" w:lineRule="auto"/>
              <w:rPr>
                <w:rFonts w:eastAsia="Calibri"/>
              </w:rPr>
            </w:pPr>
            <w:r w:rsidRPr="003A25E2">
              <w:rPr>
                <w:rFonts w:eastAsia="Calibri"/>
              </w:rPr>
              <w:t>augmente l'oxydation des acides gras</w:t>
            </w:r>
          </w:p>
        </w:tc>
      </w:tr>
      <w:tr w:rsidR="003A25E2" w:rsidRPr="003A25E2" w14:paraId="164EE05E" w14:textId="77777777" w:rsidTr="00577033">
        <w:tc>
          <w:tcPr>
            <w:tcW w:w="4606" w:type="dxa"/>
          </w:tcPr>
          <w:p w14:paraId="327E3ADA" w14:textId="77777777" w:rsidR="003A25E2" w:rsidRPr="003A25E2" w:rsidRDefault="003A25E2" w:rsidP="003A25E2">
            <w:pPr>
              <w:spacing w:before="0" w:after="200" w:line="276" w:lineRule="auto"/>
              <w:jc w:val="left"/>
              <w:rPr>
                <w:rFonts w:eastAsia="Calibri"/>
              </w:rPr>
            </w:pPr>
            <w:r w:rsidRPr="003A25E2">
              <w:rPr>
                <w:rFonts w:eastAsia="Calibri"/>
              </w:rPr>
              <w:t>Muscle</w:t>
            </w:r>
          </w:p>
        </w:tc>
        <w:tc>
          <w:tcPr>
            <w:tcW w:w="4606" w:type="dxa"/>
          </w:tcPr>
          <w:p w14:paraId="2FA49ADB" w14:textId="77777777" w:rsidR="003A25E2" w:rsidRPr="003A25E2" w:rsidRDefault="003A25E2" w:rsidP="008C421D">
            <w:pPr>
              <w:spacing w:before="0" w:after="200" w:line="276" w:lineRule="auto"/>
              <w:rPr>
                <w:rFonts w:eastAsia="Calibri"/>
              </w:rPr>
            </w:pPr>
            <w:r w:rsidRPr="003A25E2">
              <w:rPr>
                <w:rFonts w:ascii="MS Gothic" w:eastAsia="MS Gothic" w:hAnsi="MS Gothic" w:cs="MS Gothic" w:hint="eastAsia"/>
              </w:rPr>
              <w:t>❖</w:t>
            </w:r>
            <w:r w:rsidRPr="003A25E2">
              <w:rPr>
                <w:rFonts w:eastAsia="Calibri"/>
              </w:rPr>
              <w:t xml:space="preserve"> Favorise la sensibilité à l'insuline et l'oxydation des acides gras et améliore l'absorption du glucose dans les muscles squelettiques</w:t>
            </w:r>
          </w:p>
          <w:p w14:paraId="58D59F58" w14:textId="77777777" w:rsidR="003A25E2" w:rsidRPr="003A25E2" w:rsidRDefault="003A25E2" w:rsidP="008C421D">
            <w:pPr>
              <w:spacing w:before="0" w:after="200" w:line="276" w:lineRule="auto"/>
              <w:rPr>
                <w:rFonts w:eastAsia="Calibri"/>
              </w:rPr>
            </w:pPr>
            <w:r w:rsidRPr="003A25E2">
              <w:rPr>
                <w:rFonts w:ascii="MS Gothic" w:eastAsia="MS Gothic" w:hAnsi="MS Gothic" w:cs="MS Gothic" w:hint="eastAsia"/>
              </w:rPr>
              <w:lastRenderedPageBreak/>
              <w:t>❖</w:t>
            </w:r>
            <w:r w:rsidRPr="003A25E2">
              <w:rPr>
                <w:rFonts w:eastAsia="Calibri"/>
              </w:rPr>
              <w:t xml:space="preserve"> Améliore le transfert de la protéine LKB1 dépendant de l'APPL1 du noyau vers le cytosol, ce qui conduit à l'activation de l'AMPK dans le cytosol.</w:t>
            </w:r>
          </w:p>
        </w:tc>
      </w:tr>
      <w:tr w:rsidR="003A25E2" w:rsidRPr="003A25E2" w14:paraId="2257D70E" w14:textId="77777777" w:rsidTr="00577033">
        <w:tc>
          <w:tcPr>
            <w:tcW w:w="4606" w:type="dxa"/>
          </w:tcPr>
          <w:p w14:paraId="6B02311D" w14:textId="5FA88E61" w:rsidR="003A25E2" w:rsidRPr="003A25E2" w:rsidRDefault="008C421D" w:rsidP="003A25E2">
            <w:pPr>
              <w:spacing w:before="0" w:after="200" w:line="276" w:lineRule="auto"/>
              <w:jc w:val="left"/>
              <w:rPr>
                <w:rFonts w:eastAsia="Calibri"/>
              </w:rPr>
            </w:pPr>
            <w:r w:rsidRPr="003A25E2">
              <w:rPr>
                <w:rFonts w:eastAsia="Calibri"/>
              </w:rPr>
              <w:lastRenderedPageBreak/>
              <w:t>cœur</w:t>
            </w:r>
          </w:p>
        </w:tc>
        <w:tc>
          <w:tcPr>
            <w:tcW w:w="4606" w:type="dxa"/>
          </w:tcPr>
          <w:p w14:paraId="4E2323DD" w14:textId="77777777" w:rsidR="003A25E2" w:rsidRPr="003A25E2" w:rsidRDefault="003A25E2" w:rsidP="008C421D">
            <w:pPr>
              <w:spacing w:before="0" w:after="200" w:line="276" w:lineRule="auto"/>
              <w:rPr>
                <w:rFonts w:eastAsia="Calibri"/>
              </w:rPr>
            </w:pPr>
            <w:r w:rsidRPr="003A25E2">
              <w:rPr>
                <w:rFonts w:ascii="MS Gothic" w:eastAsia="MS Gothic" w:hAnsi="MS Gothic" w:cs="MS Gothic" w:hint="eastAsia"/>
              </w:rPr>
              <w:t>❖</w:t>
            </w:r>
            <w:r w:rsidRPr="003A25E2">
              <w:rPr>
                <w:rFonts w:eastAsia="Calibri"/>
              </w:rPr>
              <w:t xml:space="preserve"> Protège le cœur par les mécanismes suivants :</w:t>
            </w:r>
          </w:p>
          <w:p w14:paraId="3523B8B7" w14:textId="77777777" w:rsidR="003A25E2" w:rsidRPr="003A25E2" w:rsidRDefault="003A25E2" w:rsidP="008C421D">
            <w:pPr>
              <w:spacing w:before="0" w:after="200" w:line="276" w:lineRule="auto"/>
              <w:rPr>
                <w:rFonts w:eastAsia="Calibri"/>
              </w:rPr>
            </w:pPr>
            <w:r w:rsidRPr="003A25E2">
              <w:rPr>
                <w:rFonts w:eastAsia="Calibri"/>
              </w:rPr>
              <w:t>1. Augmentation de l'expression de CD36 et de l'absorption des acides gras, ainsi que du transport du glucose stimulé par l'insuline et de la phosphorylation de l'Akt, dans les cellules cardiaques.</w:t>
            </w:r>
          </w:p>
          <w:p w14:paraId="36721FBE" w14:textId="77777777" w:rsidR="003A25E2" w:rsidRPr="003A25E2" w:rsidRDefault="003A25E2" w:rsidP="008C421D">
            <w:pPr>
              <w:spacing w:before="0" w:after="200" w:line="276" w:lineRule="auto"/>
              <w:rPr>
                <w:rFonts w:eastAsia="Calibri"/>
              </w:rPr>
            </w:pPr>
            <w:r w:rsidRPr="003A25E2">
              <w:rPr>
                <w:rFonts w:eastAsia="Calibri"/>
              </w:rPr>
              <w:t>phosphorylation de l'Akt stimulées par l'insuline, dans les cardiomyocytes</w:t>
            </w:r>
          </w:p>
          <w:p w14:paraId="53389F01" w14:textId="77777777" w:rsidR="003A25E2" w:rsidRPr="003A25E2" w:rsidRDefault="003A25E2" w:rsidP="008C421D">
            <w:pPr>
              <w:spacing w:before="0" w:after="200" w:line="276" w:lineRule="auto"/>
              <w:rPr>
                <w:rFonts w:eastAsia="Calibri"/>
              </w:rPr>
            </w:pPr>
            <w:r w:rsidRPr="003A25E2">
              <w:rPr>
                <w:rFonts w:eastAsia="Calibri"/>
              </w:rPr>
              <w:t>2. Augmente les interactions entre l'AdipoR1 et l'APPL1 et la liaison de l'APPL1 à l'AMPK-α2, ce qui entraîne la phosphorylation et l'inhibition de l'ACC</w:t>
            </w:r>
          </w:p>
          <w:p w14:paraId="3E38C12E" w14:textId="77777777" w:rsidR="003A25E2" w:rsidRPr="003A25E2" w:rsidRDefault="003A25E2" w:rsidP="008C421D">
            <w:pPr>
              <w:spacing w:before="0" w:after="200" w:line="276" w:lineRule="auto"/>
              <w:rPr>
                <w:rFonts w:eastAsia="Calibri"/>
              </w:rPr>
            </w:pPr>
            <w:r w:rsidRPr="003A25E2">
              <w:rPr>
                <w:rFonts w:eastAsia="Calibri"/>
              </w:rPr>
              <w:t>ce qui entraîne une augmentation de l'oxydation des acides gras.</w:t>
            </w:r>
          </w:p>
        </w:tc>
      </w:tr>
      <w:tr w:rsidR="003A25E2" w:rsidRPr="003A25E2" w14:paraId="65D1CDAB" w14:textId="77777777" w:rsidTr="00577033">
        <w:tc>
          <w:tcPr>
            <w:tcW w:w="4606" w:type="dxa"/>
          </w:tcPr>
          <w:p w14:paraId="1EE209A8" w14:textId="77777777" w:rsidR="003A25E2" w:rsidRPr="003A25E2" w:rsidRDefault="003A25E2" w:rsidP="003A25E2">
            <w:pPr>
              <w:spacing w:before="0" w:after="200" w:line="276" w:lineRule="auto"/>
              <w:jc w:val="left"/>
              <w:rPr>
                <w:rFonts w:eastAsia="Calibri"/>
              </w:rPr>
            </w:pPr>
            <w:r w:rsidRPr="003A25E2">
              <w:rPr>
                <w:rFonts w:eastAsia="Calibri"/>
              </w:rPr>
              <w:t>Rein</w:t>
            </w:r>
          </w:p>
        </w:tc>
        <w:tc>
          <w:tcPr>
            <w:tcW w:w="4606" w:type="dxa"/>
          </w:tcPr>
          <w:p w14:paraId="60993624" w14:textId="77777777" w:rsidR="003A25E2" w:rsidRPr="003A25E2" w:rsidRDefault="003A25E2" w:rsidP="008C421D">
            <w:pPr>
              <w:spacing w:before="0" w:after="200" w:line="276" w:lineRule="auto"/>
              <w:rPr>
                <w:rFonts w:eastAsia="Calibri"/>
              </w:rPr>
            </w:pPr>
            <w:r w:rsidRPr="003A25E2">
              <w:rPr>
                <w:rFonts w:ascii="MS Gothic" w:eastAsia="MS Gothic" w:hAnsi="MS Gothic" w:cs="MS Gothic" w:hint="eastAsia"/>
              </w:rPr>
              <w:t>❖</w:t>
            </w:r>
            <w:r w:rsidRPr="003A25E2">
              <w:rPr>
                <w:rFonts w:eastAsia="Calibri"/>
              </w:rPr>
              <w:t xml:space="preserve"> Effets bénéfiques sur les reins et protection contre l'albuminurie dans des modèles de souris</w:t>
            </w:r>
          </w:p>
          <w:p w14:paraId="70BEE12F" w14:textId="77777777" w:rsidR="003A25E2" w:rsidRPr="003A25E2" w:rsidRDefault="003A25E2" w:rsidP="008C421D">
            <w:pPr>
              <w:spacing w:before="0" w:after="200" w:line="276" w:lineRule="auto"/>
              <w:rPr>
                <w:rFonts w:eastAsia="Calibri"/>
              </w:rPr>
            </w:pPr>
            <w:r w:rsidRPr="003A25E2">
              <w:rPr>
                <w:rFonts w:ascii="MS Gothic" w:eastAsia="MS Gothic" w:hAnsi="MS Gothic" w:cs="MS Gothic" w:hint="eastAsia"/>
              </w:rPr>
              <w:t>❖</w:t>
            </w:r>
            <w:r w:rsidRPr="003A25E2">
              <w:rPr>
                <w:rFonts w:eastAsia="Calibri"/>
              </w:rPr>
              <w:t xml:space="preserve"> Effets anti-inflammatoires et antioxydants grâce à l'activation de la voie AMPK activée par une protéine-kinase.</w:t>
            </w:r>
          </w:p>
        </w:tc>
      </w:tr>
      <w:tr w:rsidR="003A25E2" w:rsidRPr="003A25E2" w14:paraId="3A4F0B50" w14:textId="77777777" w:rsidTr="00577033">
        <w:tc>
          <w:tcPr>
            <w:tcW w:w="4606" w:type="dxa"/>
          </w:tcPr>
          <w:p w14:paraId="3CCC143B" w14:textId="77777777" w:rsidR="003A25E2" w:rsidRPr="003A25E2" w:rsidRDefault="003A25E2" w:rsidP="003A25E2">
            <w:pPr>
              <w:spacing w:before="0" w:after="200" w:line="276" w:lineRule="auto"/>
              <w:jc w:val="left"/>
              <w:rPr>
                <w:rFonts w:eastAsia="Calibri"/>
              </w:rPr>
            </w:pPr>
            <w:r w:rsidRPr="003A25E2">
              <w:rPr>
                <w:rFonts w:eastAsia="Calibri"/>
              </w:rPr>
              <w:t>Os</w:t>
            </w:r>
          </w:p>
        </w:tc>
        <w:tc>
          <w:tcPr>
            <w:tcW w:w="4606" w:type="dxa"/>
          </w:tcPr>
          <w:p w14:paraId="7C30DF9D" w14:textId="77777777" w:rsidR="003A25E2" w:rsidRPr="003A25E2" w:rsidRDefault="003A25E2" w:rsidP="008C421D">
            <w:pPr>
              <w:spacing w:before="0" w:after="200" w:line="276" w:lineRule="auto"/>
              <w:rPr>
                <w:rFonts w:eastAsia="Calibri"/>
              </w:rPr>
            </w:pPr>
            <w:r w:rsidRPr="003A25E2">
              <w:rPr>
                <w:rFonts w:ascii="MS Gothic" w:eastAsia="MS Gothic" w:hAnsi="MS Gothic" w:cs="MS Gothic" w:hint="eastAsia"/>
              </w:rPr>
              <w:t>❖</w:t>
            </w:r>
            <w:r w:rsidRPr="003A25E2">
              <w:rPr>
                <w:rFonts w:eastAsia="Calibri"/>
              </w:rPr>
              <w:t xml:space="preserve"> Médiateur de la relation entre la graisse et l'os</w:t>
            </w:r>
          </w:p>
          <w:p w14:paraId="79FF9579" w14:textId="77777777" w:rsidR="003A25E2" w:rsidRPr="003A25E2" w:rsidRDefault="003A25E2" w:rsidP="008C421D">
            <w:pPr>
              <w:spacing w:before="0" w:after="200" w:line="276" w:lineRule="auto"/>
              <w:rPr>
                <w:rFonts w:eastAsia="Calibri"/>
              </w:rPr>
            </w:pPr>
            <w:r w:rsidRPr="003A25E2">
              <w:rPr>
                <w:rFonts w:ascii="MS Gothic" w:eastAsia="MS Gothic" w:hAnsi="MS Gothic" w:cs="MS Gothic" w:hint="eastAsia"/>
              </w:rPr>
              <w:t>❖</w:t>
            </w:r>
            <w:r w:rsidRPr="003A25E2">
              <w:rPr>
                <w:rFonts w:eastAsia="Calibri"/>
              </w:rPr>
              <w:t xml:space="preserve"> Relation négative entre les concentrations sanguines d'adiponectine et la densité minérale osseuse</w:t>
            </w:r>
          </w:p>
          <w:p w14:paraId="5D164482" w14:textId="77777777" w:rsidR="003A25E2" w:rsidRPr="003A25E2" w:rsidRDefault="003A25E2" w:rsidP="008C421D">
            <w:pPr>
              <w:spacing w:before="0" w:after="200" w:line="276" w:lineRule="auto"/>
              <w:rPr>
                <w:rFonts w:eastAsia="Calibri"/>
              </w:rPr>
            </w:pPr>
            <w:r w:rsidRPr="003A25E2">
              <w:rPr>
                <w:rFonts w:ascii="MS Gothic" w:eastAsia="MS Gothic" w:hAnsi="MS Gothic" w:cs="MS Gothic" w:hint="eastAsia"/>
              </w:rPr>
              <w:t>❖</w:t>
            </w:r>
            <w:r w:rsidRPr="003A25E2">
              <w:rPr>
                <w:rFonts w:eastAsia="Calibri"/>
              </w:rPr>
              <w:t xml:space="preserve"> AdipoR1 et R2 sont exprimés dans les ostéoblastes primaires humains et dans les macrophages de la moelle osseuse et stimulent la différenciation des ostéoclastes</w:t>
            </w:r>
          </w:p>
        </w:tc>
      </w:tr>
    </w:tbl>
    <w:p w14:paraId="373AC9FF" w14:textId="79F91771" w:rsidR="003A2989" w:rsidRPr="003A2989" w:rsidRDefault="00D66B7B" w:rsidP="00BE478E">
      <w:pPr>
        <w:pStyle w:val="Titre3"/>
      </w:pPr>
      <w:bookmarkStart w:id="74" w:name="_Toc168302227"/>
      <w:bookmarkStart w:id="75" w:name="_Toc170226669"/>
      <w:r>
        <w:lastRenderedPageBreak/>
        <w:t>Leptine</w:t>
      </w:r>
      <w:bookmarkEnd w:id="74"/>
      <w:bookmarkEnd w:id="75"/>
    </w:p>
    <w:p w14:paraId="2FE1D9B3" w14:textId="6DC1A695" w:rsidR="003A25E2" w:rsidRDefault="003A25E2" w:rsidP="008C421D">
      <w:r w:rsidRPr="003A25E2">
        <w:t>Chez la souris, la leptine est une protéine codée par le gène Ob et a un poids moléculaire de 16 kDa. L'origine de la leptine est un propeptide de 167 acides aminés q</w:t>
      </w:r>
      <w:r w:rsidR="00D66B7B">
        <w:t>ui est ensuite clivé pour donner</w:t>
      </w:r>
      <w:r w:rsidRPr="003A25E2">
        <w:t xml:space="preserve"> une forme mature de 146 acides aminés. Sa famille est celle des cytokines hélicoïdales, ce qui signifie qu'elle possède 4 hél</w:t>
      </w:r>
      <w:r w:rsidR="00D66B7B">
        <w:t xml:space="preserve">ices α et 2 feuillets β (Figure </w:t>
      </w:r>
      <w:r w:rsidR="009F3DF1">
        <w:t>5</w:t>
      </w:r>
      <w:r w:rsidRPr="003A25E2">
        <w:t>). Le tissu adipeux blanc sous-cutané est principalement responsable de sa production et ses niveaux plasmatiques, directement liés à IMC, sont compris entre 10 et 20 ng/ml chez les personnes de poids normal. L'estomac, le placenta, les glandes mammaires, les glandes surrénales, les muscles squelettiques et enfin l'hypothalamus, le cervelet produisent également cette hormone de manière secondaire (Francin, 2010).</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22"/>
      </w:tblGrid>
      <w:tr w:rsidR="003A25E2" w14:paraId="17AA4EDB" w14:textId="77777777" w:rsidTr="003A25E2">
        <w:trPr>
          <w:trHeight w:val="3874"/>
        </w:trPr>
        <w:tc>
          <w:tcPr>
            <w:tcW w:w="8502" w:type="dxa"/>
          </w:tcPr>
          <w:p w14:paraId="257F1737" w14:textId="7DBF7037" w:rsidR="003A25E2" w:rsidRDefault="003A25E2" w:rsidP="003A25E2">
            <w:r w:rsidRPr="003A25E2">
              <w:rPr>
                <w:rFonts w:ascii="Calibri" w:eastAsia="Calibri" w:hAnsi="Calibri" w:cs="Arial"/>
                <w:noProof/>
                <w:sz w:val="22"/>
                <w:szCs w:val="22"/>
                <w:lang w:eastAsia="fr-FR"/>
              </w:rPr>
              <w:drawing>
                <wp:anchor distT="0" distB="0" distL="114300" distR="114300" simplePos="0" relativeHeight="251669504" behindDoc="0" locked="0" layoutInCell="1" allowOverlap="1" wp14:anchorId="3440E4D1" wp14:editId="735EA9D4">
                  <wp:simplePos x="0" y="0"/>
                  <wp:positionH relativeFrom="column">
                    <wp:posOffset>718185</wp:posOffset>
                  </wp:positionH>
                  <wp:positionV relativeFrom="paragraph">
                    <wp:posOffset>57785</wp:posOffset>
                  </wp:positionV>
                  <wp:extent cx="3848100" cy="2657475"/>
                  <wp:effectExtent l="0" t="0" r="0" b="9525"/>
                  <wp:wrapTopAndBottom/>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3848100" cy="2657475"/>
                          </a:xfrm>
                          <a:prstGeom prst="rect">
                            <a:avLst/>
                          </a:prstGeom>
                        </pic:spPr>
                      </pic:pic>
                    </a:graphicData>
                  </a:graphic>
                  <wp14:sizeRelH relativeFrom="page">
                    <wp14:pctWidth>0</wp14:pctWidth>
                  </wp14:sizeRelH>
                  <wp14:sizeRelV relativeFrom="page">
                    <wp14:pctHeight>0</wp14:pctHeight>
                  </wp14:sizeRelV>
                </wp:anchor>
              </w:drawing>
            </w:r>
          </w:p>
        </w:tc>
      </w:tr>
      <w:tr w:rsidR="003A25E2" w14:paraId="4215323D" w14:textId="77777777" w:rsidTr="003A25E2">
        <w:trPr>
          <w:trHeight w:val="303"/>
        </w:trPr>
        <w:tc>
          <w:tcPr>
            <w:tcW w:w="8502" w:type="dxa"/>
          </w:tcPr>
          <w:p w14:paraId="31EF360A" w14:textId="1E384C78" w:rsidR="003A25E2" w:rsidRPr="003A25E2" w:rsidRDefault="003A25E2" w:rsidP="00F662F4">
            <w:pPr>
              <w:pStyle w:val="Lgende"/>
              <w:jc w:val="center"/>
              <w:rPr>
                <w:i w:val="0"/>
                <w:iCs w:val="0"/>
                <w:color w:val="000000" w:themeColor="text1"/>
                <w:sz w:val="24"/>
                <w:szCs w:val="24"/>
              </w:rPr>
            </w:pPr>
            <w:bookmarkStart w:id="76" w:name="_Toc167308112"/>
            <w:r w:rsidRPr="00792E57">
              <w:rPr>
                <w:b/>
                <w:bCs/>
                <w:i w:val="0"/>
                <w:iCs w:val="0"/>
                <w:color w:val="000000" w:themeColor="text1"/>
                <w:sz w:val="24"/>
                <w:szCs w:val="24"/>
              </w:rPr>
              <w:t xml:space="preserve">Figure </w:t>
            </w:r>
            <w:r w:rsidRPr="00792E57">
              <w:rPr>
                <w:b/>
                <w:bCs/>
                <w:i w:val="0"/>
                <w:iCs w:val="0"/>
                <w:color w:val="000000" w:themeColor="text1"/>
                <w:sz w:val="24"/>
                <w:szCs w:val="24"/>
              </w:rPr>
              <w:fldChar w:fldCharType="begin"/>
            </w:r>
            <w:r w:rsidRPr="00792E57">
              <w:rPr>
                <w:b/>
                <w:bCs/>
                <w:i w:val="0"/>
                <w:iCs w:val="0"/>
                <w:color w:val="000000" w:themeColor="text1"/>
                <w:sz w:val="24"/>
                <w:szCs w:val="24"/>
              </w:rPr>
              <w:instrText xml:space="preserve"> SEQ Figure \* ARABIC </w:instrText>
            </w:r>
            <w:r w:rsidRPr="00792E57">
              <w:rPr>
                <w:b/>
                <w:bCs/>
                <w:i w:val="0"/>
                <w:iCs w:val="0"/>
                <w:color w:val="000000" w:themeColor="text1"/>
                <w:sz w:val="24"/>
                <w:szCs w:val="24"/>
              </w:rPr>
              <w:fldChar w:fldCharType="separate"/>
            </w:r>
            <w:r w:rsidR="00B5205A">
              <w:rPr>
                <w:b/>
                <w:bCs/>
                <w:i w:val="0"/>
                <w:iCs w:val="0"/>
                <w:noProof/>
                <w:color w:val="000000" w:themeColor="text1"/>
                <w:sz w:val="24"/>
                <w:szCs w:val="24"/>
              </w:rPr>
              <w:t>5</w:t>
            </w:r>
            <w:r w:rsidRPr="00792E57">
              <w:rPr>
                <w:b/>
                <w:bCs/>
                <w:i w:val="0"/>
                <w:iCs w:val="0"/>
                <w:color w:val="000000" w:themeColor="text1"/>
                <w:sz w:val="24"/>
                <w:szCs w:val="24"/>
              </w:rPr>
              <w:fldChar w:fldCharType="end"/>
            </w:r>
            <w:r w:rsidRPr="00792E57">
              <w:rPr>
                <w:b/>
                <w:bCs/>
                <w:i w:val="0"/>
                <w:iCs w:val="0"/>
                <w:color w:val="000000" w:themeColor="text1"/>
                <w:sz w:val="24"/>
                <w:szCs w:val="24"/>
              </w:rPr>
              <w:t>.</w:t>
            </w:r>
            <w:r w:rsidRPr="003A25E2">
              <w:rPr>
                <w:i w:val="0"/>
                <w:iCs w:val="0"/>
                <w:color w:val="000000" w:themeColor="text1"/>
                <w:sz w:val="24"/>
                <w:szCs w:val="24"/>
              </w:rPr>
              <w:t xml:space="preserve"> La structure de leptine</w:t>
            </w:r>
            <w:r>
              <w:rPr>
                <w:i w:val="0"/>
                <w:iCs w:val="0"/>
                <w:color w:val="000000" w:themeColor="text1"/>
                <w:sz w:val="24"/>
                <w:szCs w:val="24"/>
              </w:rPr>
              <w:t xml:space="preserve"> </w:t>
            </w:r>
            <w:r w:rsidRPr="003A25E2">
              <w:rPr>
                <w:i w:val="0"/>
                <w:iCs w:val="0"/>
                <w:color w:val="000000" w:themeColor="text1"/>
                <w:sz w:val="24"/>
                <w:szCs w:val="24"/>
              </w:rPr>
              <w:t>(Francin, 2010).</w:t>
            </w:r>
            <w:bookmarkEnd w:id="76"/>
          </w:p>
          <w:p w14:paraId="74BD88B3" w14:textId="447D406D" w:rsidR="003A25E2" w:rsidRDefault="009F3DF1" w:rsidP="009F3DF1">
            <w:pPr>
              <w:keepNext/>
            </w:pPr>
            <w:r>
              <w:t xml:space="preserve"> </w:t>
            </w:r>
            <w:r w:rsidRPr="009F3DF1">
              <w:t xml:space="preserve">Des études ont montré que la transcription et la sécrétion de la leptine dans les adipocytes peuvent être stimulées par la dexaméthasone et d'autres glucocorticoïdes, ainsi que par les agonistes du récepteur gamma activé par les proliférateurs de peroxysomes. La leptine est inhibée par les catécholamines, les acides gras libres et les hormones thyroïdiennes. Des études menées sur des rats ont montré que le glucose et l'insuline sont tous deux stimulants (Childs </w:t>
            </w:r>
            <w:r w:rsidRPr="009F3DF1">
              <w:rPr>
                <w:i/>
                <w:iCs/>
              </w:rPr>
              <w:t>et al.,</w:t>
            </w:r>
            <w:r w:rsidRPr="009F3DF1">
              <w:t xml:space="preserve"> 2021).</w:t>
            </w:r>
          </w:p>
          <w:p w14:paraId="6BB59F5E" w14:textId="77777777" w:rsidR="009F3DF1" w:rsidRPr="009F3ACB" w:rsidRDefault="009F3DF1" w:rsidP="00B25051">
            <w:pPr>
              <w:rPr>
                <w:rFonts w:asciiTheme="majorBidi" w:hAnsiTheme="majorBidi" w:cstheme="majorBidi"/>
                <w:b/>
                <w:bCs/>
              </w:rPr>
            </w:pPr>
            <w:r w:rsidRPr="00107790">
              <w:rPr>
                <w:rFonts w:asciiTheme="majorBidi" w:hAnsiTheme="majorBidi" w:cstheme="majorBidi"/>
              </w:rPr>
              <w:t xml:space="preserve">La leptine, en se liant à ses récepteurs dans l'épiderme, active la kinase JAK2 et phosphoryle STAT3, SHP2, et PI3K, conduisant à l'activation des mitochondries et à l'efficacité énergétique. Cela stimule la prolifération cellulaire et l'angiogenèse, tandis que le dysfonctionnement de ces </w:t>
            </w:r>
            <w:r w:rsidRPr="00107790">
              <w:rPr>
                <w:rFonts w:asciiTheme="majorBidi" w:hAnsiTheme="majorBidi" w:cstheme="majorBidi"/>
              </w:rPr>
              <w:lastRenderedPageBreak/>
              <w:t xml:space="preserve">voies peut altérer la cicatrisation des plaies et causer des maladies de la peau. La leptine a aussi des effets pléiotropes sur divers processus biologiques (Kiełbowski </w:t>
            </w:r>
            <w:r w:rsidRPr="00107790">
              <w:rPr>
                <w:rFonts w:asciiTheme="majorBidi" w:hAnsiTheme="majorBidi" w:cstheme="majorBidi"/>
                <w:i/>
                <w:iCs/>
              </w:rPr>
              <w:t>et al.,</w:t>
            </w:r>
            <w:r w:rsidRPr="00107790">
              <w:rPr>
                <w:rFonts w:asciiTheme="majorBidi" w:hAnsiTheme="majorBidi" w:cstheme="majorBidi"/>
              </w:rPr>
              <w:t xml:space="preserve"> 2023</w:t>
            </w:r>
            <w:r w:rsidRPr="00107790">
              <w:rPr>
                <w:rFonts w:asciiTheme="majorBidi" w:hAnsiTheme="majorBidi" w:cstheme="majorBidi"/>
                <w:b/>
                <w:bCs/>
              </w:rPr>
              <w:t>).</w:t>
            </w:r>
          </w:p>
          <w:p w14:paraId="31AFD634" w14:textId="786E5FB9" w:rsidR="009F3DF1" w:rsidRDefault="009F3DF1" w:rsidP="00D66B7B">
            <w:pPr>
              <w:rPr>
                <w:rFonts w:asciiTheme="majorBidi" w:hAnsiTheme="majorBidi" w:cstheme="majorBidi"/>
                <w:sz w:val="28"/>
                <w:szCs w:val="28"/>
              </w:rPr>
            </w:pPr>
            <w:r w:rsidRPr="00107790">
              <w:rPr>
                <w:rFonts w:asciiTheme="majorBidi" w:hAnsiTheme="majorBidi" w:cstheme="majorBidi"/>
              </w:rPr>
              <w:t>La leptine joue un double rôle dans la régulation de la physiologie humaine. En période de maintien du poids, c'est-à-dire d'équilibre énergétique, les taux circulants de leptine sont représen</w:t>
            </w:r>
            <w:r>
              <w:rPr>
                <w:rFonts w:asciiTheme="majorBidi" w:hAnsiTheme="majorBidi" w:cstheme="majorBidi"/>
              </w:rPr>
              <w:t>tat</w:t>
            </w:r>
            <w:r w:rsidR="00D66B7B">
              <w:rPr>
                <w:rFonts w:asciiTheme="majorBidi" w:hAnsiTheme="majorBidi" w:cstheme="majorBidi"/>
              </w:rPr>
              <w:t xml:space="preserve">ifs de la masse grasse totale (Figure </w:t>
            </w:r>
            <w:r>
              <w:rPr>
                <w:rFonts w:asciiTheme="majorBidi" w:hAnsiTheme="majorBidi" w:cstheme="majorBidi"/>
              </w:rPr>
              <w:t>6)</w:t>
            </w:r>
            <w:r w:rsidRPr="00107790">
              <w:rPr>
                <w:rFonts w:asciiTheme="majorBidi" w:hAnsiTheme="majorBidi" w:cstheme="majorBidi"/>
              </w:rPr>
              <w:t xml:space="preserve">. En cas de déséquilibre énergétique (prise ou perte de poids), ils servent d'indicateur de ce déséquilibre et ont un impact sur le fonctionnement des moyens impliqués dans la régulation énergétique. Des niveaux élevés de leptine indiquent au cerveau une consommation excessive d'énergie, ce qui conduit à des ajustements de l'appétit et des dépenses énergétiques afin de prévenir le </w:t>
            </w:r>
            <w:r>
              <w:rPr>
                <w:rFonts w:asciiTheme="majorBidi" w:hAnsiTheme="majorBidi" w:cstheme="majorBidi"/>
              </w:rPr>
              <w:t xml:space="preserve">développement de l'obésité. Les </w:t>
            </w:r>
            <w:r w:rsidRPr="00107790">
              <w:rPr>
                <w:rFonts w:asciiTheme="majorBidi" w:hAnsiTheme="majorBidi" w:cstheme="majorBidi"/>
              </w:rPr>
              <w:t>conséquences d'une diminution des niveaux de leptine sont plus importante</w:t>
            </w:r>
            <w:r>
              <w:rPr>
                <w:rFonts w:asciiTheme="majorBidi" w:hAnsiTheme="majorBidi" w:cstheme="majorBidi"/>
              </w:rPr>
              <w:t xml:space="preserve">s que celles d'une augmentation </w:t>
            </w:r>
            <w:r>
              <w:t>(</w:t>
            </w:r>
            <w:r>
              <w:rPr>
                <w:rFonts w:asciiTheme="majorBidi" w:hAnsiTheme="majorBidi" w:cstheme="majorBidi"/>
              </w:rPr>
              <w:t xml:space="preserve">Samara, </w:t>
            </w:r>
            <w:r w:rsidRPr="00D30B32">
              <w:rPr>
                <w:rFonts w:asciiTheme="majorBidi" w:hAnsiTheme="majorBidi" w:cstheme="majorBidi"/>
              </w:rPr>
              <w:t>2008</w:t>
            </w:r>
            <w:r>
              <w:rPr>
                <w:rFonts w:asciiTheme="majorBidi" w:hAnsiTheme="majorBidi" w:cstheme="majorBidi"/>
              </w:rPr>
              <w:t>)</w:t>
            </w:r>
            <w:r>
              <w:rPr>
                <w:rFonts w:asciiTheme="majorBidi" w:hAnsiTheme="majorBidi" w:cstheme="majorBidi"/>
                <w:sz w:val="28"/>
                <w:szCs w:val="28"/>
              </w:rPr>
              <w:t>.</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86"/>
            </w:tblGrid>
            <w:tr w:rsidR="009F3DF1" w14:paraId="05E3615B" w14:textId="77777777" w:rsidTr="009F3DF1">
              <w:tc>
                <w:tcPr>
                  <w:tcW w:w="8271" w:type="dxa"/>
                </w:tcPr>
                <w:p w14:paraId="54421318" w14:textId="31227BF9" w:rsidR="009F3DF1" w:rsidRDefault="00030136" w:rsidP="009F3DF1">
                  <w:pPr>
                    <w:rPr>
                      <w:rFonts w:asciiTheme="majorBidi" w:hAnsiTheme="majorBidi" w:cstheme="majorBidi"/>
                      <w:sz w:val="28"/>
                      <w:szCs w:val="28"/>
                    </w:rPr>
                  </w:pPr>
                  <w:r>
                    <w:rPr>
                      <w:rFonts w:asciiTheme="majorBidi" w:hAnsiTheme="majorBidi" w:cstheme="majorBidi"/>
                      <w:noProof/>
                      <w:sz w:val="28"/>
                      <w:szCs w:val="28"/>
                      <w:lang w:eastAsia="fr-FR"/>
                    </w:rPr>
                    <w:drawing>
                      <wp:inline distT="0" distB="0" distL="0" distR="0" wp14:anchorId="12FAC8E4" wp14:editId="793CFC67">
                        <wp:extent cx="5496025" cy="3413761"/>
                        <wp:effectExtent l="0" t="0" r="9525"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png"/>
                                <pic:cNvPicPr/>
                              </pic:nvPicPr>
                              <pic:blipFill>
                                <a:blip r:embed="rId29">
                                  <a:extLst>
                                    <a:ext uri="{28A0092B-C50C-407E-A947-70E740481C1C}">
                                      <a14:useLocalDpi xmlns:a14="http://schemas.microsoft.com/office/drawing/2010/main" val="0"/>
                                    </a:ext>
                                  </a:extLst>
                                </a:blip>
                                <a:stretch>
                                  <a:fillRect/>
                                </a:stretch>
                              </pic:blipFill>
                              <pic:spPr>
                                <a:xfrm>
                                  <a:off x="0" y="0"/>
                                  <a:ext cx="5500397" cy="3416476"/>
                                </a:xfrm>
                                <a:prstGeom prst="rect">
                                  <a:avLst/>
                                </a:prstGeom>
                              </pic:spPr>
                            </pic:pic>
                          </a:graphicData>
                        </a:graphic>
                      </wp:inline>
                    </w:drawing>
                  </w:r>
                </w:p>
              </w:tc>
            </w:tr>
            <w:tr w:rsidR="009F3DF1" w14:paraId="37C075C8" w14:textId="77777777" w:rsidTr="009F3DF1">
              <w:tc>
                <w:tcPr>
                  <w:tcW w:w="8271" w:type="dxa"/>
                </w:tcPr>
                <w:p w14:paraId="7F1A872B" w14:textId="45AD4A25" w:rsidR="009F3DF1" w:rsidRDefault="00D66B7B" w:rsidP="009F3DF1">
                  <w:pPr>
                    <w:keepNext/>
                    <w:rPr>
                      <w:rFonts w:asciiTheme="majorBidi" w:hAnsiTheme="majorBidi" w:cstheme="majorBidi"/>
                      <w:sz w:val="28"/>
                      <w:szCs w:val="28"/>
                    </w:rPr>
                  </w:pPr>
                  <w:bookmarkStart w:id="77" w:name="_Toc167308113"/>
                  <w:r>
                    <w:t xml:space="preserve">         </w:t>
                  </w:r>
                  <w:r w:rsidR="009F3DF1" w:rsidRPr="00792E57">
                    <w:rPr>
                      <w:b/>
                      <w:bCs/>
                    </w:rPr>
                    <w:t xml:space="preserve">Figure </w:t>
                  </w:r>
                  <w:r w:rsidR="00DB21B1" w:rsidRPr="00792E57">
                    <w:rPr>
                      <w:b/>
                      <w:bCs/>
                    </w:rPr>
                    <w:fldChar w:fldCharType="begin"/>
                  </w:r>
                  <w:r w:rsidR="00DB21B1" w:rsidRPr="00792E57">
                    <w:rPr>
                      <w:b/>
                      <w:bCs/>
                    </w:rPr>
                    <w:instrText xml:space="preserve"> SEQ Figure \* ARABIC </w:instrText>
                  </w:r>
                  <w:r w:rsidR="00DB21B1" w:rsidRPr="00792E57">
                    <w:rPr>
                      <w:b/>
                      <w:bCs/>
                    </w:rPr>
                    <w:fldChar w:fldCharType="separate"/>
                  </w:r>
                  <w:r w:rsidR="00B5205A">
                    <w:rPr>
                      <w:b/>
                      <w:bCs/>
                      <w:noProof/>
                    </w:rPr>
                    <w:t>6</w:t>
                  </w:r>
                  <w:r w:rsidR="00DB21B1" w:rsidRPr="00792E57">
                    <w:rPr>
                      <w:b/>
                      <w:bCs/>
                      <w:noProof/>
                    </w:rPr>
                    <w:fldChar w:fldCharType="end"/>
                  </w:r>
                  <w:r w:rsidR="009F3DF1" w:rsidRPr="00792E57">
                    <w:rPr>
                      <w:b/>
                      <w:bCs/>
                    </w:rPr>
                    <w:t>.</w:t>
                  </w:r>
                  <w:r w:rsidR="00792E57">
                    <w:t xml:space="preserve"> </w:t>
                  </w:r>
                  <w:r w:rsidR="009F3DF1">
                    <w:t xml:space="preserve">Représentation globale d'actions de la leptine </w:t>
                  </w:r>
                  <w:r w:rsidR="009F3DF1" w:rsidRPr="009F3DF1">
                    <w:t>(Samara, 2008</w:t>
                  </w:r>
                  <w:r w:rsidR="009F3DF1">
                    <w:t>).</w:t>
                  </w:r>
                  <w:bookmarkEnd w:id="77"/>
                </w:p>
              </w:tc>
            </w:tr>
          </w:tbl>
          <w:p w14:paraId="055C5C7F" w14:textId="77777777" w:rsidR="00D66B7B" w:rsidRDefault="00D66B7B" w:rsidP="00BE478E">
            <w:pPr>
              <w:pStyle w:val="Titre3"/>
              <w:outlineLvl w:val="2"/>
            </w:pPr>
            <w:bookmarkStart w:id="78" w:name="_Toc167472751"/>
            <w:bookmarkStart w:id="79" w:name="_Toc168302228"/>
            <w:bookmarkStart w:id="80" w:name="_Toc170226670"/>
            <w:r>
              <w:t>Visfatine</w:t>
            </w:r>
            <w:bookmarkEnd w:id="78"/>
            <w:bookmarkEnd w:id="79"/>
            <w:bookmarkEnd w:id="80"/>
          </w:p>
          <w:p w14:paraId="06D8BA56" w14:textId="5CFF77C3" w:rsidR="00577033" w:rsidRDefault="00577033" w:rsidP="00577033">
            <w:r>
              <w:t>La visfatine est une protéine</w:t>
            </w:r>
            <w:r w:rsidR="00B25051">
              <w:t xml:space="preserve"> de 52 kDa1, active en tant que </w:t>
            </w:r>
            <w:r>
              <w:t xml:space="preserve">dimère, chaque monomère contenant 491 acides aminés chez l'homme. Cela a été prouvé par le fait que la visfatine/PBEF/Nampt possède deux sites actifs à l'interface de la protéine dimérique, ce qui suggère que la dimérisation est essentielle pour l'activité catalytique de l'enzyme. Chaque monomère contient </w:t>
            </w:r>
            <w:r>
              <w:lastRenderedPageBreak/>
              <w:t xml:space="preserve">19 β-brins et 13 α-hélices et est organisé en deux domaines structurels. Chez l'homme, le gène est situé sur le bras long du chromosome 7 entre 7q22.1 et 7q31.33 (Sonoli </w:t>
            </w:r>
            <w:r w:rsidRPr="00577033">
              <w:rPr>
                <w:i/>
                <w:iCs/>
              </w:rPr>
              <w:t>et al.,</w:t>
            </w:r>
            <w:r>
              <w:t xml:space="preserve"> 2011). </w:t>
            </w:r>
          </w:p>
          <w:p w14:paraId="1AE1AD30" w14:textId="65679CF3" w:rsidR="009F3DF1" w:rsidRDefault="00577033" w:rsidP="00B25051">
            <w:r w:rsidRPr="00577033">
              <w:t xml:space="preserve">La visfatine est sécrété par la graisse viscérale et  produit dans les leucocytes humains et tissu adipeux, elle est également exprimée chez l'homme et hépatocytes et muscles animaux (Saddi-Rosa </w:t>
            </w:r>
            <w:r w:rsidRPr="00577033">
              <w:rPr>
                <w:i/>
                <w:iCs/>
              </w:rPr>
              <w:t>et al.,</w:t>
            </w:r>
            <w:r w:rsidRPr="00577033">
              <w:t xml:space="preserve"> 2010) . La dexaméthasone a augmenté l'expression de l'ARNm de la visfatine dans les adipocytes 3T3-L1, tandis que les acides gras libres, l'hormone de croissance et le TNF-α l'ont diminuée. La perfusion de glucose a augmenté les taux plasmatiques de visfatine. L'insuline et le GLP-1 ont significativement réduit leur sécrétion </w:t>
            </w:r>
            <w:r w:rsidRPr="00B25051">
              <w:rPr>
                <w:i/>
                <w:iCs/>
              </w:rPr>
              <w:t>in vitro</w:t>
            </w:r>
            <w:r w:rsidRPr="00577033">
              <w:t xml:space="preserve"> et dans les expériences anim</w:t>
            </w:r>
            <w:r w:rsidR="00B25051">
              <w:t xml:space="preserve">ales (Abdalla, 2022). La figure </w:t>
            </w:r>
            <w:r w:rsidRPr="00577033">
              <w:t>4 résume le contrôle de la sécrétion de visfatine chez les personnes normales.</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71"/>
            </w:tblGrid>
            <w:tr w:rsidR="00577033" w14:paraId="2EF1EBB1" w14:textId="77777777" w:rsidTr="00840F30">
              <w:tc>
                <w:tcPr>
                  <w:tcW w:w="8271" w:type="dxa"/>
                </w:tcPr>
                <w:p w14:paraId="266FED5E" w14:textId="5A927058" w:rsidR="00577033" w:rsidRDefault="00577033" w:rsidP="00577033">
                  <w:pPr>
                    <w:jc w:val="left"/>
                  </w:pPr>
                  <w:r>
                    <w:rPr>
                      <w:noProof/>
                      <w:lang w:eastAsia="fr-FR"/>
                    </w:rPr>
                    <w:drawing>
                      <wp:anchor distT="0" distB="0" distL="114300" distR="114300" simplePos="0" relativeHeight="251671552" behindDoc="0" locked="0" layoutInCell="1" allowOverlap="1" wp14:anchorId="60A09E63" wp14:editId="15FD60B0">
                        <wp:simplePos x="0" y="0"/>
                        <wp:positionH relativeFrom="column">
                          <wp:posOffset>80010</wp:posOffset>
                        </wp:positionH>
                        <wp:positionV relativeFrom="paragraph">
                          <wp:posOffset>151130</wp:posOffset>
                        </wp:positionV>
                        <wp:extent cx="5043170" cy="2502535"/>
                        <wp:effectExtent l="0" t="0" r="5080" b="0"/>
                        <wp:wrapTopAndBottom/>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43170" cy="2502535"/>
                                </a:xfrm>
                                <a:prstGeom prst="rect">
                                  <a:avLst/>
                                </a:prstGeom>
                                <a:noFill/>
                              </pic:spPr>
                            </pic:pic>
                          </a:graphicData>
                        </a:graphic>
                        <wp14:sizeRelH relativeFrom="page">
                          <wp14:pctWidth>0</wp14:pctWidth>
                        </wp14:sizeRelH>
                        <wp14:sizeRelV relativeFrom="page">
                          <wp14:pctHeight>0</wp14:pctHeight>
                        </wp14:sizeRelV>
                      </wp:anchor>
                    </w:drawing>
                  </w:r>
                </w:p>
              </w:tc>
            </w:tr>
            <w:tr w:rsidR="00577033" w14:paraId="1AB7A946" w14:textId="77777777" w:rsidTr="00840F30">
              <w:tc>
                <w:tcPr>
                  <w:tcW w:w="8271" w:type="dxa"/>
                </w:tcPr>
                <w:p w14:paraId="11EBB627" w14:textId="52FD131B" w:rsidR="00577033" w:rsidRPr="00D82675" w:rsidRDefault="00577033" w:rsidP="00B25051">
                  <w:pPr>
                    <w:pStyle w:val="Lgende"/>
                    <w:jc w:val="center"/>
                    <w:rPr>
                      <w:i w:val="0"/>
                      <w:iCs w:val="0"/>
                      <w:color w:val="000000" w:themeColor="text1"/>
                      <w:sz w:val="24"/>
                      <w:szCs w:val="24"/>
                    </w:rPr>
                  </w:pPr>
                  <w:bookmarkStart w:id="81" w:name="_Toc167308114"/>
                  <w:r w:rsidRPr="00792E57">
                    <w:rPr>
                      <w:b/>
                      <w:bCs/>
                      <w:i w:val="0"/>
                      <w:iCs w:val="0"/>
                      <w:color w:val="000000" w:themeColor="text1"/>
                      <w:sz w:val="24"/>
                      <w:szCs w:val="24"/>
                    </w:rPr>
                    <w:t xml:space="preserve">Figure </w:t>
                  </w:r>
                  <w:r w:rsidRPr="00792E57">
                    <w:rPr>
                      <w:b/>
                      <w:bCs/>
                      <w:i w:val="0"/>
                      <w:iCs w:val="0"/>
                      <w:color w:val="000000" w:themeColor="text1"/>
                      <w:sz w:val="24"/>
                      <w:szCs w:val="24"/>
                    </w:rPr>
                    <w:fldChar w:fldCharType="begin"/>
                  </w:r>
                  <w:r w:rsidRPr="00792E57">
                    <w:rPr>
                      <w:b/>
                      <w:bCs/>
                      <w:i w:val="0"/>
                      <w:iCs w:val="0"/>
                      <w:color w:val="000000" w:themeColor="text1"/>
                      <w:sz w:val="24"/>
                      <w:szCs w:val="24"/>
                    </w:rPr>
                    <w:instrText xml:space="preserve"> SEQ Figure \* ARABIC </w:instrText>
                  </w:r>
                  <w:r w:rsidRPr="00792E57">
                    <w:rPr>
                      <w:b/>
                      <w:bCs/>
                      <w:i w:val="0"/>
                      <w:iCs w:val="0"/>
                      <w:color w:val="000000" w:themeColor="text1"/>
                      <w:sz w:val="24"/>
                      <w:szCs w:val="24"/>
                    </w:rPr>
                    <w:fldChar w:fldCharType="separate"/>
                  </w:r>
                  <w:r w:rsidR="00B5205A">
                    <w:rPr>
                      <w:b/>
                      <w:bCs/>
                      <w:i w:val="0"/>
                      <w:iCs w:val="0"/>
                      <w:noProof/>
                      <w:color w:val="000000" w:themeColor="text1"/>
                      <w:sz w:val="24"/>
                      <w:szCs w:val="24"/>
                    </w:rPr>
                    <w:t>7</w:t>
                  </w:r>
                  <w:r w:rsidRPr="00792E57">
                    <w:rPr>
                      <w:b/>
                      <w:bCs/>
                      <w:i w:val="0"/>
                      <w:iCs w:val="0"/>
                      <w:color w:val="000000" w:themeColor="text1"/>
                      <w:sz w:val="24"/>
                      <w:szCs w:val="24"/>
                    </w:rPr>
                    <w:fldChar w:fldCharType="end"/>
                  </w:r>
                  <w:r w:rsidRPr="00577033">
                    <w:rPr>
                      <w:i w:val="0"/>
                      <w:iCs w:val="0"/>
                      <w:color w:val="000000" w:themeColor="text1"/>
                      <w:sz w:val="24"/>
                      <w:szCs w:val="24"/>
                    </w:rPr>
                    <w:t>.</w:t>
                  </w:r>
                  <w:r w:rsidR="00792E57">
                    <w:rPr>
                      <w:i w:val="0"/>
                      <w:iCs w:val="0"/>
                      <w:color w:val="000000" w:themeColor="text1"/>
                      <w:sz w:val="24"/>
                      <w:szCs w:val="24"/>
                    </w:rPr>
                    <w:t xml:space="preserve"> Régulation de la visfatine chez </w:t>
                  </w:r>
                  <w:r w:rsidRPr="00577033">
                    <w:rPr>
                      <w:i w:val="0"/>
                      <w:iCs w:val="0"/>
                      <w:color w:val="000000" w:themeColor="text1"/>
                      <w:sz w:val="24"/>
                      <w:szCs w:val="24"/>
                    </w:rPr>
                    <w:t xml:space="preserve"> les individus </w:t>
                  </w:r>
                  <w:r w:rsidR="00792E57" w:rsidRPr="00577033">
                    <w:rPr>
                      <w:i w:val="0"/>
                      <w:iCs w:val="0"/>
                      <w:color w:val="000000" w:themeColor="text1"/>
                      <w:sz w:val="24"/>
                      <w:szCs w:val="24"/>
                    </w:rPr>
                    <w:t>normaux</w:t>
                  </w:r>
                  <w:r w:rsidRPr="00577033">
                    <w:rPr>
                      <w:i w:val="0"/>
                      <w:iCs w:val="0"/>
                      <w:color w:val="000000" w:themeColor="text1"/>
                      <w:sz w:val="24"/>
                      <w:szCs w:val="24"/>
                    </w:rPr>
                    <w:t>, en bonne santé (Abdalla, 2022).</w:t>
                  </w:r>
                  <w:bookmarkEnd w:id="81"/>
                </w:p>
              </w:tc>
            </w:tr>
          </w:tbl>
          <w:p w14:paraId="16609CC2" w14:textId="56CC5616" w:rsidR="00840F30" w:rsidRDefault="00D82675" w:rsidP="00B25051">
            <w:r>
              <w:t xml:space="preserve"> </w:t>
            </w:r>
            <w:r w:rsidR="00B25051">
              <w:t xml:space="preserve">Toutfois, </w:t>
            </w:r>
            <w:r w:rsidR="00840F30" w:rsidRPr="00840F30">
              <w:t>le récepteur de l'insuline semble être un candidat prometteur. Elle a la capacité d'activer la phosphorylation de l'IRS-1/2 et d'activer les voies PI3K. Ainsi, la visfatine agit comme un stimulant de l'insuline dans le corps, en simulant les effets de l'insuline. Par ailleurs, on qualifie également cette adipokine d'hormone pro-inflammatoire et athérogène (Samara, 2008).</w:t>
            </w:r>
            <w:r w:rsidR="00840F30">
              <w:t xml:space="preserve"> </w:t>
            </w:r>
          </w:p>
          <w:p w14:paraId="2471FB90" w14:textId="77777777" w:rsidR="009F3DF1" w:rsidRDefault="00840F30" w:rsidP="00B25051">
            <w:r w:rsidRPr="00840F30">
              <w:t xml:space="preserve">Dans les monocytes, la visfatine stimule la sécrétion de TNF, d’IL-6 et d’IL-1β et l’expression de molécules Co stimulatrices. La visfatine contribue également à la différenciation des macrophages et à la libération de cytokines d’une manière dépendante de JNK et NFκB. De </w:t>
            </w:r>
            <w:r w:rsidRPr="00840F30">
              <w:lastRenderedPageBreak/>
              <w:t xml:space="preserve">plus, la visfatine augmente les alloréponses induites par les monocytes dans les lymphocytes. Par conséquent, la visfatine est un médiateur pro-inflammatoire et peut participer à diverses affections inflammatoires, telles que les maladies auto-immunes et la résistance à l’insuline induite par l’inflammation du tissu adipeux. Plusieurs études ont évalué le rôle immunologique de la visfatine, et ses effets sur le traitement des troubles inflammatoires sont maintenant connus. Par exemple, FK866, un inhibiteur de la visfatine, atténue les lésions intestinales et pulmonaires en inhibant la production de cytokines pro-inflammatoires et l’activation de NFκB, ce qui entraîne une amélioration du taux de survie. De plus, la visfatine joue un rôle enzymatique important dans la synthèse du nicotinamide mono nucléotide (NMN). Le vieillissement et l’alimentation hypercalorique compromettent la biosynthèse du NAD+ médiée par le NAMPT (nicotinamide phosphoribosyl transférase (Andrade-Oliveira </w:t>
            </w:r>
            <w:r w:rsidRPr="00840F30">
              <w:rPr>
                <w:i/>
                <w:iCs/>
              </w:rPr>
              <w:t>et al.,</w:t>
            </w:r>
            <w:r>
              <w:t xml:space="preserve"> 2015).</w:t>
            </w:r>
          </w:p>
          <w:p w14:paraId="77CC5A8A" w14:textId="77777777" w:rsidR="00840F30" w:rsidRDefault="00840F30" w:rsidP="00BE478E">
            <w:pPr>
              <w:pStyle w:val="Titre3"/>
              <w:outlineLvl w:val="2"/>
            </w:pPr>
            <w:bookmarkStart w:id="82" w:name="_Toc167472752"/>
            <w:bookmarkStart w:id="83" w:name="_Toc168302229"/>
            <w:bookmarkStart w:id="84" w:name="_Toc170226671"/>
            <w:r w:rsidRPr="00840F30">
              <w:t>TNF-α</w:t>
            </w:r>
            <w:bookmarkEnd w:id="82"/>
            <w:bookmarkEnd w:id="83"/>
            <w:bookmarkEnd w:id="84"/>
            <w:r w:rsidRPr="00840F30">
              <w:t xml:space="preserve"> </w:t>
            </w:r>
          </w:p>
          <w:p w14:paraId="5A6372B1" w14:textId="4AEB853D" w:rsidR="00840F30" w:rsidRDefault="00840F30" w:rsidP="00B25051">
            <w:pPr>
              <w:rPr>
                <w:rFonts w:asciiTheme="majorBidi" w:hAnsiTheme="majorBidi" w:cstheme="majorBidi"/>
                <w:lang w:bidi="ar-DZ"/>
              </w:rPr>
            </w:pPr>
            <w:r w:rsidRPr="003F48E7">
              <w:rPr>
                <w:rFonts w:asciiTheme="majorBidi" w:hAnsiTheme="majorBidi" w:cstheme="majorBidi"/>
                <w:lang w:bidi="ar-DZ"/>
              </w:rPr>
              <w:t>Le TNF-α est une protéine homodimérique, c'est-à-dire qu'elle est constituée de trois sous-unités identiques. Chaque sous-unité est constituée de 233 acides aminés et a un poids moléculaire d'environ 17 kDa. La structure cristalline du TNF-α a été largement étudiée et caractérisée. La structure tertiaire du TNF-α est caractérisée par une homologie en forme de cloche, chaque monomère étant constitué d'un noyau riche en feuillets bêta entouré d’acides hélicoïdaux alphas.  La région de liaison au récepteur du TNF-α est située à l'interface de deux des monomères de la structure ternaire</w:t>
            </w:r>
            <w:r>
              <w:rPr>
                <w:rFonts w:asciiTheme="majorBidi" w:hAnsiTheme="majorBidi" w:cstheme="majorBidi"/>
                <w:lang w:bidi="ar-DZ"/>
              </w:rPr>
              <w:t xml:space="preserve"> </w:t>
            </w:r>
            <w:r w:rsidR="00B25051">
              <w:rPr>
                <w:rFonts w:asciiTheme="majorBidi" w:hAnsiTheme="majorBidi" w:cstheme="majorBidi"/>
                <w:color w:val="000000" w:themeColor="text1"/>
                <w:lang w:bidi="ar-DZ"/>
              </w:rPr>
              <w:t xml:space="preserve">(Figure </w:t>
            </w:r>
            <w:r>
              <w:rPr>
                <w:rFonts w:asciiTheme="majorBidi" w:hAnsiTheme="majorBidi" w:cstheme="majorBidi"/>
                <w:color w:val="000000" w:themeColor="text1"/>
                <w:lang w:bidi="ar-DZ"/>
              </w:rPr>
              <w:t>8</w:t>
            </w:r>
            <w:r w:rsidRPr="00840F30">
              <w:rPr>
                <w:rFonts w:asciiTheme="majorBidi" w:hAnsiTheme="majorBidi" w:cstheme="majorBidi"/>
                <w:color w:val="000000" w:themeColor="text1"/>
                <w:lang w:bidi="ar-DZ"/>
              </w:rPr>
              <w:t xml:space="preserve">). </w:t>
            </w:r>
            <w:r w:rsidRPr="003F48E7">
              <w:rPr>
                <w:rFonts w:asciiTheme="majorBidi" w:hAnsiTheme="majorBidi" w:cstheme="majorBidi"/>
                <w:lang w:bidi="ar-DZ"/>
              </w:rPr>
              <w:t xml:space="preserve">Cette région est essentielle pour que le TNF-α interagisse avec les récepteurs de la surface cellulaire, tels que TNFR1 et TNFR2l. </w:t>
            </w:r>
            <w:r>
              <w:rPr>
                <w:rFonts w:asciiTheme="majorBidi" w:hAnsiTheme="majorBidi" w:cstheme="majorBidi"/>
                <w:lang w:bidi="ar-DZ"/>
              </w:rPr>
              <w:t>(</w:t>
            </w:r>
            <w:r w:rsidRPr="00821FFD">
              <w:rPr>
                <w:rFonts w:asciiTheme="majorBidi" w:hAnsiTheme="majorBidi" w:cstheme="majorBidi"/>
                <w:lang w:bidi="ar-DZ"/>
              </w:rPr>
              <w:t>Aggarwal</w:t>
            </w:r>
            <w:r>
              <w:rPr>
                <w:rFonts w:asciiTheme="majorBidi" w:hAnsiTheme="majorBidi" w:cstheme="majorBidi"/>
                <w:lang w:bidi="ar-DZ"/>
              </w:rPr>
              <w:t xml:space="preserve">, </w:t>
            </w:r>
            <w:r w:rsidRPr="00821FFD">
              <w:rPr>
                <w:rFonts w:asciiTheme="majorBidi" w:hAnsiTheme="majorBidi" w:cstheme="majorBidi"/>
                <w:lang w:bidi="ar-DZ"/>
              </w:rPr>
              <w:t>2003).</w:t>
            </w:r>
          </w:p>
          <w:p w14:paraId="46452EF4" w14:textId="672731DC" w:rsidR="00065B2D" w:rsidRDefault="00840F30" w:rsidP="00065B2D">
            <w:pPr>
              <w:rPr>
                <w:rFonts w:asciiTheme="majorBidi" w:hAnsiTheme="majorBidi" w:cstheme="majorBidi"/>
                <w:lang w:bidi="ar-DZ"/>
              </w:rPr>
            </w:pPr>
            <w:r w:rsidRPr="00AB7E74">
              <w:rPr>
                <w:rFonts w:asciiTheme="majorBidi" w:hAnsiTheme="majorBidi" w:cstheme="majorBidi"/>
                <w:lang w:bidi="ar-DZ"/>
              </w:rPr>
              <w:t>La sécrétion de TNF-alpha se fait par adipocytes TNFα est principalement produit par les cellules de la lignée monocytique, y compris les macrophages, les monocytes et d'autres cellules immunitaires telles que les astrocytes, les microglies, les cellules de Langerhans et les macrophages alvéolaires. Cette sécrétion est stimulé</w:t>
            </w:r>
            <w:r>
              <w:rPr>
                <w:rFonts w:asciiTheme="majorBidi" w:hAnsiTheme="majorBidi" w:cstheme="majorBidi"/>
                <w:lang w:bidi="ar-DZ"/>
              </w:rPr>
              <w:t xml:space="preserve">e par les acides gras libres et </w:t>
            </w:r>
            <w:r w:rsidRPr="00AB7E74">
              <w:rPr>
                <w:rFonts w:asciiTheme="majorBidi" w:hAnsiTheme="majorBidi" w:cstheme="majorBidi"/>
                <w:lang w:bidi="ar-DZ"/>
              </w:rPr>
              <w:t xml:space="preserve">l'hyperglycémie. Les états inflammatoires, induits par des cytokines comme l'interleukine-1, augmentent également la sécrétion de TNF-alpha. À l'inverse, les agents anti-inflammatoires et les agonistes PPARγ peuvent inhiber sa sécrétion. La résistance à l'insuline et l'obésité sont souvent associées à une augmentation de la sécrétion de TNF-alpha (Parameswaran </w:t>
            </w:r>
            <w:r w:rsidRPr="00B8364D">
              <w:rPr>
                <w:rFonts w:asciiTheme="majorBidi" w:hAnsiTheme="majorBidi" w:cstheme="majorBidi"/>
                <w:lang w:bidi="ar-DZ"/>
              </w:rPr>
              <w:t xml:space="preserve">et  </w:t>
            </w:r>
            <w:r w:rsidRPr="00AB7E74">
              <w:rPr>
                <w:rFonts w:asciiTheme="majorBidi" w:hAnsiTheme="majorBidi" w:cstheme="majorBidi"/>
                <w:lang w:bidi="ar-DZ"/>
              </w:rPr>
              <w:t>Patial, 2010).</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06"/>
            </w:tblGrid>
            <w:tr w:rsidR="00065B2D" w14:paraId="546A970C" w14:textId="77777777" w:rsidTr="00C3547E">
              <w:trPr>
                <w:trHeight w:val="3063"/>
              </w:trPr>
              <w:tc>
                <w:tcPr>
                  <w:tcW w:w="9306" w:type="dxa"/>
                </w:tcPr>
                <w:p w14:paraId="0F874B90" w14:textId="6474FE5E" w:rsidR="00065B2D" w:rsidRDefault="00C3547E" w:rsidP="00C3547E">
                  <w:pPr>
                    <w:jc w:val="center"/>
                  </w:pPr>
                  <w:bookmarkStart w:id="85" w:name="_Toc167308115"/>
                  <w:r w:rsidRPr="00792E57">
                    <w:rPr>
                      <w:b/>
                      <w:bCs/>
                      <w:color w:val="000000" w:themeColor="text1"/>
                    </w:rPr>
                    <w:lastRenderedPageBreak/>
                    <w:t xml:space="preserve">Figure </w:t>
                  </w:r>
                  <w:r w:rsidRPr="00792E57">
                    <w:rPr>
                      <w:b/>
                      <w:bCs/>
                      <w:color w:val="000000" w:themeColor="text1"/>
                    </w:rPr>
                    <w:fldChar w:fldCharType="begin"/>
                  </w:r>
                  <w:r w:rsidRPr="00792E57">
                    <w:rPr>
                      <w:b/>
                      <w:bCs/>
                      <w:color w:val="000000" w:themeColor="text1"/>
                    </w:rPr>
                    <w:instrText xml:space="preserve"> SEQ Figure \* ARABIC </w:instrText>
                  </w:r>
                  <w:r w:rsidRPr="00792E57">
                    <w:rPr>
                      <w:b/>
                      <w:bCs/>
                      <w:color w:val="000000" w:themeColor="text1"/>
                    </w:rPr>
                    <w:fldChar w:fldCharType="separate"/>
                  </w:r>
                  <w:r w:rsidR="00B5205A">
                    <w:rPr>
                      <w:b/>
                      <w:bCs/>
                      <w:noProof/>
                      <w:color w:val="000000" w:themeColor="text1"/>
                    </w:rPr>
                    <w:t>8</w:t>
                  </w:r>
                  <w:r w:rsidRPr="00792E57">
                    <w:rPr>
                      <w:b/>
                      <w:bCs/>
                      <w:color w:val="000000" w:themeColor="text1"/>
                    </w:rPr>
                    <w:fldChar w:fldCharType="end"/>
                  </w:r>
                  <w:r w:rsidRPr="00065B2D">
                    <w:rPr>
                      <w:i/>
                      <w:iCs/>
                      <w:color w:val="000000" w:themeColor="text1"/>
                    </w:rPr>
                    <w:t xml:space="preserve">. </w:t>
                  </w:r>
                  <w:r w:rsidRPr="00792E57">
                    <w:t xml:space="preserve">La structure de TNF alpha "les récepteurs et la protéine 2L de poxivirus se lient au même site (Guven-Maiorov </w:t>
                  </w:r>
                  <w:r w:rsidRPr="00792E57">
                    <w:rPr>
                      <w:i/>
                      <w:iCs/>
                    </w:rPr>
                    <w:t>et al.,</w:t>
                  </w:r>
                  <w:r w:rsidRPr="00792E57">
                    <w:t xml:space="preserve"> 2014).</w:t>
                  </w:r>
                  <w:bookmarkEnd w:id="85"/>
                  <w:r w:rsidR="00065B2D" w:rsidRPr="00065B2D">
                    <w:rPr>
                      <w:rFonts w:eastAsia="Calibri"/>
                      <w:b/>
                      <w:bCs/>
                      <w:noProof/>
                      <w:lang w:eastAsia="fr-FR"/>
                    </w:rPr>
                    <w:drawing>
                      <wp:anchor distT="0" distB="0" distL="114300" distR="114300" simplePos="0" relativeHeight="251672576" behindDoc="0" locked="0" layoutInCell="1" allowOverlap="1" wp14:anchorId="7F6DA050" wp14:editId="43D81190">
                        <wp:simplePos x="0" y="0"/>
                        <wp:positionH relativeFrom="column">
                          <wp:posOffset>-66675</wp:posOffset>
                        </wp:positionH>
                        <wp:positionV relativeFrom="paragraph">
                          <wp:posOffset>111760</wp:posOffset>
                        </wp:positionV>
                        <wp:extent cx="5762625" cy="3378200"/>
                        <wp:effectExtent l="0" t="0" r="9525" b="0"/>
                        <wp:wrapTopAndBottom/>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62625" cy="3378200"/>
                                </a:xfrm>
                                <a:prstGeom prst="rect">
                                  <a:avLst/>
                                </a:prstGeom>
                                <a:noFill/>
                              </pic:spPr>
                            </pic:pic>
                          </a:graphicData>
                        </a:graphic>
                        <wp14:sizeRelH relativeFrom="page">
                          <wp14:pctWidth>0</wp14:pctWidth>
                        </wp14:sizeRelH>
                        <wp14:sizeRelV relativeFrom="page">
                          <wp14:pctHeight>0</wp14:pctHeight>
                        </wp14:sizeRelV>
                      </wp:anchor>
                    </w:drawing>
                  </w:r>
                </w:p>
              </w:tc>
            </w:tr>
          </w:tbl>
          <w:p w14:paraId="7B9FF209" w14:textId="58F87769" w:rsidR="00840F30" w:rsidRPr="00065B2D" w:rsidRDefault="00840F30" w:rsidP="00065B2D">
            <w:pPr>
              <w:pStyle w:val="Lgende"/>
              <w:rPr>
                <w:sz w:val="24"/>
                <w:szCs w:val="24"/>
              </w:rPr>
            </w:pPr>
          </w:p>
        </w:tc>
      </w:tr>
    </w:tbl>
    <w:p w14:paraId="1196FC7B" w14:textId="77777777" w:rsidR="00840F30" w:rsidRPr="00A52FBC" w:rsidRDefault="00840F30" w:rsidP="00B25051">
      <w:pPr>
        <w:rPr>
          <w:rFonts w:asciiTheme="majorBidi" w:hAnsiTheme="majorBidi" w:cstheme="majorBidi"/>
          <w:lang w:bidi="ar-DZ"/>
        </w:rPr>
      </w:pPr>
      <w:r w:rsidRPr="00A52FBC">
        <w:rPr>
          <w:rFonts w:asciiTheme="majorBidi" w:hAnsiTheme="majorBidi" w:cstheme="majorBidi"/>
          <w:lang w:bidi="ar-DZ"/>
        </w:rPr>
        <w:lastRenderedPageBreak/>
        <w:t>Le TNF-α se présente sous deux formes : tmTNF-α (transmembranaire) et sTNF-α (soluble), transformé par TACE. Les deux formes interagissent avec TNFR1 et TNFR2, mais de manière différente. TNFR1, exprimé dans divers types cellulaires, peut être activé par les deux formes de TNF-α, tandis que TNFR2, plus spécifique aux cellules immunitaires, est principalement activé par le sTNF-α. Les deux récepteurs peuvent être clivés en formes solubles, modulant l'activité du TNF-α. L'activation de TNFR1 peut induire des voies anti-a</w:t>
      </w:r>
      <w:r>
        <w:rPr>
          <w:rFonts w:asciiTheme="majorBidi" w:hAnsiTheme="majorBidi" w:cstheme="majorBidi"/>
          <w:lang w:bidi="ar-DZ"/>
        </w:rPr>
        <w:t xml:space="preserve">poptotiques ou pro-apoptotiques </w:t>
      </w:r>
      <w:r w:rsidRPr="00A52FBC">
        <w:rPr>
          <w:rFonts w:asciiTheme="majorBidi" w:hAnsiTheme="majorBidi" w:cstheme="majorBidi"/>
          <w:lang w:bidi="ar-DZ"/>
        </w:rPr>
        <w:t xml:space="preserve">(Wang </w:t>
      </w:r>
      <w:r w:rsidRPr="00A52FBC">
        <w:rPr>
          <w:rFonts w:asciiTheme="majorBidi" w:hAnsiTheme="majorBidi" w:cstheme="majorBidi"/>
          <w:i/>
          <w:iCs/>
          <w:lang w:bidi="ar-DZ"/>
        </w:rPr>
        <w:t>et al.,</w:t>
      </w:r>
      <w:r w:rsidRPr="00A52FBC">
        <w:rPr>
          <w:rFonts w:asciiTheme="majorBidi" w:hAnsiTheme="majorBidi" w:cstheme="majorBidi"/>
          <w:lang w:bidi="ar-DZ"/>
        </w:rPr>
        <w:t xml:space="preserve"> 2020).</w:t>
      </w:r>
    </w:p>
    <w:p w14:paraId="3FF2A840" w14:textId="28BE7A4E" w:rsidR="00840F30" w:rsidRPr="00840F30" w:rsidRDefault="00840F30" w:rsidP="00C3547E">
      <w:pPr>
        <w:rPr>
          <w:lang w:bidi="ar-DZ"/>
        </w:rPr>
      </w:pPr>
      <w:r w:rsidRPr="00BD5317">
        <w:rPr>
          <w:rFonts w:asciiTheme="majorBidi" w:hAnsiTheme="majorBidi" w:cstheme="majorBidi"/>
          <w:lang w:bidi="ar-DZ"/>
        </w:rPr>
        <w:t xml:space="preserve">Le </w:t>
      </w:r>
      <w:r>
        <w:rPr>
          <w:rFonts w:asciiTheme="majorBidi" w:hAnsiTheme="majorBidi" w:cstheme="majorBidi"/>
          <w:lang w:bidi="ar-DZ"/>
        </w:rPr>
        <w:t xml:space="preserve">rôle de </w:t>
      </w:r>
      <w:r w:rsidRPr="00BD5317">
        <w:rPr>
          <w:rFonts w:asciiTheme="majorBidi" w:hAnsiTheme="majorBidi" w:cstheme="majorBidi"/>
          <w:lang w:bidi="ar-DZ"/>
        </w:rPr>
        <w:t xml:space="preserve">TNF-α </w:t>
      </w:r>
      <w:r>
        <w:rPr>
          <w:rFonts w:asciiTheme="majorBidi" w:hAnsiTheme="majorBidi" w:cstheme="majorBidi"/>
          <w:lang w:bidi="ar-DZ"/>
        </w:rPr>
        <w:t xml:space="preserve">est de </w:t>
      </w:r>
      <w:r w:rsidRPr="00BD5317">
        <w:rPr>
          <w:rFonts w:asciiTheme="majorBidi" w:hAnsiTheme="majorBidi" w:cstheme="majorBidi"/>
          <w:lang w:bidi="ar-DZ"/>
        </w:rPr>
        <w:t>favorise</w:t>
      </w:r>
      <w:r>
        <w:rPr>
          <w:rFonts w:asciiTheme="majorBidi" w:hAnsiTheme="majorBidi" w:cstheme="majorBidi"/>
          <w:lang w:bidi="ar-DZ"/>
        </w:rPr>
        <w:t>r</w:t>
      </w:r>
      <w:r w:rsidRPr="00BD5317">
        <w:rPr>
          <w:rFonts w:asciiTheme="majorBidi" w:hAnsiTheme="majorBidi" w:cstheme="majorBidi"/>
          <w:lang w:bidi="ar-DZ"/>
        </w:rPr>
        <w:t xml:space="preserve"> la production de cytokines inflammatoires, de chimiokines et de facteurs angiogéniques en activant les protéines kinases activées par les mitogènes (MAPK) et la voie du facteur nucléaire (NF)-κB. Chez les humains, le TNF-α inhibe la libération de leptine par les adipocytes sous-cutanés et omentaux, réduisant ainsi la production et l'expression génique de la leptine dans les tissus adipeux abdominaux. Des études montrent également que le TNF-α contribue à la résistance à l'insuline et à l'augmentation des concentrations de glucose dans le sang, entraînant des périodes d'hypoglycémie. De plus, le TNF-α favorise la détérioration de l'oxydation des graisses, réduit l'absorption des acides</w:t>
      </w:r>
      <w:r>
        <w:rPr>
          <w:rFonts w:asciiTheme="majorBidi" w:hAnsiTheme="majorBidi" w:cstheme="majorBidi"/>
          <w:lang w:bidi="ar-DZ"/>
        </w:rPr>
        <w:t xml:space="preserve"> gras et la lipogenèse dans les </w:t>
      </w:r>
      <w:r w:rsidRPr="00BD5317">
        <w:rPr>
          <w:rFonts w:asciiTheme="majorBidi" w:hAnsiTheme="majorBidi" w:cstheme="majorBidi"/>
          <w:lang w:bidi="ar-DZ"/>
        </w:rPr>
        <w:t xml:space="preserve">adipocytes, contribuant ainsi à l'équilibre lipidique et métabolique. Comprendre le rôle du TNF-α dans la </w:t>
      </w:r>
      <w:r w:rsidRPr="00BD5317">
        <w:rPr>
          <w:rFonts w:asciiTheme="majorBidi" w:hAnsiTheme="majorBidi" w:cstheme="majorBidi"/>
          <w:lang w:bidi="ar-DZ"/>
        </w:rPr>
        <w:lastRenderedPageBreak/>
        <w:t xml:space="preserve">régulation de l'inflammation et du métabolisme est essentiel pour comprendre de nombreuses conditions pathologiques et développer des traitements ciblés (Roh </w:t>
      </w:r>
      <w:r w:rsidRPr="00BD5317">
        <w:rPr>
          <w:rFonts w:asciiTheme="majorBidi" w:hAnsiTheme="majorBidi" w:cstheme="majorBidi"/>
          <w:i/>
          <w:iCs/>
          <w:lang w:bidi="ar-DZ"/>
        </w:rPr>
        <w:t>et al.,</w:t>
      </w:r>
      <w:r w:rsidRPr="00BD5317">
        <w:rPr>
          <w:rFonts w:asciiTheme="majorBidi" w:hAnsiTheme="majorBidi" w:cstheme="majorBidi"/>
          <w:lang w:bidi="ar-DZ"/>
        </w:rPr>
        <w:t xml:space="preserve"> 2016)</w:t>
      </w:r>
      <w:r>
        <w:rPr>
          <w:rFonts w:asciiTheme="majorBidi" w:hAnsiTheme="majorBidi" w:cstheme="majorBidi"/>
          <w:lang w:bidi="ar-DZ"/>
        </w:rPr>
        <w:t>.</w:t>
      </w:r>
      <w:r w:rsidR="00065B2D">
        <w:rPr>
          <w:rFonts w:asciiTheme="majorBidi" w:hAnsiTheme="majorBidi" w:cstheme="majorBidi"/>
          <w:lang w:bidi="ar-DZ"/>
        </w:rPr>
        <w:t xml:space="preserve"> </w:t>
      </w:r>
      <w:r w:rsidR="00065B2D">
        <w:rPr>
          <w:rFonts w:asciiTheme="majorBidi" w:hAnsiTheme="majorBidi" w:cstheme="majorBidi"/>
          <w:lang w:bidi="ar-DZ"/>
        </w:rPr>
        <w:tab/>
      </w:r>
    </w:p>
    <w:p w14:paraId="3AAA62A7" w14:textId="3675214E" w:rsidR="00B91DF5" w:rsidRDefault="00E54327" w:rsidP="00BE478E">
      <w:pPr>
        <w:pStyle w:val="Titre3"/>
        <w:rPr>
          <w:lang w:bidi="ar-DZ"/>
        </w:rPr>
      </w:pPr>
      <w:bookmarkStart w:id="86" w:name="_Toc167472754"/>
      <w:bookmarkStart w:id="87" w:name="_Toc168302230"/>
      <w:bookmarkStart w:id="88" w:name="_Toc170226672"/>
      <w:r>
        <w:rPr>
          <w:lang w:bidi="ar-DZ"/>
        </w:rPr>
        <w:t>La ch</w:t>
      </w:r>
      <w:r w:rsidR="00D2597A">
        <w:rPr>
          <w:lang w:bidi="ar-DZ"/>
        </w:rPr>
        <w:t>éme</w:t>
      </w:r>
      <w:r w:rsidR="00B91DF5" w:rsidRPr="00B91DF5">
        <w:rPr>
          <w:lang w:bidi="ar-DZ"/>
        </w:rPr>
        <w:t>rine</w:t>
      </w:r>
      <w:bookmarkEnd w:id="86"/>
      <w:bookmarkEnd w:id="87"/>
      <w:bookmarkEnd w:id="88"/>
    </w:p>
    <w:p w14:paraId="75386D55" w14:textId="217B661B" w:rsidR="00065B2D" w:rsidRDefault="00E54327" w:rsidP="00C3547E">
      <w:pPr>
        <w:rPr>
          <w:lang w:bidi="ar-DZ"/>
        </w:rPr>
      </w:pPr>
      <w:r>
        <w:rPr>
          <w:lang w:bidi="ar-DZ"/>
        </w:rPr>
        <w:t>La chéme</w:t>
      </w:r>
      <w:r w:rsidR="00065B2D" w:rsidRPr="00065B2D">
        <w:rPr>
          <w:lang w:bidi="ar-DZ"/>
        </w:rPr>
        <w:t xml:space="preserve">rine est une protéine sans homologie de séquence étroite connue, dont la structure cristalline reste inconnue à ce jour. Sur le plan structural, elle présente une certaine similitude avec le domaine cathélicidine de LL-37, une protéine antimicrobienne cationique du système immunitaire inné. La chemérine partage également une homologie structurale avec les cystatines, une famille d'inhibiteurs de protéases. Des études ont révélé une organisation en feuille β centrale flanquée de deux hélices α, avec une terminaison C-terminale flexible </w:t>
      </w:r>
      <w:r w:rsidR="00B8364D">
        <w:rPr>
          <w:lang w:bidi="ar-DZ"/>
        </w:rPr>
        <w:t xml:space="preserve">(figure </w:t>
      </w:r>
      <w:r w:rsidR="00065B2D">
        <w:rPr>
          <w:lang w:bidi="ar-DZ"/>
        </w:rPr>
        <w:t>9</w:t>
      </w:r>
      <w:r w:rsidR="00065B2D" w:rsidRPr="00065B2D">
        <w:rPr>
          <w:lang w:bidi="ar-DZ"/>
        </w:rPr>
        <w:t xml:space="preserve">). La protéolyse C-terminale de la prochemérine est essentielle pour son activation biologique via le récepteur CMKLR1. Les espèces de chemérine les plus actives se terminent à S157 ou F156, et des peptides courts dérivés de ces terminaisons peuvent activer les récepteurs CMKLR1 et GPR1 (Fischer </w:t>
      </w:r>
      <w:r w:rsidR="00065B2D" w:rsidRPr="00065B2D">
        <w:rPr>
          <w:i/>
          <w:iCs/>
          <w:lang w:bidi="ar-DZ"/>
        </w:rPr>
        <w:t>et</w:t>
      </w:r>
      <w:r w:rsidR="00065B2D" w:rsidRPr="00065B2D">
        <w:rPr>
          <w:lang w:bidi="ar-DZ"/>
        </w:rPr>
        <w:t xml:space="preserve"> Beck-Sickinger, 2022).et qui conduit à la promotion des MAP kinases p42-p44 et à la suppression de l'accumulation</w:t>
      </w:r>
      <w:r w:rsidR="00065B2D">
        <w:rPr>
          <w:lang w:bidi="ar-DZ"/>
        </w:rPr>
        <w:t xml:space="preserve"> </w:t>
      </w:r>
      <w:r w:rsidR="00065B2D" w:rsidRPr="00065B2D">
        <w:rPr>
          <w:lang w:bidi="ar-DZ"/>
        </w:rPr>
        <w:t xml:space="preserve">d'AMPc. En revanche, le CCRL2 en aval n'a pas encore été évalué (Kiełbowski </w:t>
      </w:r>
      <w:r w:rsidR="00065B2D" w:rsidRPr="00065B2D">
        <w:rPr>
          <w:i/>
          <w:iCs/>
          <w:lang w:bidi="ar-DZ"/>
        </w:rPr>
        <w:t>et al.,</w:t>
      </w:r>
      <w:r w:rsidR="00065B2D" w:rsidRPr="00065B2D">
        <w:rPr>
          <w:lang w:bidi="ar-DZ"/>
        </w:rPr>
        <w:t xml:space="preserve"> 2023).</w:t>
      </w:r>
    </w:p>
    <w:p w14:paraId="6BF13050" w14:textId="1EECEC94" w:rsidR="00065B2D" w:rsidRDefault="00065B2D" w:rsidP="00C3547E">
      <w:pPr>
        <w:rPr>
          <w:lang w:bidi="ar-DZ"/>
        </w:rPr>
      </w:pPr>
      <w:r w:rsidRPr="00065B2D">
        <w:rPr>
          <w:lang w:bidi="ar-DZ"/>
        </w:rPr>
        <w:t xml:space="preserve">La chémerine est principalement sécrétée par les tissus adipeux, le foie et la peau. Il est important de noter que la chémerine est largement distribuée dans divers organes et tissus, y compris les tissus endocriniens, le pancréas, le système reproducteur féminin, les poumons, les reins et le côlon. La sécrétion de chémerine peut être stimulée par des cytokines inflammatoires telles que le TNF-alpha et l'IL-6, tandis qu'elle peut être inhibée par des agents anti-inflammatoires tels que les corticostéroïdes et les agonistes de PPARγ (Yu </w:t>
      </w:r>
      <w:r w:rsidRPr="00065B2D">
        <w:rPr>
          <w:i/>
          <w:iCs/>
          <w:lang w:bidi="ar-DZ"/>
        </w:rPr>
        <w:t>et al.,</w:t>
      </w:r>
      <w:r w:rsidRPr="00065B2D">
        <w:rPr>
          <w:lang w:bidi="ar-DZ"/>
        </w:rPr>
        <w:t xml:space="preserve"> 2022).</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4"/>
      </w:tblGrid>
      <w:tr w:rsidR="00065B2D" w14:paraId="7885C888" w14:textId="77777777" w:rsidTr="00200A61">
        <w:tc>
          <w:tcPr>
            <w:tcW w:w="9494" w:type="dxa"/>
          </w:tcPr>
          <w:p w14:paraId="1EC4A1F4" w14:textId="284657D0" w:rsidR="00065B2D" w:rsidRDefault="00065B2D" w:rsidP="00065B2D">
            <w:pPr>
              <w:rPr>
                <w:lang w:bidi="ar-DZ"/>
              </w:rPr>
            </w:pPr>
            <w:r>
              <w:rPr>
                <w:noProof/>
                <w:lang w:eastAsia="fr-FR"/>
              </w:rPr>
              <w:drawing>
                <wp:anchor distT="0" distB="0" distL="114300" distR="114300" simplePos="0" relativeHeight="251673600" behindDoc="0" locked="0" layoutInCell="1" allowOverlap="1" wp14:anchorId="56F5FC2F" wp14:editId="7E7FD494">
                  <wp:simplePos x="0" y="0"/>
                  <wp:positionH relativeFrom="column">
                    <wp:posOffset>956310</wp:posOffset>
                  </wp:positionH>
                  <wp:positionV relativeFrom="paragraph">
                    <wp:posOffset>73025</wp:posOffset>
                  </wp:positionV>
                  <wp:extent cx="4066540" cy="2060575"/>
                  <wp:effectExtent l="0" t="0" r="0" b="0"/>
                  <wp:wrapTopAndBottom/>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066540" cy="2060575"/>
                          </a:xfrm>
                          <a:prstGeom prst="rect">
                            <a:avLst/>
                          </a:prstGeom>
                          <a:noFill/>
                        </pic:spPr>
                      </pic:pic>
                    </a:graphicData>
                  </a:graphic>
                  <wp14:sizeRelH relativeFrom="page">
                    <wp14:pctWidth>0</wp14:pctWidth>
                  </wp14:sizeRelH>
                  <wp14:sizeRelV relativeFrom="page">
                    <wp14:pctHeight>0</wp14:pctHeight>
                  </wp14:sizeRelV>
                </wp:anchor>
              </w:drawing>
            </w:r>
          </w:p>
        </w:tc>
      </w:tr>
      <w:tr w:rsidR="00065B2D" w14:paraId="070946AF" w14:textId="77777777" w:rsidTr="00200A61">
        <w:tc>
          <w:tcPr>
            <w:tcW w:w="9494" w:type="dxa"/>
          </w:tcPr>
          <w:p w14:paraId="7A0A880F" w14:textId="1F207EC9" w:rsidR="00200A61" w:rsidRPr="00B8364D" w:rsidRDefault="00200A61" w:rsidP="00B8364D">
            <w:pPr>
              <w:pStyle w:val="Lgende"/>
              <w:jc w:val="center"/>
              <w:rPr>
                <w:i w:val="0"/>
                <w:iCs w:val="0"/>
                <w:color w:val="000000" w:themeColor="text1"/>
                <w:sz w:val="24"/>
                <w:szCs w:val="24"/>
              </w:rPr>
            </w:pPr>
            <w:bookmarkStart w:id="89" w:name="_Toc167308116"/>
            <w:r w:rsidRPr="00792E57">
              <w:rPr>
                <w:b/>
                <w:bCs/>
                <w:i w:val="0"/>
                <w:iCs w:val="0"/>
                <w:color w:val="000000" w:themeColor="text1"/>
                <w:sz w:val="24"/>
                <w:szCs w:val="24"/>
              </w:rPr>
              <w:t xml:space="preserve">Figure </w:t>
            </w:r>
            <w:r w:rsidRPr="00792E57">
              <w:rPr>
                <w:b/>
                <w:bCs/>
                <w:i w:val="0"/>
                <w:iCs w:val="0"/>
                <w:color w:val="000000" w:themeColor="text1"/>
                <w:sz w:val="24"/>
                <w:szCs w:val="24"/>
              </w:rPr>
              <w:fldChar w:fldCharType="begin"/>
            </w:r>
            <w:r w:rsidRPr="00792E57">
              <w:rPr>
                <w:b/>
                <w:bCs/>
                <w:i w:val="0"/>
                <w:iCs w:val="0"/>
                <w:color w:val="000000" w:themeColor="text1"/>
                <w:sz w:val="24"/>
                <w:szCs w:val="24"/>
              </w:rPr>
              <w:instrText xml:space="preserve"> SEQ Figure \* ARABIC </w:instrText>
            </w:r>
            <w:r w:rsidRPr="00792E57">
              <w:rPr>
                <w:b/>
                <w:bCs/>
                <w:i w:val="0"/>
                <w:iCs w:val="0"/>
                <w:color w:val="000000" w:themeColor="text1"/>
                <w:sz w:val="24"/>
                <w:szCs w:val="24"/>
              </w:rPr>
              <w:fldChar w:fldCharType="separate"/>
            </w:r>
            <w:r w:rsidR="00B5205A">
              <w:rPr>
                <w:b/>
                <w:bCs/>
                <w:i w:val="0"/>
                <w:iCs w:val="0"/>
                <w:noProof/>
                <w:color w:val="000000" w:themeColor="text1"/>
                <w:sz w:val="24"/>
                <w:szCs w:val="24"/>
              </w:rPr>
              <w:t>9</w:t>
            </w:r>
            <w:r w:rsidRPr="00792E57">
              <w:rPr>
                <w:b/>
                <w:bCs/>
                <w:i w:val="0"/>
                <w:iCs w:val="0"/>
                <w:color w:val="000000" w:themeColor="text1"/>
                <w:sz w:val="24"/>
                <w:szCs w:val="24"/>
              </w:rPr>
              <w:fldChar w:fldCharType="end"/>
            </w:r>
            <w:r w:rsidRPr="00792E57">
              <w:rPr>
                <w:b/>
                <w:bCs/>
                <w:i w:val="0"/>
                <w:iCs w:val="0"/>
                <w:color w:val="000000" w:themeColor="text1"/>
                <w:sz w:val="24"/>
                <w:szCs w:val="24"/>
              </w:rPr>
              <w:t>.</w:t>
            </w:r>
            <w:r w:rsidRPr="00200A61">
              <w:rPr>
                <w:i w:val="0"/>
                <w:iCs w:val="0"/>
                <w:color w:val="000000" w:themeColor="text1"/>
                <w:sz w:val="24"/>
                <w:szCs w:val="24"/>
              </w:rPr>
              <w:t xml:space="preserve"> La structure da la chémerine humain</w:t>
            </w:r>
            <w:r>
              <w:rPr>
                <w:i w:val="0"/>
                <w:iCs w:val="0"/>
                <w:color w:val="000000" w:themeColor="text1"/>
                <w:sz w:val="24"/>
                <w:szCs w:val="24"/>
              </w:rPr>
              <w:t xml:space="preserve"> </w:t>
            </w:r>
            <w:r w:rsidRPr="00200A61">
              <w:rPr>
                <w:i w:val="0"/>
                <w:iCs w:val="0"/>
                <w:color w:val="000000" w:themeColor="text1"/>
                <w:sz w:val="24"/>
                <w:szCs w:val="24"/>
              </w:rPr>
              <w:t>(Fischer et Beck-Sickinger, 2022).</w:t>
            </w:r>
            <w:bookmarkEnd w:id="89"/>
          </w:p>
          <w:p w14:paraId="7A698781" w14:textId="6CC33095" w:rsidR="00200A61" w:rsidRDefault="007A5D7C" w:rsidP="00C3547E">
            <w:pPr>
              <w:rPr>
                <w:rFonts w:asciiTheme="majorBidi" w:hAnsiTheme="majorBidi" w:cstheme="majorBidi"/>
                <w:lang w:bidi="ar-DZ"/>
              </w:rPr>
            </w:pPr>
            <w:r>
              <w:rPr>
                <w:rFonts w:asciiTheme="majorBidi" w:hAnsiTheme="majorBidi" w:cstheme="majorBidi"/>
                <w:lang w:bidi="ar-DZ"/>
              </w:rPr>
              <w:lastRenderedPageBreak/>
              <w:t>Chéme</w:t>
            </w:r>
            <w:r w:rsidR="00200A61" w:rsidRPr="008D704B">
              <w:rPr>
                <w:rFonts w:asciiTheme="majorBidi" w:hAnsiTheme="majorBidi" w:cstheme="majorBidi"/>
                <w:lang w:bidi="ar-DZ"/>
              </w:rPr>
              <w:t>rin</w:t>
            </w:r>
            <w:r w:rsidR="00200A61">
              <w:rPr>
                <w:rFonts w:asciiTheme="majorBidi" w:hAnsiTheme="majorBidi" w:cstheme="majorBidi"/>
                <w:lang w:bidi="ar-DZ"/>
              </w:rPr>
              <w:t>e</w:t>
            </w:r>
            <w:r w:rsidR="00200A61" w:rsidRPr="008D704B">
              <w:rPr>
                <w:rFonts w:asciiTheme="majorBidi" w:hAnsiTheme="majorBidi" w:cstheme="majorBidi"/>
                <w:lang w:bidi="ar-DZ"/>
              </w:rPr>
              <w:t xml:space="preserve"> joue un rôle multi facette dans plusieurs processus physiologiques, notamment dans l'immunité, l'adiposité, le métabolisme et la santé reproductive. Voici quelques points c</w:t>
            </w:r>
            <w:r>
              <w:rPr>
                <w:rFonts w:asciiTheme="majorBidi" w:hAnsiTheme="majorBidi" w:cstheme="majorBidi"/>
                <w:lang w:bidi="ar-DZ"/>
              </w:rPr>
              <w:t>lés concernant le rôle de la chéme</w:t>
            </w:r>
            <w:r w:rsidR="00200A61" w:rsidRPr="008D704B">
              <w:rPr>
                <w:rFonts w:asciiTheme="majorBidi" w:hAnsiTheme="majorBidi" w:cstheme="majorBidi"/>
                <w:lang w:bidi="ar-DZ"/>
              </w:rPr>
              <w:t>rine :</w:t>
            </w:r>
            <w:r w:rsidR="00200A61">
              <w:rPr>
                <w:rFonts w:asciiTheme="majorBidi" w:hAnsiTheme="majorBidi" w:cstheme="majorBidi"/>
                <w:lang w:bidi="ar-DZ"/>
              </w:rPr>
              <w:t xml:space="preserve"> </w:t>
            </w:r>
          </w:p>
          <w:p w14:paraId="150AB873" w14:textId="3BFD4B81" w:rsidR="00200A61" w:rsidRDefault="00932C82" w:rsidP="00932C82">
            <w:pPr>
              <w:ind w:firstLine="708"/>
              <w:rPr>
                <w:rFonts w:asciiTheme="majorBidi" w:hAnsiTheme="majorBidi" w:cstheme="majorBidi"/>
                <w:lang w:bidi="ar-DZ"/>
              </w:rPr>
            </w:pPr>
            <w:r w:rsidRPr="00792E57">
              <w:rPr>
                <w:rFonts w:asciiTheme="majorBidi" w:hAnsiTheme="majorBidi" w:cstheme="majorBidi"/>
                <w:b/>
                <w:bCs/>
                <w:lang w:bidi="ar-DZ"/>
              </w:rPr>
              <w:t>Tableau 3.</w:t>
            </w:r>
            <w:r w:rsidR="00C3547E">
              <w:rPr>
                <w:rFonts w:asciiTheme="majorBidi" w:hAnsiTheme="majorBidi" w:cstheme="majorBidi"/>
                <w:lang w:bidi="ar-DZ"/>
              </w:rPr>
              <w:t xml:space="preserve"> R</w:t>
            </w:r>
            <w:r w:rsidR="00792E57" w:rsidRPr="00932C82">
              <w:rPr>
                <w:rFonts w:asciiTheme="majorBidi" w:hAnsiTheme="majorBidi" w:cstheme="majorBidi"/>
                <w:lang w:bidi="ar-DZ"/>
              </w:rPr>
              <w:t>ôle</w:t>
            </w:r>
            <w:r w:rsidRPr="00932C82">
              <w:rPr>
                <w:rFonts w:asciiTheme="majorBidi" w:hAnsiTheme="majorBidi" w:cstheme="majorBidi"/>
                <w:lang w:bidi="ar-DZ"/>
              </w:rPr>
              <w:t xml:space="preserve"> de chémerine dans </w:t>
            </w:r>
            <w:r w:rsidR="00792E57" w:rsidRPr="00932C82">
              <w:rPr>
                <w:rFonts w:asciiTheme="majorBidi" w:hAnsiTheme="majorBidi" w:cstheme="majorBidi"/>
                <w:lang w:bidi="ar-DZ"/>
              </w:rPr>
              <w:t>différents</w:t>
            </w:r>
            <w:r w:rsidRPr="00932C82">
              <w:rPr>
                <w:rFonts w:asciiTheme="majorBidi" w:hAnsiTheme="majorBidi" w:cstheme="majorBidi"/>
                <w:lang w:bidi="ar-DZ"/>
              </w:rPr>
              <w:t xml:space="preserve"> processus physiologiques</w:t>
            </w:r>
            <w:r>
              <w:rPr>
                <w:rFonts w:asciiTheme="majorBidi" w:hAnsiTheme="majorBidi" w:cstheme="majorBidi"/>
                <w:lang w:bidi="ar-DZ"/>
              </w:rPr>
              <w:t xml:space="preserve"> </w:t>
            </w:r>
            <w:r w:rsidRPr="00932C82">
              <w:rPr>
                <w:rFonts w:asciiTheme="majorBidi" w:hAnsiTheme="majorBidi" w:cstheme="majorBidi"/>
                <w:lang w:bidi="ar-DZ"/>
              </w:rPr>
              <w:t xml:space="preserve">(Yu </w:t>
            </w:r>
            <w:r w:rsidRPr="00932C82">
              <w:rPr>
                <w:rFonts w:asciiTheme="majorBidi" w:hAnsiTheme="majorBidi" w:cstheme="majorBidi"/>
                <w:i/>
                <w:iCs/>
                <w:lang w:bidi="ar-DZ"/>
              </w:rPr>
              <w:t>et al.,</w:t>
            </w:r>
            <w:r w:rsidRPr="00932C82">
              <w:rPr>
                <w:rFonts w:asciiTheme="majorBidi" w:hAnsiTheme="majorBidi" w:cstheme="majorBidi"/>
                <w:lang w:bidi="ar-DZ"/>
              </w:rPr>
              <w:t xml:space="preserve"> 2022)</w:t>
            </w:r>
            <w:r>
              <w:rPr>
                <w:rFonts w:asciiTheme="majorBidi" w:hAnsiTheme="majorBidi" w:cstheme="majorBidi"/>
                <w:lang w:bidi="ar-DZ"/>
              </w:rPr>
              <w:t>.</w:t>
            </w:r>
          </w:p>
          <w:tbl>
            <w:tblPr>
              <w:tblStyle w:val="Grilledutableau"/>
              <w:tblW w:w="0" w:type="auto"/>
              <w:tblLook w:val="04A0" w:firstRow="1" w:lastRow="0" w:firstColumn="1" w:lastColumn="0" w:noHBand="0" w:noVBand="1"/>
            </w:tblPr>
            <w:tblGrid>
              <w:gridCol w:w="4606"/>
              <w:gridCol w:w="4606"/>
            </w:tblGrid>
            <w:tr w:rsidR="00200A61" w14:paraId="0E4181F3" w14:textId="77777777" w:rsidTr="00785C11">
              <w:tc>
                <w:tcPr>
                  <w:tcW w:w="4606" w:type="dxa"/>
                </w:tcPr>
                <w:p w14:paraId="20B1183F" w14:textId="7F4669F4" w:rsidR="00C3547E" w:rsidRPr="00C3547E" w:rsidRDefault="00200A61" w:rsidP="00C3547E">
                  <w:pPr>
                    <w:jc w:val="left"/>
                    <w:rPr>
                      <w:rFonts w:asciiTheme="majorBidi" w:hAnsiTheme="majorBidi" w:cstheme="majorBidi"/>
                      <w:b/>
                      <w:bCs/>
                      <w:lang w:bidi="ar-DZ"/>
                    </w:rPr>
                  </w:pPr>
                  <w:r w:rsidRPr="00C3547E">
                    <w:rPr>
                      <w:rFonts w:asciiTheme="majorBidi" w:hAnsiTheme="majorBidi" w:cstheme="majorBidi"/>
                      <w:b/>
                      <w:bCs/>
                      <w:lang w:bidi="ar-DZ"/>
                    </w:rPr>
                    <w:t>Immunité</w:t>
                  </w:r>
                </w:p>
                <w:p w14:paraId="4B5BAA87" w14:textId="77777777" w:rsidR="00200A61" w:rsidRPr="00C3547E" w:rsidRDefault="00200A61" w:rsidP="00C3547E">
                  <w:pPr>
                    <w:ind w:firstLine="708"/>
                    <w:jc w:val="left"/>
                    <w:rPr>
                      <w:rFonts w:asciiTheme="majorBidi" w:hAnsiTheme="majorBidi" w:cstheme="majorBidi"/>
                      <w:b/>
                      <w:bCs/>
                      <w:lang w:bidi="ar-DZ"/>
                    </w:rPr>
                  </w:pPr>
                </w:p>
              </w:tc>
              <w:tc>
                <w:tcPr>
                  <w:tcW w:w="4606" w:type="dxa"/>
                </w:tcPr>
                <w:p w14:paraId="44FBE308" w14:textId="468B9051" w:rsidR="00200A61" w:rsidRDefault="007A5D7C" w:rsidP="00C3547E">
                  <w:pPr>
                    <w:rPr>
                      <w:rFonts w:asciiTheme="majorBidi" w:hAnsiTheme="majorBidi" w:cstheme="majorBidi"/>
                      <w:lang w:bidi="ar-DZ"/>
                    </w:rPr>
                  </w:pPr>
                  <w:r>
                    <w:rPr>
                      <w:rFonts w:asciiTheme="majorBidi" w:hAnsiTheme="majorBidi" w:cstheme="majorBidi"/>
                      <w:lang w:bidi="ar-DZ"/>
                    </w:rPr>
                    <w:t>La chéme</w:t>
                  </w:r>
                  <w:r w:rsidR="00200A61" w:rsidRPr="00B1697F">
                    <w:rPr>
                      <w:rFonts w:asciiTheme="majorBidi" w:hAnsiTheme="majorBidi" w:cstheme="majorBidi"/>
                      <w:lang w:bidi="ar-DZ"/>
                    </w:rPr>
                    <w:t>rine agit comme un chimiokine pour les cellules immunitaires exprimant ses récepteurs, tels que CMKLR1, GPR1 et CCRL2, régulant ainsi les réponses immunitaires. Elle joue un rôle dans le recrutement des cellules tueuses naturelles pour supprimer le mélanome</w:t>
                  </w:r>
                  <w:r w:rsidR="00D2597A">
                    <w:rPr>
                      <w:rFonts w:asciiTheme="majorBidi" w:hAnsiTheme="majorBidi" w:cstheme="majorBidi"/>
                      <w:lang w:bidi="ar-DZ"/>
                    </w:rPr>
                    <w:t>.</w:t>
                  </w:r>
                </w:p>
              </w:tc>
            </w:tr>
            <w:tr w:rsidR="00200A61" w14:paraId="07A78178" w14:textId="77777777" w:rsidTr="00785C11">
              <w:tc>
                <w:tcPr>
                  <w:tcW w:w="4606" w:type="dxa"/>
                </w:tcPr>
                <w:p w14:paraId="02230B2B" w14:textId="77777777" w:rsidR="00200A61" w:rsidRPr="00C3547E" w:rsidRDefault="00200A61" w:rsidP="00C3547E">
                  <w:pPr>
                    <w:jc w:val="left"/>
                    <w:rPr>
                      <w:rFonts w:asciiTheme="majorBidi" w:hAnsiTheme="majorBidi" w:cstheme="majorBidi"/>
                      <w:b/>
                      <w:bCs/>
                      <w:lang w:bidi="ar-DZ"/>
                    </w:rPr>
                  </w:pPr>
                  <w:r w:rsidRPr="00C3547E">
                    <w:rPr>
                      <w:rFonts w:asciiTheme="majorBidi" w:hAnsiTheme="majorBidi" w:cstheme="majorBidi"/>
                      <w:b/>
                      <w:bCs/>
                      <w:lang w:bidi="ar-DZ"/>
                    </w:rPr>
                    <w:t>Adiposité et métabolisme</w:t>
                  </w:r>
                </w:p>
              </w:tc>
              <w:tc>
                <w:tcPr>
                  <w:tcW w:w="4606" w:type="dxa"/>
                </w:tcPr>
                <w:p w14:paraId="15701377" w14:textId="1A9A095E" w:rsidR="00200A61" w:rsidRDefault="007A5D7C" w:rsidP="00C3547E">
                  <w:pPr>
                    <w:rPr>
                      <w:rFonts w:asciiTheme="majorBidi" w:hAnsiTheme="majorBidi" w:cstheme="majorBidi"/>
                      <w:lang w:bidi="ar-DZ"/>
                    </w:rPr>
                  </w:pPr>
                  <w:r>
                    <w:rPr>
                      <w:rFonts w:asciiTheme="majorBidi" w:hAnsiTheme="majorBidi" w:cstheme="majorBidi"/>
                      <w:lang w:bidi="ar-DZ"/>
                    </w:rPr>
                    <w:t>La chéme</w:t>
                  </w:r>
                  <w:r w:rsidR="00200A61" w:rsidRPr="00B1697F">
                    <w:rPr>
                      <w:rFonts w:asciiTheme="majorBidi" w:hAnsiTheme="majorBidi" w:cstheme="majorBidi"/>
                      <w:lang w:bidi="ar-DZ"/>
                    </w:rPr>
                    <w:t>rine est sécrétée par le tissu adipeux et régule l'adipogenèse et le métabolisme des adipocytes via ses récepteurs. Elle est considérée comme une adipokine fonctionnelle influençant le métabolisme énergétique et l'adiposité</w:t>
                  </w:r>
                </w:p>
              </w:tc>
            </w:tr>
            <w:tr w:rsidR="00200A61" w14:paraId="25FE0EA0" w14:textId="77777777" w:rsidTr="00785C11">
              <w:tc>
                <w:tcPr>
                  <w:tcW w:w="4606" w:type="dxa"/>
                </w:tcPr>
                <w:p w14:paraId="401E9CC7" w14:textId="77777777" w:rsidR="00200A61" w:rsidRPr="00C3547E" w:rsidRDefault="00200A61" w:rsidP="00C3547E">
                  <w:pPr>
                    <w:jc w:val="left"/>
                    <w:rPr>
                      <w:rFonts w:asciiTheme="majorBidi" w:hAnsiTheme="majorBidi" w:cstheme="majorBidi"/>
                      <w:b/>
                      <w:bCs/>
                      <w:lang w:bidi="ar-DZ"/>
                    </w:rPr>
                  </w:pPr>
                  <w:r w:rsidRPr="00C3547E">
                    <w:rPr>
                      <w:rFonts w:asciiTheme="majorBidi" w:hAnsiTheme="majorBidi" w:cstheme="majorBidi"/>
                      <w:b/>
                      <w:bCs/>
                      <w:lang w:bidi="ar-DZ"/>
                    </w:rPr>
                    <w:t>Santé reproductive</w:t>
                  </w:r>
                </w:p>
              </w:tc>
              <w:tc>
                <w:tcPr>
                  <w:tcW w:w="4606" w:type="dxa"/>
                </w:tcPr>
                <w:p w14:paraId="7171635E" w14:textId="4AAD546C" w:rsidR="00200A61" w:rsidRDefault="007A5D7C" w:rsidP="00C3547E">
                  <w:pPr>
                    <w:jc w:val="left"/>
                    <w:rPr>
                      <w:rFonts w:asciiTheme="majorBidi" w:hAnsiTheme="majorBidi" w:cstheme="majorBidi"/>
                      <w:lang w:bidi="ar-DZ"/>
                    </w:rPr>
                  </w:pPr>
                  <w:r>
                    <w:rPr>
                      <w:rFonts w:asciiTheme="majorBidi" w:hAnsiTheme="majorBidi" w:cstheme="majorBidi"/>
                      <w:lang w:bidi="ar-DZ"/>
                    </w:rPr>
                    <w:t>La chéme</w:t>
                  </w:r>
                  <w:r w:rsidR="00200A61" w:rsidRPr="00B1697F">
                    <w:rPr>
                      <w:rFonts w:asciiTheme="majorBidi" w:hAnsiTheme="majorBidi" w:cstheme="majorBidi"/>
                      <w:lang w:bidi="ar-DZ"/>
                    </w:rPr>
                    <w:t>rine et ses récepteurs sont exprimés dans les organes reproducteurs tels que les testicules, les ovaires et le placenta, suggérant un rôle dans les processus de reproduction. Des étu</w:t>
                  </w:r>
                  <w:r w:rsidR="008C46C9">
                    <w:rPr>
                      <w:rFonts w:asciiTheme="majorBidi" w:hAnsiTheme="majorBidi" w:cstheme="majorBidi"/>
                      <w:lang w:bidi="ar-DZ"/>
                    </w:rPr>
                    <w:t>des indiquent que la chéme</w:t>
                  </w:r>
                  <w:r w:rsidR="00200A61" w:rsidRPr="00B1697F">
                    <w:rPr>
                      <w:rFonts w:asciiTheme="majorBidi" w:hAnsiTheme="majorBidi" w:cstheme="majorBidi"/>
                      <w:lang w:bidi="ar-DZ"/>
                    </w:rPr>
                    <w:t>rine est impliquée dans la reproduction normale et pourrait contribuer à la pathogenèse des troubles de la reproduction tels que le syndrome des ovaires polykystiques, la prééclampsie et le cancer du sein.</w:t>
                  </w:r>
                </w:p>
              </w:tc>
            </w:tr>
            <w:tr w:rsidR="00200A61" w14:paraId="7FD121CD" w14:textId="77777777" w:rsidTr="00785C11">
              <w:tc>
                <w:tcPr>
                  <w:tcW w:w="4606" w:type="dxa"/>
                </w:tcPr>
                <w:p w14:paraId="1E83E52C" w14:textId="77777777" w:rsidR="00200A61" w:rsidRPr="00C3547E" w:rsidRDefault="00200A61" w:rsidP="00C3547E">
                  <w:pPr>
                    <w:jc w:val="left"/>
                    <w:rPr>
                      <w:rFonts w:asciiTheme="majorBidi" w:hAnsiTheme="majorBidi" w:cstheme="majorBidi"/>
                      <w:b/>
                      <w:bCs/>
                      <w:lang w:bidi="ar-DZ"/>
                    </w:rPr>
                  </w:pPr>
                  <w:r w:rsidRPr="00B1697F">
                    <w:rPr>
                      <w:rFonts w:asciiTheme="majorBidi" w:hAnsiTheme="majorBidi" w:cstheme="majorBidi"/>
                      <w:lang w:bidi="ar-DZ"/>
                    </w:rPr>
                    <w:lastRenderedPageBreak/>
                    <w:t> </w:t>
                  </w:r>
                  <w:r w:rsidRPr="00C3547E">
                    <w:rPr>
                      <w:rFonts w:asciiTheme="majorBidi" w:hAnsiTheme="majorBidi" w:cstheme="majorBidi"/>
                      <w:b/>
                      <w:bCs/>
                      <w:lang w:bidi="ar-DZ"/>
                    </w:rPr>
                    <w:t>Biologie complexe</w:t>
                  </w:r>
                </w:p>
              </w:tc>
              <w:tc>
                <w:tcPr>
                  <w:tcW w:w="4606" w:type="dxa"/>
                </w:tcPr>
                <w:p w14:paraId="44FB82AE" w14:textId="040D3A35" w:rsidR="00200A61" w:rsidRDefault="00200A61" w:rsidP="00C3547E">
                  <w:pPr>
                    <w:rPr>
                      <w:lang w:bidi="ar-DZ"/>
                    </w:rPr>
                  </w:pPr>
                  <w:r w:rsidRPr="00B1697F">
                    <w:rPr>
                      <w:lang w:bidi="ar-DZ"/>
                    </w:rPr>
                    <w:t>La c</w:t>
                  </w:r>
                  <w:r w:rsidR="007A5D7C">
                    <w:rPr>
                      <w:lang w:bidi="ar-DZ"/>
                    </w:rPr>
                    <w:t>héme</w:t>
                  </w:r>
                  <w:r w:rsidRPr="00B1697F">
                    <w:rPr>
                      <w:lang w:bidi="ar-DZ"/>
                    </w:rPr>
                    <w:t>rine existe sous plusieurs isoformes avec de</w:t>
                  </w:r>
                  <w:r w:rsidR="007A5D7C">
                    <w:rPr>
                      <w:lang w:bidi="ar-DZ"/>
                    </w:rPr>
                    <w:t xml:space="preserve">s bioactivités variables, et sa </w:t>
                  </w:r>
                  <w:r w:rsidRPr="00B1697F">
                    <w:rPr>
                      <w:lang w:bidi="ar-DZ"/>
                    </w:rPr>
                    <w:t>protéolyse C-terminale est cruciale pour sa fonction. Des peptides synthétiques dérivés de la chemérine ont montré une bioactivité dans différents systèmes modèles, indiquant l</w:t>
                  </w:r>
                  <w:r w:rsidR="007A5D7C">
                    <w:rPr>
                      <w:lang w:bidi="ar-DZ"/>
                    </w:rPr>
                    <w:t xml:space="preserve">eur potentiel </w:t>
                  </w:r>
                  <w:r w:rsidRPr="00B1697F">
                    <w:rPr>
                      <w:lang w:bidi="ar-DZ"/>
                    </w:rPr>
                    <w:t>pour des interventions expérimentales ou cliniques</w:t>
                  </w:r>
                  <w:r w:rsidR="00C3547E">
                    <w:rPr>
                      <w:lang w:bidi="ar-DZ"/>
                    </w:rPr>
                    <w:t>.</w:t>
                  </w:r>
                </w:p>
              </w:tc>
            </w:tr>
          </w:tbl>
          <w:p w14:paraId="7524B204" w14:textId="77777777" w:rsidR="00C3547E" w:rsidRDefault="00C3547E" w:rsidP="00932C82">
            <w:pPr>
              <w:ind w:firstLine="708"/>
              <w:rPr>
                <w:rFonts w:asciiTheme="majorBidi" w:hAnsiTheme="majorBidi" w:cstheme="majorBidi"/>
                <w:lang w:bidi="ar-DZ"/>
              </w:rPr>
            </w:pPr>
          </w:p>
          <w:p w14:paraId="1BCE4814" w14:textId="6ECCF293" w:rsidR="00C3547E" w:rsidRDefault="00C3547E" w:rsidP="00BE478E">
            <w:pPr>
              <w:pStyle w:val="Titre3"/>
              <w:outlineLvl w:val="2"/>
              <w:rPr>
                <w:lang w:bidi="ar-DZ"/>
              </w:rPr>
            </w:pPr>
            <w:bookmarkStart w:id="90" w:name="_Toc168302231"/>
            <w:bookmarkStart w:id="91" w:name="_Toc170226673"/>
            <w:r>
              <w:rPr>
                <w:lang w:bidi="ar-DZ"/>
              </w:rPr>
              <w:t>Résistine</w:t>
            </w:r>
            <w:bookmarkEnd w:id="90"/>
            <w:bookmarkEnd w:id="91"/>
          </w:p>
          <w:p w14:paraId="3B185FFE" w14:textId="26F1A81A" w:rsidR="00932C82" w:rsidRDefault="00932C82" w:rsidP="00C3547E">
            <w:pPr>
              <w:rPr>
                <w:rFonts w:asciiTheme="majorBidi" w:hAnsiTheme="majorBidi" w:cstheme="majorBidi"/>
                <w:lang w:bidi="ar-DZ"/>
              </w:rPr>
            </w:pPr>
            <w:r w:rsidRPr="00821FFD">
              <w:rPr>
                <w:rFonts w:asciiTheme="majorBidi" w:hAnsiTheme="majorBidi" w:cstheme="majorBidi"/>
                <w:lang w:bidi="ar-DZ"/>
              </w:rPr>
              <w:t>La résistine, découverte en 2001, est une adipokine appartenant à la famille des protéines riches en cystéines ou des protéines trouvées dans la zone inflammatoire 3 (FIZZ3). Le gène RETN de la résistine est localisé sur le chromosome 19 et code une protéine de 12,5 kDa chez l'Homme. Cette protéine présente une séquence mature finale de 108 acides aminés. Sur le plan structural, la résistine adopte une forme dimérique, composée de deux polypeptides de 92 acides aminés chacun, reliés par un pont disulfure. Ces dimères peuvent former des complexes de poids moléculaires variés, comprenant à la fois des structures de haut et de faible poids moléculaires</w:t>
            </w:r>
            <w:r>
              <w:rPr>
                <w:rFonts w:asciiTheme="majorBidi" w:hAnsiTheme="majorBidi" w:cstheme="majorBidi"/>
                <w:lang w:bidi="ar-DZ"/>
              </w:rPr>
              <w:t xml:space="preserve"> </w:t>
            </w:r>
            <w:r>
              <w:rPr>
                <w:rFonts w:asciiTheme="majorBidi" w:hAnsiTheme="majorBidi" w:cstheme="majorBidi"/>
                <w:color w:val="000000" w:themeColor="text1"/>
                <w:lang w:bidi="ar-DZ"/>
              </w:rPr>
              <w:t>(figure10</w:t>
            </w:r>
            <w:r w:rsidRPr="00932C82">
              <w:rPr>
                <w:rFonts w:asciiTheme="majorBidi" w:hAnsiTheme="majorBidi" w:cstheme="majorBidi"/>
                <w:color w:val="000000" w:themeColor="text1"/>
                <w:lang w:bidi="ar-DZ"/>
              </w:rPr>
              <w:t xml:space="preserve">). </w:t>
            </w:r>
            <w:r w:rsidRPr="00821FFD">
              <w:rPr>
                <w:rFonts w:asciiTheme="majorBidi" w:hAnsiTheme="majorBidi" w:cstheme="majorBidi"/>
                <w:lang w:bidi="ar-DZ"/>
              </w:rPr>
              <w:t>Cette</w:t>
            </w:r>
            <w:r>
              <w:rPr>
                <w:rFonts w:asciiTheme="majorBidi" w:hAnsiTheme="majorBidi" w:cstheme="majorBidi"/>
                <w:lang w:bidi="ar-DZ"/>
              </w:rPr>
              <w:t xml:space="preserve"> </w:t>
            </w:r>
            <w:r w:rsidRPr="00821FFD">
              <w:rPr>
                <w:rFonts w:asciiTheme="majorBidi" w:hAnsiTheme="majorBidi" w:cstheme="majorBidi"/>
                <w:lang w:bidi="ar-DZ"/>
              </w:rPr>
              <w:t xml:space="preserve">organisation moléculaire participe à la diversité fonctionnelle de la résistine et à son interaction avec d'autres composés biologiques (Estienne </w:t>
            </w:r>
            <w:r w:rsidRPr="00821FFD">
              <w:rPr>
                <w:rFonts w:asciiTheme="majorBidi" w:hAnsiTheme="majorBidi" w:cstheme="majorBidi"/>
                <w:i/>
                <w:iCs/>
                <w:lang w:bidi="ar-DZ"/>
              </w:rPr>
              <w:t>et al.,</w:t>
            </w:r>
            <w:r w:rsidRPr="00821FFD">
              <w:rPr>
                <w:rFonts w:asciiTheme="majorBidi" w:hAnsiTheme="majorBidi" w:cstheme="majorBidi"/>
                <w:lang w:bidi="ar-DZ"/>
              </w:rPr>
              <w:t xml:space="preserve"> 2019).</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63"/>
            </w:tblGrid>
            <w:tr w:rsidR="00932C82" w14:paraId="204907A4" w14:textId="77777777" w:rsidTr="00791EC1">
              <w:tc>
                <w:tcPr>
                  <w:tcW w:w="9263" w:type="dxa"/>
                </w:tcPr>
                <w:p w14:paraId="3606A13E" w14:textId="3F505C29" w:rsidR="00791EC1" w:rsidRPr="00651183" w:rsidRDefault="00791EC1" w:rsidP="00791EC1">
                  <w:pPr>
                    <w:pStyle w:val="Lgende"/>
                    <w:jc w:val="center"/>
                    <w:rPr>
                      <w:i w:val="0"/>
                      <w:iCs w:val="0"/>
                      <w:color w:val="000000" w:themeColor="text1"/>
                      <w:sz w:val="24"/>
                      <w:szCs w:val="24"/>
                      <w:lang w:bidi="ar-DZ"/>
                    </w:rPr>
                  </w:pPr>
                  <w:bookmarkStart w:id="92" w:name="_Toc167308117"/>
                  <w:r w:rsidRPr="00932C82">
                    <w:rPr>
                      <w:rFonts w:eastAsia="Calibri"/>
                      <w:noProof/>
                      <w:lang w:eastAsia="fr-FR"/>
                    </w:rPr>
                    <w:drawing>
                      <wp:anchor distT="0" distB="0" distL="114300" distR="114300" simplePos="0" relativeHeight="251674624" behindDoc="0" locked="0" layoutInCell="1" allowOverlap="1" wp14:anchorId="1FC61866" wp14:editId="056E1293">
                        <wp:simplePos x="0" y="0"/>
                        <wp:positionH relativeFrom="column">
                          <wp:posOffset>165100</wp:posOffset>
                        </wp:positionH>
                        <wp:positionV relativeFrom="paragraph">
                          <wp:posOffset>83185</wp:posOffset>
                        </wp:positionV>
                        <wp:extent cx="5203825" cy="2207895"/>
                        <wp:effectExtent l="0" t="0" r="0" b="1905"/>
                        <wp:wrapTopAndBottom/>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03825" cy="2207895"/>
                                </a:xfrm>
                                <a:prstGeom prst="rect">
                                  <a:avLst/>
                                </a:prstGeom>
                                <a:noFill/>
                              </pic:spPr>
                            </pic:pic>
                          </a:graphicData>
                        </a:graphic>
                        <wp14:sizeRelH relativeFrom="page">
                          <wp14:pctWidth>0</wp14:pctWidth>
                        </wp14:sizeRelH>
                        <wp14:sizeRelV relativeFrom="page">
                          <wp14:pctHeight>0</wp14:pctHeight>
                        </wp14:sizeRelV>
                      </wp:anchor>
                    </w:drawing>
                  </w:r>
                  <w:bookmarkEnd w:id="92"/>
                </w:p>
                <w:p w14:paraId="4D390A32" w14:textId="28D40D0A" w:rsidR="00932C82" w:rsidRDefault="00791EC1" w:rsidP="00791EC1">
                  <w:pPr>
                    <w:jc w:val="center"/>
                    <w:rPr>
                      <w:lang w:bidi="ar-DZ"/>
                    </w:rPr>
                  </w:pPr>
                  <w:r w:rsidRPr="00791EC1">
                    <w:rPr>
                      <w:b/>
                      <w:bCs/>
                      <w:lang w:bidi="ar-DZ"/>
                    </w:rPr>
                    <w:t>Figure 10.</w:t>
                  </w:r>
                  <w:r w:rsidRPr="00791EC1">
                    <w:rPr>
                      <w:lang w:bidi="ar-DZ"/>
                    </w:rPr>
                    <w:t xml:space="preserve"> La structure et </w:t>
                  </w:r>
                  <w:r w:rsidR="009C03B5" w:rsidRPr="00791EC1">
                    <w:rPr>
                      <w:lang w:bidi="ar-DZ"/>
                    </w:rPr>
                    <w:t>formes</w:t>
                  </w:r>
                  <w:r w:rsidRPr="00791EC1">
                    <w:rPr>
                      <w:lang w:bidi="ar-DZ"/>
                    </w:rPr>
                    <w:t xml:space="preserve"> spécifiques de résistine humain (Estienne </w:t>
                  </w:r>
                  <w:r w:rsidRPr="00B8364D">
                    <w:rPr>
                      <w:i/>
                      <w:iCs/>
                      <w:lang w:bidi="ar-DZ"/>
                    </w:rPr>
                    <w:t>et al.,</w:t>
                  </w:r>
                  <w:r w:rsidRPr="00791EC1">
                    <w:rPr>
                      <w:lang w:bidi="ar-DZ"/>
                    </w:rPr>
                    <w:t xml:space="preserve"> 2019).</w:t>
                  </w:r>
                </w:p>
              </w:tc>
            </w:tr>
          </w:tbl>
          <w:p w14:paraId="3F6B00C4" w14:textId="1E77591D" w:rsidR="00065B2D" w:rsidRPr="00651183" w:rsidRDefault="00651183" w:rsidP="00791EC1">
            <w:pPr>
              <w:rPr>
                <w:rFonts w:asciiTheme="majorBidi" w:hAnsiTheme="majorBidi" w:cstheme="majorBidi"/>
                <w:lang w:bidi="ar-DZ"/>
              </w:rPr>
            </w:pPr>
            <w:r w:rsidRPr="003A2FB0">
              <w:rPr>
                <w:rFonts w:asciiTheme="majorBidi" w:hAnsiTheme="majorBidi" w:cstheme="majorBidi"/>
                <w:lang w:bidi="ar-DZ"/>
              </w:rPr>
              <w:lastRenderedPageBreak/>
              <w:t>Son rôle dans le métabolisme du glucose, notamment son implication dans la résistance à l'insuline, en fait un sujet d'intérêt majeu</w:t>
            </w:r>
            <w:r>
              <w:rPr>
                <w:rFonts w:asciiTheme="majorBidi" w:hAnsiTheme="majorBidi" w:cstheme="majorBidi"/>
                <w:lang w:bidi="ar-DZ"/>
              </w:rPr>
              <w:t xml:space="preserve">r dans la recherche biomédicale </w:t>
            </w:r>
            <w:r w:rsidRPr="00D3669E">
              <w:rPr>
                <w:rFonts w:asciiTheme="majorBidi" w:hAnsiTheme="majorBidi" w:cstheme="majorBidi"/>
                <w:lang w:bidi="ar-DZ"/>
              </w:rPr>
              <w:t xml:space="preserve">(Estienne </w:t>
            </w:r>
            <w:r w:rsidRPr="00D3669E">
              <w:rPr>
                <w:rFonts w:asciiTheme="majorBidi" w:hAnsiTheme="majorBidi" w:cstheme="majorBidi"/>
                <w:i/>
                <w:iCs/>
                <w:lang w:bidi="ar-DZ"/>
              </w:rPr>
              <w:t>et al.,</w:t>
            </w:r>
            <w:r w:rsidRPr="00D3669E">
              <w:rPr>
                <w:rFonts w:asciiTheme="majorBidi" w:hAnsiTheme="majorBidi" w:cstheme="majorBidi"/>
                <w:lang w:bidi="ar-DZ"/>
              </w:rPr>
              <w:t xml:space="preserve"> 2019).</w:t>
            </w:r>
            <w:r>
              <w:rPr>
                <w:rFonts w:asciiTheme="majorBidi" w:hAnsiTheme="majorBidi" w:cstheme="majorBidi"/>
                <w:lang w:bidi="ar-DZ"/>
              </w:rPr>
              <w:t xml:space="preserve"> </w:t>
            </w:r>
            <w:r w:rsidRPr="002047E6">
              <w:rPr>
                <w:rFonts w:asciiTheme="majorBidi" w:hAnsiTheme="majorBidi" w:cstheme="majorBidi"/>
                <w:lang w:bidi="ar-DZ"/>
              </w:rPr>
              <w:t xml:space="preserve">Le rôle de la résistine dans la santé réside principalement dans son effet inflammatoire. Chez l'homme, il semble que la résistine participe à la stimulation de la sécrétion de cytokines inflammatoires telles que le TNFα, l'IL-1β et l'IL-6 dans les PBMC, ce qui signifie qu'elle contribue à l'inflammation corporelle. Cette inflammation peut être associée à plusieurs conditions de santé négatives, y compris l'obésité, les maladies cardiovasculaires et le diabète. De plus, il est supposé que l'élévation des niveaux de résistine dans la circulation sanguine peut être associée à certaines conditions telles que la résistance à l'insuline et les troubles métaboliques, ce qui reflète son rôle dans la promotion des conditions liées à l'obésité et au diabète. Ainsi, on peut dire que la résistine joue un rôle important dans la régulation de l'inflammation et des problèmes de santé associés à l'obésité, au diabète et aux troubles métaboliques (Feijóo-Bandín </w:t>
            </w:r>
            <w:r w:rsidRPr="002047E6">
              <w:rPr>
                <w:rFonts w:asciiTheme="majorBidi" w:hAnsiTheme="majorBidi" w:cstheme="majorBidi"/>
                <w:i/>
                <w:iCs/>
                <w:lang w:bidi="ar-DZ"/>
              </w:rPr>
              <w:t>et al.,</w:t>
            </w:r>
            <w:r w:rsidRPr="002047E6">
              <w:rPr>
                <w:rFonts w:asciiTheme="majorBidi" w:hAnsiTheme="majorBidi" w:cstheme="majorBidi"/>
                <w:lang w:bidi="ar-DZ"/>
              </w:rPr>
              <w:t xml:space="preserve"> 2020).</w:t>
            </w:r>
          </w:p>
        </w:tc>
      </w:tr>
    </w:tbl>
    <w:p w14:paraId="66506867" w14:textId="484E435E" w:rsidR="008C2490" w:rsidRPr="00792E57" w:rsidRDefault="00792E57" w:rsidP="00F662F4">
      <w:pPr>
        <w:pStyle w:val="Titre3"/>
        <w:rPr>
          <w:lang w:bidi="ar-DZ"/>
        </w:rPr>
      </w:pPr>
      <w:bookmarkStart w:id="93" w:name="_Toc167472757"/>
      <w:bookmarkStart w:id="94" w:name="_Toc168302232"/>
      <w:bookmarkStart w:id="95" w:name="_Toc170226674"/>
      <w:r>
        <w:lastRenderedPageBreak/>
        <w:t>O</w:t>
      </w:r>
      <w:r w:rsidR="008C2490" w:rsidRPr="00792E57">
        <w:t>mentine</w:t>
      </w:r>
      <w:bookmarkEnd w:id="93"/>
      <w:bookmarkEnd w:id="94"/>
      <w:bookmarkEnd w:id="95"/>
    </w:p>
    <w:p w14:paraId="35C21AC6" w14:textId="77777777" w:rsidR="008C2490" w:rsidRDefault="008C2490" w:rsidP="008C2490">
      <w:pPr>
        <w:rPr>
          <w:rFonts w:asciiTheme="majorBidi" w:hAnsiTheme="majorBidi" w:cstheme="majorBidi"/>
        </w:rPr>
      </w:pPr>
      <w:r w:rsidRPr="00790BB8">
        <w:rPr>
          <w:rFonts w:asciiTheme="majorBidi" w:hAnsiTheme="majorBidi" w:cstheme="majorBidi"/>
        </w:rPr>
        <w:t xml:space="preserve">L’homologue de l’omentine-1, avec 83% d’identité d’acides aminés, est l’omentine-2. Les deux gènes de l’omentine-1 et de l’omentine-2 sont situés dans la région chromosomique 1q22-q23, la région associée à l’apparition de la DM2. Le récepteur de l’omentine n’a pas encore été identifié. L’analyse de la séquence protéique a révélé que l’ARNm de l’omentine code pour un peptide de 34 kDa de 313 acides aminés contenant une séquence de signal sécrétoire et un domaine lié au fibrinogène. L’analyse par transfert de Northern a montré que l’ARNm de l’omentine était exprimé principalement dans la TVA, mais que l’omentine était à peine détectable dans les réserves de graisse sous-cutanées chez l’homme et le singe rhésus (Radzik-Zając </w:t>
      </w:r>
      <w:r w:rsidRPr="00790BB8">
        <w:rPr>
          <w:rFonts w:asciiTheme="majorBidi" w:hAnsiTheme="majorBidi" w:cstheme="majorBidi"/>
          <w:i/>
          <w:iCs/>
        </w:rPr>
        <w:t>et al.,</w:t>
      </w:r>
      <w:r w:rsidRPr="00790BB8">
        <w:rPr>
          <w:rFonts w:asciiTheme="majorBidi" w:hAnsiTheme="majorBidi" w:cstheme="majorBidi"/>
        </w:rPr>
        <w:t xml:space="preserve"> 2023). </w:t>
      </w:r>
      <w:r>
        <w:rPr>
          <w:rFonts w:asciiTheme="majorBidi" w:hAnsiTheme="majorBidi" w:cstheme="majorBidi"/>
        </w:rPr>
        <w:t>L</w:t>
      </w:r>
      <w:r w:rsidRPr="00790BB8">
        <w:rPr>
          <w:rFonts w:asciiTheme="majorBidi" w:hAnsiTheme="majorBidi" w:cstheme="majorBidi"/>
        </w:rPr>
        <w:t xml:space="preserve">'influence importante de l'omentine-1 sur les processus métaboliques de l'organisme, y compris la sensibilité à l'insuline et les effets anti-inflammatoires, anti-athérosclérotiques et de protection cardiovasculaire. Dans sa forme native, elle existe sous la forme d'un trimère glycosylé d'un poids moléculaire d'environ 120 kDa (Dec </w:t>
      </w:r>
      <w:r w:rsidRPr="00790BB8">
        <w:rPr>
          <w:rFonts w:asciiTheme="majorBidi" w:hAnsiTheme="majorBidi" w:cstheme="majorBidi"/>
          <w:i/>
          <w:iCs/>
        </w:rPr>
        <w:t>et al.,</w:t>
      </w:r>
      <w:r w:rsidRPr="00790BB8">
        <w:rPr>
          <w:rFonts w:asciiTheme="majorBidi" w:hAnsiTheme="majorBidi" w:cstheme="majorBidi"/>
        </w:rPr>
        <w:t xml:space="preserve"> 2023).</w:t>
      </w:r>
    </w:p>
    <w:p w14:paraId="2764C799" w14:textId="761E9C22" w:rsidR="008C2490" w:rsidRPr="00792E57" w:rsidRDefault="008C2490" w:rsidP="00F662F4">
      <w:pPr>
        <w:pStyle w:val="Titre3"/>
      </w:pPr>
      <w:r w:rsidRPr="00792E57">
        <w:t xml:space="preserve"> </w:t>
      </w:r>
      <w:bookmarkStart w:id="96" w:name="_Toc167472758"/>
      <w:bookmarkStart w:id="97" w:name="_Toc168302233"/>
      <w:bookmarkStart w:id="98" w:name="_Toc170226675"/>
      <w:r w:rsidR="00792E57">
        <w:t>V</w:t>
      </w:r>
      <w:r w:rsidRPr="00792E57">
        <w:t>aspine</w:t>
      </w:r>
      <w:bookmarkEnd w:id="96"/>
      <w:bookmarkEnd w:id="97"/>
      <w:bookmarkEnd w:id="98"/>
    </w:p>
    <w:p w14:paraId="4C80057A" w14:textId="77777777" w:rsidR="008C2490" w:rsidRDefault="008C2490" w:rsidP="008C2490">
      <w:pPr>
        <w:rPr>
          <w:rFonts w:asciiTheme="majorBidi" w:hAnsiTheme="majorBidi" w:cstheme="majorBidi"/>
        </w:rPr>
      </w:pPr>
      <w:r w:rsidRPr="00790BB8">
        <w:rPr>
          <w:rFonts w:asciiTheme="majorBidi" w:hAnsiTheme="majorBidi" w:cstheme="majorBidi"/>
        </w:rPr>
        <w:t xml:space="preserve">La vaspine est une adipokine appartenant à la famille des serpines, également appelée SERPINA12, dont les cibles sont les kallikréines 7 et 14, qui participent à la desquamation de la peau. Il est intéressant de noter que les interactions vaspine-héparine accélèrent l'inhibition de la kallikréine 7. Cette adipokine présente tous les domaines structurels typiques des serpines natives avec trois feuillets β, neuf hélices α et une boucle centrale réactive (RCL) flexible, </w:t>
      </w:r>
      <w:r w:rsidRPr="00790BB8">
        <w:rPr>
          <w:rFonts w:asciiTheme="majorBidi" w:hAnsiTheme="majorBidi" w:cstheme="majorBidi"/>
        </w:rPr>
        <w:lastRenderedPageBreak/>
        <w:t xml:space="preserve">contenant une séquence de reconnaissance de la protéase au sommet. Dans sa séquence d'acides aminés, la vaspine présente une homologie de </w:t>
      </w:r>
      <w:r>
        <w:rPr>
          <w:rFonts w:asciiTheme="majorBidi" w:hAnsiTheme="majorBidi" w:cstheme="majorBidi"/>
        </w:rPr>
        <w:t xml:space="preserve">40,5 % avec l'α1-antitrypsine. </w:t>
      </w:r>
      <w:r w:rsidRPr="00E07E37">
        <w:rPr>
          <w:rFonts w:asciiTheme="majorBidi" w:hAnsiTheme="majorBidi" w:cstheme="majorBidi"/>
        </w:rPr>
        <w:t xml:space="preserve">La vaspine est exprimée dans les tissus endocriniens, notamment l'hypothalamus, le pancréas, le tissu adipeux, les ovaires, le placenta et les testicules. Son action dans l'organisme est liée à la régulation de la sensibilité à l'insuline, de la différenciation préadipocytaire, de la synthèse des stéroïdes et de la maturation des ovocytes, en plus des fonctions adipokines décrites, telles que la régulation de la prolifération et de l'apoptose et la formation, l'angiogenèse et la régression des cellules adipeuses. </w:t>
      </w:r>
      <w:r>
        <w:rPr>
          <w:rFonts w:asciiTheme="majorBidi" w:hAnsiTheme="majorBidi" w:cstheme="majorBidi"/>
        </w:rPr>
        <w:t>(</w:t>
      </w:r>
      <w:r w:rsidRPr="00E07E37">
        <w:rPr>
          <w:rFonts w:asciiTheme="majorBidi" w:hAnsiTheme="majorBidi" w:cstheme="majorBidi"/>
        </w:rPr>
        <w:t>Kurowska</w:t>
      </w:r>
      <w:r>
        <w:rPr>
          <w:rFonts w:asciiTheme="majorBidi" w:hAnsiTheme="majorBidi" w:cstheme="majorBidi"/>
        </w:rPr>
        <w:t xml:space="preserve"> </w:t>
      </w:r>
      <w:r w:rsidRPr="00D6712B">
        <w:rPr>
          <w:rFonts w:asciiTheme="majorBidi" w:hAnsiTheme="majorBidi" w:cstheme="majorBidi"/>
          <w:i/>
          <w:iCs/>
        </w:rPr>
        <w:t>et al.,</w:t>
      </w:r>
      <w:r>
        <w:rPr>
          <w:rFonts w:asciiTheme="majorBidi" w:hAnsiTheme="majorBidi" w:cstheme="majorBidi"/>
        </w:rPr>
        <w:t xml:space="preserve"> 2021).</w:t>
      </w:r>
    </w:p>
    <w:p w14:paraId="5EB3AF7D" w14:textId="77777777" w:rsidR="008C2490" w:rsidRPr="008C2490" w:rsidRDefault="008C2490" w:rsidP="008C2490"/>
    <w:p w14:paraId="4223BD47" w14:textId="77777777" w:rsidR="008C2490" w:rsidRPr="008C2490" w:rsidRDefault="008C2490" w:rsidP="008C2490">
      <w:pPr>
        <w:rPr>
          <w:lang w:bidi="ar-DZ"/>
        </w:rPr>
      </w:pPr>
    </w:p>
    <w:p w14:paraId="0FA14DDF" w14:textId="77777777" w:rsidR="008C2490" w:rsidRPr="008C2490" w:rsidRDefault="008C2490" w:rsidP="008C2490">
      <w:pPr>
        <w:rPr>
          <w:lang w:bidi="ar-DZ"/>
        </w:rPr>
      </w:pPr>
    </w:p>
    <w:p w14:paraId="35428852" w14:textId="77777777" w:rsidR="008C2490" w:rsidRPr="008C2490" w:rsidRDefault="008C2490" w:rsidP="008C2490">
      <w:pPr>
        <w:rPr>
          <w:lang w:bidi="ar-DZ"/>
        </w:rPr>
      </w:pPr>
    </w:p>
    <w:p w14:paraId="70E91C8E" w14:textId="77777777" w:rsidR="008C2490" w:rsidRPr="008C2490" w:rsidRDefault="008C2490" w:rsidP="008C2490">
      <w:pPr>
        <w:rPr>
          <w:lang w:bidi="ar-DZ"/>
        </w:rPr>
      </w:pPr>
    </w:p>
    <w:p w14:paraId="444429E9" w14:textId="77777777" w:rsidR="008C2490" w:rsidRPr="008C2490" w:rsidRDefault="008C2490" w:rsidP="008C2490">
      <w:pPr>
        <w:rPr>
          <w:lang w:bidi="ar-DZ"/>
        </w:rPr>
      </w:pPr>
    </w:p>
    <w:p w14:paraId="69399D6B" w14:textId="77777777" w:rsidR="008C2490" w:rsidRPr="008C2490" w:rsidRDefault="008C2490" w:rsidP="008C2490">
      <w:pPr>
        <w:rPr>
          <w:lang w:bidi="ar-DZ"/>
        </w:rPr>
      </w:pPr>
    </w:p>
    <w:p w14:paraId="41AF89C5" w14:textId="77777777" w:rsidR="00B91DF5" w:rsidRPr="00B91DF5" w:rsidRDefault="00B91DF5" w:rsidP="00B91DF5">
      <w:pPr>
        <w:rPr>
          <w:lang w:bidi="ar-DZ"/>
        </w:rPr>
      </w:pPr>
    </w:p>
    <w:p w14:paraId="24306775" w14:textId="7E15F003" w:rsidR="009F491A" w:rsidRPr="009F491A" w:rsidRDefault="009F491A" w:rsidP="005D4197">
      <w:pPr>
        <w:pStyle w:val="Titre3"/>
        <w:numPr>
          <w:ilvl w:val="0"/>
          <w:numId w:val="0"/>
        </w:numPr>
        <w:ind w:left="852" w:hanging="284"/>
        <w:rPr>
          <w:lang w:bidi="ar-DZ"/>
        </w:rPr>
      </w:pPr>
    </w:p>
    <w:p w14:paraId="01D578B1" w14:textId="77777777" w:rsidR="009F491A" w:rsidRPr="009F491A" w:rsidRDefault="009F491A" w:rsidP="009F491A"/>
    <w:p w14:paraId="0DE20784" w14:textId="4BF9FA0A" w:rsidR="00962521" w:rsidRDefault="00962521">
      <w:pPr>
        <w:spacing w:before="0" w:after="160" w:line="259" w:lineRule="auto"/>
        <w:jc w:val="left"/>
      </w:pPr>
    </w:p>
    <w:p w14:paraId="6300130A" w14:textId="6183789B" w:rsidR="00962521" w:rsidRPr="00382403" w:rsidRDefault="00962521" w:rsidP="005D4197">
      <w:pPr>
        <w:spacing w:before="0" w:after="160" w:line="259" w:lineRule="auto"/>
        <w:jc w:val="left"/>
        <w:sectPr w:rsidR="00962521" w:rsidRPr="00382403" w:rsidSect="008762BC">
          <w:headerReference w:type="default" r:id="rId34"/>
          <w:footerReference w:type="default" r:id="rId35"/>
          <w:pgSz w:w="11906" w:h="16838" w:code="9"/>
          <w:pgMar w:top="1134" w:right="1134" w:bottom="1134" w:left="1418" w:header="567" w:footer="567" w:gutter="0"/>
          <w:pgNumType w:start="8"/>
          <w:cols w:space="720"/>
          <w:docGrid w:linePitch="360"/>
        </w:sectPr>
      </w:pPr>
    </w:p>
    <w:p w14:paraId="6F63DCCE" w14:textId="77777777" w:rsidR="00962521" w:rsidRPr="00382403" w:rsidRDefault="00962521" w:rsidP="00962521">
      <w:pPr>
        <w:jc w:val="center"/>
        <w:rPr>
          <w:rFonts w:asciiTheme="majorBidi" w:hAnsiTheme="majorBidi" w:cstheme="majorBidi"/>
          <w:b/>
          <w:bCs/>
          <w:sz w:val="72"/>
          <w:szCs w:val="72"/>
        </w:rPr>
      </w:pPr>
    </w:p>
    <w:p w14:paraId="50BB0711" w14:textId="77777777" w:rsidR="00962521" w:rsidRPr="00382403" w:rsidRDefault="00962521" w:rsidP="00962521">
      <w:pPr>
        <w:jc w:val="center"/>
        <w:rPr>
          <w:rFonts w:asciiTheme="majorBidi" w:hAnsiTheme="majorBidi" w:cstheme="majorBidi"/>
          <w:b/>
          <w:bCs/>
          <w:sz w:val="72"/>
          <w:szCs w:val="72"/>
        </w:rPr>
      </w:pPr>
    </w:p>
    <w:p w14:paraId="6B4DFB48" w14:textId="77777777" w:rsidR="00962521" w:rsidRPr="00382403" w:rsidRDefault="00962521" w:rsidP="00962521">
      <w:pPr>
        <w:jc w:val="center"/>
        <w:rPr>
          <w:rFonts w:asciiTheme="majorBidi" w:hAnsiTheme="majorBidi" w:cstheme="majorBidi"/>
          <w:b/>
          <w:bCs/>
          <w:sz w:val="72"/>
          <w:szCs w:val="72"/>
        </w:rPr>
      </w:pPr>
    </w:p>
    <w:p w14:paraId="1274EDE6" w14:textId="77777777" w:rsidR="00962521" w:rsidRPr="00382403" w:rsidRDefault="00962521" w:rsidP="00962521">
      <w:pPr>
        <w:jc w:val="center"/>
        <w:rPr>
          <w:rFonts w:asciiTheme="majorBidi" w:hAnsiTheme="majorBidi" w:cstheme="majorBidi"/>
          <w:b/>
          <w:bCs/>
          <w:sz w:val="72"/>
          <w:szCs w:val="72"/>
        </w:rPr>
      </w:pPr>
    </w:p>
    <w:p w14:paraId="6DAC4AAD" w14:textId="12020648" w:rsidR="00962521" w:rsidRPr="00382403" w:rsidRDefault="00962521" w:rsidP="00F662F4">
      <w:pPr>
        <w:jc w:val="center"/>
        <w:rPr>
          <w:rFonts w:asciiTheme="majorBidi" w:hAnsiTheme="majorBidi" w:cstheme="majorBidi"/>
          <w:b/>
          <w:bCs/>
          <w:sz w:val="72"/>
          <w:szCs w:val="72"/>
        </w:rPr>
        <w:sectPr w:rsidR="00962521" w:rsidRPr="00382403" w:rsidSect="009F4854">
          <w:headerReference w:type="default" r:id="rId36"/>
          <w:footerReference w:type="default" r:id="rId37"/>
          <w:pgSz w:w="11906" w:h="16838" w:code="9"/>
          <w:pgMar w:top="1134" w:right="1134" w:bottom="1134" w:left="1418" w:header="567" w:footer="567" w:gutter="0"/>
          <w:pgNumType w:start="22"/>
          <w:cols w:space="720"/>
          <w:docGrid w:linePitch="360"/>
        </w:sectPr>
      </w:pPr>
      <w:r w:rsidRPr="00382403">
        <w:rPr>
          <w:rFonts w:asciiTheme="majorBidi" w:hAnsiTheme="majorBidi" w:cstheme="majorBidi"/>
          <w:b/>
          <w:bCs/>
          <w:sz w:val="72"/>
          <w:szCs w:val="72"/>
        </w:rPr>
        <w:t xml:space="preserve">Chapitre III : </w:t>
      </w:r>
      <w:r w:rsidR="00F662F4" w:rsidRPr="00F662F4">
        <w:rPr>
          <w:rFonts w:asciiTheme="majorBidi" w:hAnsiTheme="majorBidi" w:cstheme="majorBidi"/>
          <w:b/>
          <w:bCs/>
          <w:sz w:val="72"/>
          <w:szCs w:val="72"/>
        </w:rPr>
        <w:t>Implication des adipokines dans la physiopathologie de différentes maladies</w:t>
      </w:r>
    </w:p>
    <w:p w14:paraId="52DCE66A" w14:textId="60F25803" w:rsidR="00962521" w:rsidRDefault="0048053E" w:rsidP="000F16F7">
      <w:pPr>
        <w:pStyle w:val="Titre1"/>
        <w:tabs>
          <w:tab w:val="left" w:pos="3544"/>
        </w:tabs>
      </w:pPr>
      <w:bookmarkStart w:id="99" w:name="_Toc167472759"/>
      <w:bookmarkStart w:id="100" w:name="_Toc168302234"/>
      <w:bookmarkStart w:id="101" w:name="_Toc170226676"/>
      <w:r>
        <w:lastRenderedPageBreak/>
        <w:t xml:space="preserve">Implication des </w:t>
      </w:r>
      <w:r w:rsidR="009278DD" w:rsidRPr="009278DD">
        <w:t>adipokines dans la physiopathologie de différentes maladies</w:t>
      </w:r>
      <w:bookmarkEnd w:id="99"/>
      <w:bookmarkEnd w:id="100"/>
      <w:bookmarkEnd w:id="101"/>
    </w:p>
    <w:p w14:paraId="49A4BA51" w14:textId="4ED0EC82" w:rsidR="003C07C1" w:rsidRDefault="003C07C1" w:rsidP="00BF3269">
      <w:pPr>
        <w:rPr>
          <w:rFonts w:asciiTheme="majorBidi" w:hAnsiTheme="majorBidi" w:cstheme="majorBidi"/>
          <w:lang w:bidi="ar-DZ"/>
        </w:rPr>
      </w:pPr>
      <w:r w:rsidRPr="009558AE">
        <w:rPr>
          <w:rFonts w:asciiTheme="majorBidi" w:hAnsiTheme="majorBidi" w:cstheme="majorBidi"/>
          <w:lang w:bidi="ar-DZ"/>
        </w:rPr>
        <w:t>Le rôle des adipokines dans la physiopathologie de différentes malad</w:t>
      </w:r>
      <w:r w:rsidR="00BF3269">
        <w:rPr>
          <w:rFonts w:asciiTheme="majorBidi" w:hAnsiTheme="majorBidi" w:cstheme="majorBidi"/>
          <w:lang w:bidi="ar-DZ"/>
        </w:rPr>
        <w:t>ies est le sujet de cette étude</w:t>
      </w:r>
      <w:r w:rsidRPr="009558AE">
        <w:rPr>
          <w:rFonts w:asciiTheme="majorBidi" w:hAnsiTheme="majorBidi" w:cstheme="majorBidi"/>
          <w:lang w:bidi="ar-DZ"/>
        </w:rPr>
        <w:t>. Les adipokines, des molécules sécrétées par les cellules adipeuses, jouent un rôle essentiel dans la régulation de divers processus physiologiques. Leur implication dans le développement de maladies est de plus en plus étudiée, des</w:t>
      </w:r>
      <w:r w:rsidR="00BF3269">
        <w:rPr>
          <w:rFonts w:asciiTheme="majorBidi" w:hAnsiTheme="majorBidi" w:cstheme="majorBidi"/>
          <w:lang w:bidi="ar-DZ"/>
        </w:rPr>
        <w:t xml:space="preserve"> adipokines ont impact sur la santé ont</w:t>
      </w:r>
      <w:r w:rsidRPr="009558AE">
        <w:rPr>
          <w:rFonts w:asciiTheme="majorBidi" w:hAnsiTheme="majorBidi" w:cstheme="majorBidi"/>
          <w:lang w:bidi="ar-DZ"/>
        </w:rPr>
        <w:t xml:space="preserve"> relation avec l'obésité et le diabète et ainsi autre m</w:t>
      </w:r>
      <w:r>
        <w:rPr>
          <w:rFonts w:asciiTheme="majorBidi" w:hAnsiTheme="majorBidi" w:cstheme="majorBidi"/>
          <w:lang w:bidi="ar-DZ"/>
        </w:rPr>
        <w:t xml:space="preserve">aladies tels que les maladies CV </w:t>
      </w:r>
      <w:r w:rsidRPr="009558AE">
        <w:rPr>
          <w:rFonts w:asciiTheme="majorBidi" w:hAnsiTheme="majorBidi" w:cstheme="majorBidi"/>
          <w:lang w:bidi="ar-DZ"/>
        </w:rPr>
        <w:t xml:space="preserve">et inflammatoires. En comprenant mieux le rôle de ces molécules, il sera possible de développer de nouvelles stratégies de prévention et </w:t>
      </w:r>
      <w:r>
        <w:rPr>
          <w:rFonts w:asciiTheme="majorBidi" w:hAnsiTheme="majorBidi" w:cstheme="majorBidi"/>
          <w:lang w:bidi="ar-DZ"/>
        </w:rPr>
        <w:t>de traitement pour ces maladies.</w:t>
      </w:r>
    </w:p>
    <w:p w14:paraId="0E9B0479" w14:textId="42F7901D" w:rsidR="005C1A7C" w:rsidRDefault="003C07C1" w:rsidP="003C07C1">
      <w:pPr>
        <w:pStyle w:val="Titre2"/>
      </w:pPr>
      <w:bookmarkStart w:id="102" w:name="_Toc167472760"/>
      <w:bookmarkStart w:id="103" w:name="_Toc168302235"/>
      <w:bookmarkStart w:id="104" w:name="_Toc170226677"/>
      <w:r>
        <w:t>L’obésité</w:t>
      </w:r>
      <w:bookmarkEnd w:id="102"/>
      <w:bookmarkEnd w:id="103"/>
      <w:bookmarkEnd w:id="104"/>
      <w:r>
        <w:t xml:space="preserve"> </w:t>
      </w:r>
    </w:p>
    <w:p w14:paraId="08314C1A" w14:textId="73806CE9" w:rsidR="00651183" w:rsidRPr="00651183" w:rsidRDefault="00651183" w:rsidP="001A3465">
      <w:r w:rsidRPr="00651183">
        <w:t xml:space="preserve">Un état obèse est une situation d’inflammation chronique dans l’organisme caractérisée par une augmentation marquée des niveaux de cytokines inflammatoires IL6, IL8, TNFα et leptine, qui sont directement connues pour inhiber la transcription de l’adiponectine (Sheetal Parida </w:t>
      </w:r>
      <w:r w:rsidRPr="00651183">
        <w:rPr>
          <w:i/>
          <w:iCs/>
        </w:rPr>
        <w:t>et al</w:t>
      </w:r>
      <w:r w:rsidRPr="00651183">
        <w:t>., 2019).</w:t>
      </w:r>
    </w:p>
    <w:p w14:paraId="4CD2A96B" w14:textId="2B301C2C" w:rsidR="003C07C1" w:rsidRPr="00CC07A1" w:rsidRDefault="003C07C1" w:rsidP="00CC07A1">
      <w:pPr>
        <w:pStyle w:val="Titre3"/>
        <w:numPr>
          <w:ilvl w:val="0"/>
          <w:numId w:val="0"/>
        </w:numPr>
        <w:rPr>
          <w:b/>
          <w:bCs/>
        </w:rPr>
      </w:pPr>
      <w:bookmarkStart w:id="105" w:name="_Toc167098645"/>
      <w:bookmarkStart w:id="106" w:name="_Toc167472761"/>
      <w:bookmarkStart w:id="107" w:name="_Toc168301529"/>
      <w:bookmarkStart w:id="108" w:name="_Toc168302236"/>
      <w:bookmarkStart w:id="109" w:name="_Toc170226678"/>
      <w:r w:rsidRPr="00CC07A1">
        <w:rPr>
          <w:b/>
          <w:bCs/>
          <w:lang w:bidi="ar-DZ"/>
        </w:rPr>
        <w:t>Adiponectine</w:t>
      </w:r>
      <w:bookmarkEnd w:id="105"/>
      <w:bookmarkEnd w:id="106"/>
      <w:r w:rsidR="00CC07A1">
        <w:rPr>
          <w:b/>
          <w:bCs/>
          <w:lang w:bidi="ar-DZ"/>
        </w:rPr>
        <w:t> :</w:t>
      </w:r>
      <w:bookmarkEnd w:id="107"/>
      <w:bookmarkEnd w:id="108"/>
      <w:bookmarkEnd w:id="109"/>
    </w:p>
    <w:p w14:paraId="29A4460E" w14:textId="250FDDDA" w:rsidR="003C07C1" w:rsidRDefault="00CC07A1" w:rsidP="00CC07A1">
      <w:pPr>
        <w:jc w:val="left"/>
        <w:rPr>
          <w:rFonts w:asciiTheme="majorBidi" w:hAnsiTheme="majorBidi" w:cstheme="majorBidi"/>
          <w:lang w:bidi="ar-DZ"/>
        </w:rPr>
      </w:pPr>
      <w:r>
        <w:rPr>
          <w:rFonts w:asciiTheme="majorBidi" w:hAnsiTheme="majorBidi" w:cstheme="majorBidi"/>
          <w:lang w:bidi="ar-DZ"/>
        </w:rPr>
        <w:t>l</w:t>
      </w:r>
      <w:r w:rsidR="003C07C1" w:rsidRPr="00BE0092">
        <w:rPr>
          <w:rFonts w:asciiTheme="majorBidi" w:hAnsiTheme="majorBidi" w:cstheme="majorBidi"/>
          <w:lang w:bidi="ar-DZ"/>
        </w:rPr>
        <w:t>e rôle le plus important et le mieux compris de l’adiponectine est la sensibilisation à l’insuline dans les muscles squelettiques. L’augmentation de la masse grasse viscérale abaisse les niveaux systémiques d’adiponectine, créant une résistance à l’insuline dans le muscle squelettique, tandis que la signalisation du glucose en réponse à la prise alimentaire stimule une sécrétion élevée d’insuline par le pancréas, libre du contrôle régulateur de l’adiponectine en raison de ses concentrations circulantes plus faibles. Il en résulte une conversion accrue du glucose et du glycogène en graisses, qui sont ensuite absorbées par les muscles squelettiques, entraînant une accumulation intramusculaire de graisse, typique du diabète de type 2. Par conséquent, un cercle vicieux s’initie dans lequel une adiposité accrue provoque une baisse des niveaux d’adiponectine qui à son tour entraîne une accumulation de graisse dans les muscles et les organes vitaux comme le foie, ce qui abaisse e</w:t>
      </w:r>
      <w:r w:rsidR="003C07C1">
        <w:rPr>
          <w:rFonts w:asciiTheme="majorBidi" w:hAnsiTheme="majorBidi" w:cstheme="majorBidi"/>
          <w:lang w:bidi="ar-DZ"/>
        </w:rPr>
        <w:t>ncore les niveaux d’adiponectin</w:t>
      </w:r>
      <w:r w:rsidR="003C07C1" w:rsidRPr="00BE0092">
        <w:rPr>
          <w:rFonts w:asciiTheme="majorBidi" w:hAnsiTheme="majorBidi" w:cstheme="majorBidi"/>
          <w:lang w:bidi="ar-DZ"/>
        </w:rPr>
        <w:t>, laissant la place aux maladies cardiovasculaires et à l’athérosclérose. Encore une fois, des différences spécifiques au sexe sont évidentes puisque des taux d'adiponectine plus faibles ont été enregistrés chez les hommes diabétiques par rapport aux femmes, ce qui a été partiellement attribué à des taux de testostérone plus élevés chez les hommes</w:t>
      </w:r>
      <w:r w:rsidR="003C07C1">
        <w:rPr>
          <w:rFonts w:asciiTheme="majorBidi" w:hAnsiTheme="majorBidi" w:cstheme="majorBidi"/>
          <w:lang w:bidi="ar-DZ"/>
        </w:rPr>
        <w:t xml:space="preserve"> (</w:t>
      </w:r>
      <w:r w:rsidR="003C07C1" w:rsidRPr="00EE486A">
        <w:rPr>
          <w:rFonts w:asciiTheme="majorBidi" w:hAnsiTheme="majorBidi" w:cstheme="majorBidi"/>
        </w:rPr>
        <w:t>Sheetal</w:t>
      </w:r>
      <w:r w:rsidR="003C07C1" w:rsidRPr="00EE486A">
        <w:rPr>
          <w:rFonts w:asciiTheme="majorBidi" w:hAnsiTheme="majorBidi" w:cstheme="majorBidi"/>
          <w:lang w:bidi="ar-DZ"/>
        </w:rPr>
        <w:t xml:space="preserve"> Parida</w:t>
      </w:r>
      <w:r w:rsidR="003C07C1">
        <w:rPr>
          <w:rFonts w:asciiTheme="majorBidi" w:hAnsiTheme="majorBidi" w:cstheme="majorBidi"/>
          <w:lang w:bidi="ar-DZ"/>
        </w:rPr>
        <w:t xml:space="preserve"> </w:t>
      </w:r>
      <w:r w:rsidR="003C07C1" w:rsidRPr="00EE486A">
        <w:rPr>
          <w:rFonts w:asciiTheme="majorBidi" w:hAnsiTheme="majorBidi" w:cstheme="majorBidi"/>
          <w:i/>
          <w:iCs/>
          <w:lang w:bidi="ar-DZ"/>
        </w:rPr>
        <w:t>et al</w:t>
      </w:r>
      <w:r w:rsidR="003C07C1">
        <w:rPr>
          <w:rFonts w:asciiTheme="majorBidi" w:hAnsiTheme="majorBidi" w:cstheme="majorBidi"/>
          <w:lang w:bidi="ar-DZ"/>
        </w:rPr>
        <w:t>., 2019).</w:t>
      </w:r>
    </w:p>
    <w:p w14:paraId="654EC15F" w14:textId="58430516" w:rsidR="003C07C1" w:rsidRPr="00CC07A1" w:rsidRDefault="003C07C1" w:rsidP="00CC07A1">
      <w:pPr>
        <w:pStyle w:val="Titre3"/>
        <w:numPr>
          <w:ilvl w:val="0"/>
          <w:numId w:val="0"/>
        </w:numPr>
        <w:rPr>
          <w:b/>
          <w:bCs/>
          <w:lang w:bidi="ar-DZ"/>
        </w:rPr>
      </w:pPr>
      <w:bookmarkStart w:id="110" w:name="_Toc167098646"/>
      <w:bookmarkStart w:id="111" w:name="_Toc167472762"/>
      <w:bookmarkStart w:id="112" w:name="_Toc168301530"/>
      <w:bookmarkStart w:id="113" w:name="_Toc168302237"/>
      <w:bookmarkStart w:id="114" w:name="_Toc170226679"/>
      <w:r w:rsidRPr="00CC07A1">
        <w:rPr>
          <w:b/>
          <w:bCs/>
          <w:lang w:bidi="ar-DZ"/>
        </w:rPr>
        <w:lastRenderedPageBreak/>
        <w:t>Leptine</w:t>
      </w:r>
      <w:bookmarkEnd w:id="110"/>
      <w:bookmarkEnd w:id="111"/>
      <w:r w:rsidR="00CC07A1">
        <w:rPr>
          <w:b/>
          <w:bCs/>
          <w:lang w:bidi="ar-DZ"/>
        </w:rPr>
        <w:t> :</w:t>
      </w:r>
      <w:bookmarkEnd w:id="112"/>
      <w:bookmarkEnd w:id="113"/>
      <w:bookmarkEnd w:id="114"/>
    </w:p>
    <w:p w14:paraId="195D51A0" w14:textId="56C42777" w:rsidR="003C07C1" w:rsidRDefault="00CC07A1" w:rsidP="001A3465">
      <w:pPr>
        <w:rPr>
          <w:rFonts w:asciiTheme="majorBidi" w:hAnsiTheme="majorBidi" w:cstheme="majorBidi"/>
          <w:lang w:bidi="ar-DZ"/>
        </w:rPr>
      </w:pPr>
      <w:r>
        <w:rPr>
          <w:rFonts w:asciiTheme="majorBidi" w:hAnsiTheme="majorBidi" w:cstheme="majorBidi"/>
          <w:lang w:bidi="ar-DZ"/>
        </w:rPr>
        <w:t>l</w:t>
      </w:r>
      <w:r w:rsidR="003C07C1" w:rsidRPr="005D5525">
        <w:rPr>
          <w:rFonts w:asciiTheme="majorBidi" w:hAnsiTheme="majorBidi" w:cstheme="majorBidi"/>
          <w:lang w:bidi="ar-DZ"/>
        </w:rPr>
        <w:t>'absence de leptine ou de ses récepteurs entraîne une faim</w:t>
      </w:r>
      <w:r w:rsidR="003C07C1">
        <w:rPr>
          <w:rFonts w:asciiTheme="majorBidi" w:hAnsiTheme="majorBidi" w:cstheme="majorBidi"/>
          <w:lang w:bidi="ar-DZ"/>
        </w:rPr>
        <w:t xml:space="preserve"> incontrôlée, pouvant conduire </w:t>
      </w:r>
      <w:r w:rsidR="003C07C1" w:rsidRPr="005D5525">
        <w:rPr>
          <w:rFonts w:asciiTheme="majorBidi" w:hAnsiTheme="majorBidi" w:cstheme="majorBidi"/>
          <w:lang w:bidi="ar-DZ"/>
        </w:rPr>
        <w:t>à l'obésité. De nombreuses études ont démontré une forte corrélation entre les niveaux de leptine</w:t>
      </w:r>
      <w:r w:rsidR="003C07C1">
        <w:rPr>
          <w:rFonts w:asciiTheme="majorBidi" w:hAnsiTheme="majorBidi" w:cstheme="majorBidi"/>
          <w:lang w:bidi="ar-DZ"/>
        </w:rPr>
        <w:t xml:space="preserve"> </w:t>
      </w:r>
      <w:r w:rsidR="003C07C1" w:rsidRPr="005D5525">
        <w:rPr>
          <w:rFonts w:asciiTheme="majorBidi" w:hAnsiTheme="majorBidi" w:cstheme="majorBidi"/>
          <w:lang w:bidi="ar-DZ"/>
        </w:rPr>
        <w:t>et le pourcentage de graisse corporelle, avec une augmentation des adipocytes déclenchant une élévation du taux de leptine.</w:t>
      </w:r>
      <w:r w:rsidR="003C07C1">
        <w:rPr>
          <w:rFonts w:asciiTheme="majorBidi" w:hAnsiTheme="majorBidi" w:cstheme="majorBidi"/>
          <w:lang w:bidi="ar-DZ"/>
        </w:rPr>
        <w:t xml:space="preserve"> </w:t>
      </w:r>
      <w:r w:rsidR="003C07C1" w:rsidRPr="005D5525">
        <w:rPr>
          <w:rFonts w:asciiTheme="majorBidi" w:hAnsiTheme="majorBidi" w:cstheme="majorBidi"/>
          <w:lang w:bidi="ar-DZ"/>
        </w:rPr>
        <w:t>Une réponse adaptative pour le contr</w:t>
      </w:r>
      <w:r w:rsidR="003C07C1">
        <w:rPr>
          <w:rFonts w:asciiTheme="majorBidi" w:hAnsiTheme="majorBidi" w:cstheme="majorBidi"/>
          <w:lang w:bidi="ar-DZ"/>
        </w:rPr>
        <w:t xml:space="preserve">ôle du bilan énergétique (Considine </w:t>
      </w:r>
      <w:r w:rsidR="003C07C1" w:rsidRPr="00755A4B">
        <w:rPr>
          <w:rFonts w:asciiTheme="majorBidi" w:hAnsiTheme="majorBidi" w:cstheme="majorBidi"/>
          <w:i/>
          <w:iCs/>
          <w:lang w:bidi="ar-DZ"/>
        </w:rPr>
        <w:t>et al</w:t>
      </w:r>
      <w:r w:rsidR="003C07C1">
        <w:rPr>
          <w:rFonts w:asciiTheme="majorBidi" w:hAnsiTheme="majorBidi" w:cstheme="majorBidi"/>
          <w:i/>
          <w:iCs/>
          <w:lang w:bidi="ar-DZ"/>
        </w:rPr>
        <w:t>.,</w:t>
      </w:r>
      <w:r w:rsidR="003C07C1">
        <w:rPr>
          <w:rFonts w:asciiTheme="majorBidi" w:hAnsiTheme="majorBidi" w:cstheme="majorBidi"/>
          <w:lang w:bidi="ar-DZ"/>
        </w:rPr>
        <w:t xml:space="preserve"> 1996)</w:t>
      </w:r>
      <w:r w:rsidR="003C07C1" w:rsidRPr="005D5525">
        <w:rPr>
          <w:rFonts w:asciiTheme="majorBidi" w:hAnsiTheme="majorBidi" w:cstheme="majorBidi"/>
          <w:lang w:bidi="ar-DZ"/>
        </w:rPr>
        <w:t>. Patients présentant un déficit en leptine</w:t>
      </w:r>
      <w:r w:rsidR="003C07C1">
        <w:rPr>
          <w:rFonts w:asciiTheme="majorBidi" w:hAnsiTheme="majorBidi" w:cstheme="majorBidi"/>
          <w:lang w:bidi="ar-DZ"/>
        </w:rPr>
        <w:t xml:space="preserve"> </w:t>
      </w:r>
      <w:r w:rsidR="003C07C1" w:rsidRPr="005D5525">
        <w:rPr>
          <w:rFonts w:asciiTheme="majorBidi" w:hAnsiTheme="majorBidi" w:cstheme="majorBidi"/>
          <w:lang w:bidi="ar-DZ"/>
        </w:rPr>
        <w:t>ont été observés pour développer l'obésité et l'hyperphagie dans l'enfance, incitant le</w:t>
      </w:r>
      <w:r w:rsidR="003C07C1">
        <w:rPr>
          <w:rFonts w:asciiTheme="majorBidi" w:hAnsiTheme="majorBidi" w:cstheme="majorBidi"/>
          <w:lang w:bidi="ar-DZ"/>
        </w:rPr>
        <w:t xml:space="preserve"> </w:t>
      </w:r>
      <w:r w:rsidR="003C07C1" w:rsidRPr="005D5525">
        <w:rPr>
          <w:rFonts w:asciiTheme="majorBidi" w:hAnsiTheme="majorBidi" w:cstheme="majorBidi"/>
          <w:lang w:bidi="ar-DZ"/>
        </w:rPr>
        <w:t>envisager un traitement de remplacement de la leptine pour supprimer l'appétit et augmenter l'énergie</w:t>
      </w:r>
      <w:r w:rsidR="003C07C1">
        <w:rPr>
          <w:rFonts w:asciiTheme="majorBidi" w:hAnsiTheme="majorBidi" w:cstheme="majorBidi"/>
          <w:lang w:bidi="ar-DZ"/>
        </w:rPr>
        <w:t xml:space="preserve"> </w:t>
      </w:r>
      <w:r w:rsidR="003C07C1" w:rsidRPr="005D5525">
        <w:rPr>
          <w:rFonts w:asciiTheme="majorBidi" w:hAnsiTheme="majorBidi" w:cstheme="majorBidi"/>
          <w:lang w:bidi="ar-DZ"/>
        </w:rPr>
        <w:t>dépense. Cependant, de nombreux patients obèses persistent dans leur état même avec un</w:t>
      </w:r>
      <w:r w:rsidR="003C07C1">
        <w:rPr>
          <w:rFonts w:asciiTheme="majorBidi" w:hAnsiTheme="majorBidi" w:cstheme="majorBidi"/>
          <w:lang w:bidi="ar-DZ"/>
        </w:rPr>
        <w:t xml:space="preserve"> </w:t>
      </w:r>
      <w:r w:rsidR="003C07C1" w:rsidRPr="005D5525">
        <w:rPr>
          <w:rFonts w:asciiTheme="majorBidi" w:hAnsiTheme="majorBidi" w:cstheme="majorBidi"/>
          <w:lang w:bidi="ar-DZ"/>
        </w:rPr>
        <w:t>niveau de leptine, suggérant la possibilité d’une résistance à la leptine. Cette résistance peut contribuer</w:t>
      </w:r>
      <w:r w:rsidR="003C07C1">
        <w:rPr>
          <w:rFonts w:asciiTheme="majorBidi" w:hAnsiTheme="majorBidi" w:cstheme="majorBidi"/>
          <w:lang w:bidi="ar-DZ"/>
        </w:rPr>
        <w:t xml:space="preserve"> </w:t>
      </w:r>
      <w:r w:rsidR="003C07C1" w:rsidRPr="005D5525">
        <w:rPr>
          <w:rFonts w:asciiTheme="majorBidi" w:hAnsiTheme="majorBidi" w:cstheme="majorBidi"/>
          <w:lang w:bidi="ar-DZ"/>
        </w:rPr>
        <w:t>à un apport calorique accru et entravent une</w:t>
      </w:r>
      <w:r w:rsidR="003C07C1">
        <w:rPr>
          <w:rFonts w:asciiTheme="majorBidi" w:hAnsiTheme="majorBidi" w:cstheme="majorBidi"/>
          <w:lang w:bidi="ar-DZ"/>
        </w:rPr>
        <w:t xml:space="preserve"> perte de poids durable</w:t>
      </w:r>
      <w:r w:rsidR="003C07C1" w:rsidRPr="005D5525">
        <w:rPr>
          <w:rFonts w:asciiTheme="majorBidi" w:hAnsiTheme="majorBidi" w:cstheme="majorBidi"/>
          <w:lang w:bidi="ar-DZ"/>
        </w:rPr>
        <w:t>. Cette résistance provient de processus liés à l'obésité qui altèrent la fonction de la leptine,</w:t>
      </w:r>
      <w:r w:rsidR="003C07C1">
        <w:rPr>
          <w:rFonts w:asciiTheme="majorBidi" w:hAnsiTheme="majorBidi" w:cstheme="majorBidi"/>
          <w:lang w:bidi="ar-DZ"/>
        </w:rPr>
        <w:t xml:space="preserve"> </w:t>
      </w:r>
      <w:r w:rsidR="003C07C1" w:rsidRPr="005D5525">
        <w:rPr>
          <w:rFonts w:asciiTheme="majorBidi" w:hAnsiTheme="majorBidi" w:cstheme="majorBidi"/>
          <w:lang w:bidi="ar-DZ"/>
        </w:rPr>
        <w:t>entravant sa capacité à atteindre les cellules cibles. Cette déficience peut résulter d'une expression réduite des récepteurs de la leptine (LepR) ou d'une altération des voies de signalisation, contribuant finalement à</w:t>
      </w:r>
      <w:r w:rsidR="003C07C1">
        <w:rPr>
          <w:rFonts w:asciiTheme="majorBidi" w:hAnsiTheme="majorBidi" w:cstheme="majorBidi"/>
          <w:lang w:bidi="ar-DZ"/>
        </w:rPr>
        <w:t xml:space="preserve"> à la progression de l’obésité (Teresa </w:t>
      </w:r>
      <w:r w:rsidR="003C07C1">
        <w:rPr>
          <w:rFonts w:asciiTheme="majorBidi" w:hAnsiTheme="majorBidi" w:cstheme="majorBidi"/>
          <w:i/>
          <w:iCs/>
          <w:lang w:bidi="ar-DZ"/>
        </w:rPr>
        <w:t>et al.,</w:t>
      </w:r>
      <w:r w:rsidR="003C07C1" w:rsidRPr="006D35F7">
        <w:rPr>
          <w:rFonts w:asciiTheme="majorBidi" w:hAnsiTheme="majorBidi" w:cstheme="majorBidi"/>
          <w:lang w:bidi="ar-DZ"/>
        </w:rPr>
        <w:t xml:space="preserve"> 2024)</w:t>
      </w:r>
      <w:r w:rsidR="003C07C1">
        <w:rPr>
          <w:rFonts w:asciiTheme="majorBidi" w:hAnsiTheme="majorBidi" w:cstheme="majorBidi"/>
          <w:lang w:bidi="ar-DZ"/>
        </w:rPr>
        <w:t>.</w:t>
      </w:r>
    </w:p>
    <w:p w14:paraId="0A943EBA" w14:textId="2C42C22C" w:rsidR="00871AD7" w:rsidRPr="00CC07A1" w:rsidRDefault="00871AD7" w:rsidP="00CC07A1">
      <w:pPr>
        <w:pStyle w:val="Titre3"/>
        <w:numPr>
          <w:ilvl w:val="0"/>
          <w:numId w:val="0"/>
        </w:numPr>
        <w:rPr>
          <w:b/>
          <w:bCs/>
          <w:lang w:bidi="ar-DZ"/>
        </w:rPr>
      </w:pPr>
      <w:bookmarkStart w:id="115" w:name="_Toc167098647"/>
      <w:bookmarkStart w:id="116" w:name="_Toc167472763"/>
      <w:bookmarkStart w:id="117" w:name="_Toc168301531"/>
      <w:bookmarkStart w:id="118" w:name="_Toc168302238"/>
      <w:bookmarkStart w:id="119" w:name="_Toc170226680"/>
      <w:r w:rsidRPr="00CC07A1">
        <w:rPr>
          <w:b/>
          <w:bCs/>
          <w:lang w:bidi="ar-DZ"/>
        </w:rPr>
        <w:t>Visfatine</w:t>
      </w:r>
      <w:bookmarkEnd w:id="115"/>
      <w:bookmarkEnd w:id="116"/>
      <w:r w:rsidR="00CC07A1">
        <w:rPr>
          <w:b/>
          <w:bCs/>
          <w:lang w:bidi="ar-DZ"/>
        </w:rPr>
        <w:t> :</w:t>
      </w:r>
      <w:bookmarkEnd w:id="117"/>
      <w:bookmarkEnd w:id="118"/>
      <w:bookmarkEnd w:id="119"/>
    </w:p>
    <w:p w14:paraId="66043155" w14:textId="170F2439" w:rsidR="00871AD7" w:rsidRDefault="00CC07A1" w:rsidP="00871AD7">
      <w:pPr>
        <w:tabs>
          <w:tab w:val="left" w:pos="709"/>
        </w:tabs>
        <w:rPr>
          <w:rFonts w:asciiTheme="majorBidi" w:hAnsiTheme="majorBidi" w:cstheme="majorBidi"/>
          <w:lang w:bidi="ar-DZ"/>
        </w:rPr>
      </w:pPr>
      <w:r>
        <w:rPr>
          <w:rFonts w:asciiTheme="majorBidi" w:hAnsiTheme="majorBidi" w:cstheme="majorBidi"/>
          <w:lang w:bidi="ar-DZ"/>
        </w:rPr>
        <w:t>l</w:t>
      </w:r>
      <w:r w:rsidR="00871AD7" w:rsidRPr="00D2297F">
        <w:rPr>
          <w:rFonts w:asciiTheme="majorBidi" w:hAnsiTheme="majorBidi" w:cstheme="majorBidi"/>
          <w:lang w:bidi="ar-DZ"/>
        </w:rPr>
        <w:t>es niveaux de visfatine en circulation sont étroitement corrélés à l'accumulation de tissus adipeux blancs, les niveaux d'ARNm de la visfatine augmentent au cours de la différenciation adipocytaire et la synthèse de la visfatine est régulée par plusieurs facteurs, notamment les glucocorticoïdes, le TNF-α, l'IL 6 et la GH. Les concentrations plasmatiques de visfatine et l'expression de l'ARNm de la visfatine viscérale sont en corrélation avec les mesures de l'obésité, mais pas avec la masse graisseuse viscérale ou le rapport taille-hanche. En outre, les différences d'expression de l'ARNm de la visfatine entre les tissus adipeux viscéraux et sous-cutanés chez l'homme n'étaient pas non plus significatives. Il a été démontré que les niveaux de visfatine augmentent chez les enfants dont l'IMC est plus élevé, ce qui indique une implication importante de cette nouvelle adipokine dans les mécanismes inflammatoires de l'obésité dès l'enfance. La visfatine s'est révélée plus importante chez les femmes souffrant d'obésité (obésité viscérale). Une diminution de la visfatine circulante a été constatée chez les femmes souffrant d'obésité morbide qui ont perdu plus de 20 % de leur IMC, et l'augmentation des concentrations plasmatiques de visfatine chez les sujets souffrant d'obésité morbide est également réduite après la pose d'un anneau gastrique. Ces études montrent que plus l'IMC est élevé (obésité), plus les niveaux de visfatine sont élevés et que ces niveaux dim</w:t>
      </w:r>
      <w:r w:rsidR="00871AD7">
        <w:rPr>
          <w:rFonts w:asciiTheme="majorBidi" w:hAnsiTheme="majorBidi" w:cstheme="majorBidi"/>
          <w:lang w:bidi="ar-DZ"/>
        </w:rPr>
        <w:t xml:space="preserve">inuent après une perte de poids (Sonoli </w:t>
      </w:r>
      <w:r w:rsidR="00871AD7" w:rsidRPr="00D2297F">
        <w:rPr>
          <w:rFonts w:asciiTheme="majorBidi" w:hAnsiTheme="majorBidi" w:cstheme="majorBidi"/>
          <w:i/>
          <w:iCs/>
          <w:lang w:bidi="ar-DZ"/>
        </w:rPr>
        <w:t>et al</w:t>
      </w:r>
      <w:r w:rsidR="00871AD7">
        <w:rPr>
          <w:rFonts w:asciiTheme="majorBidi" w:hAnsiTheme="majorBidi" w:cstheme="majorBidi"/>
          <w:lang w:bidi="ar-DZ"/>
        </w:rPr>
        <w:t>., 2011).</w:t>
      </w:r>
    </w:p>
    <w:p w14:paraId="050643C8" w14:textId="4832910F" w:rsidR="00871AD7" w:rsidRPr="00CC07A1" w:rsidRDefault="00871AD7" w:rsidP="00CC07A1">
      <w:pPr>
        <w:pStyle w:val="Titre3"/>
        <w:numPr>
          <w:ilvl w:val="0"/>
          <w:numId w:val="0"/>
        </w:numPr>
        <w:rPr>
          <w:b/>
          <w:bCs/>
          <w:lang w:bidi="ar-DZ"/>
        </w:rPr>
      </w:pPr>
      <w:bookmarkStart w:id="120" w:name="_Toc167098648"/>
      <w:bookmarkStart w:id="121" w:name="_Toc167472764"/>
      <w:bookmarkStart w:id="122" w:name="_Toc168301532"/>
      <w:bookmarkStart w:id="123" w:name="_Toc168302239"/>
      <w:bookmarkStart w:id="124" w:name="_Toc170226681"/>
      <w:r w:rsidRPr="00CC07A1">
        <w:rPr>
          <w:b/>
          <w:bCs/>
          <w:lang w:bidi="ar-DZ"/>
        </w:rPr>
        <w:lastRenderedPageBreak/>
        <w:t>La résistine comme lien entre l’obésité et l’IR</w:t>
      </w:r>
      <w:bookmarkEnd w:id="120"/>
      <w:bookmarkEnd w:id="121"/>
      <w:r w:rsidR="00872EEB">
        <w:rPr>
          <w:b/>
          <w:bCs/>
          <w:lang w:bidi="ar-DZ"/>
        </w:rPr>
        <w:t> :</w:t>
      </w:r>
      <w:bookmarkEnd w:id="122"/>
      <w:bookmarkEnd w:id="123"/>
      <w:bookmarkEnd w:id="124"/>
    </w:p>
    <w:p w14:paraId="242951CA" w14:textId="3D068BCA" w:rsidR="00871AD7" w:rsidRDefault="00CC07A1" w:rsidP="001A3465">
      <w:pPr>
        <w:rPr>
          <w:lang w:bidi="ar-DZ"/>
        </w:rPr>
      </w:pPr>
      <w:r>
        <w:rPr>
          <w:lang w:bidi="ar-DZ"/>
        </w:rPr>
        <w:t>d</w:t>
      </w:r>
      <w:r w:rsidR="00871AD7" w:rsidRPr="00871AD7">
        <w:rPr>
          <w:lang w:bidi="ar-DZ"/>
        </w:rPr>
        <w:t xml:space="preserve">epuis la découverte de la résistine il y a deux décennies, de nombreuses études ont été menées sur des humains et des rongeurs afin d'étudier son rôle potentiel en tant que lien entre l'obésité et l'IR. Des niveaux plus élevés de résistine en circulation ont été rapportés dans des modèles murins et rongeurs d'obésité par rapport à des modèles maigres, et des niveaux plus élevés de résistine en circulation ont également été rapportés chez des individus obèses par rapport à des individus maigres, en corrélation positive avec </w:t>
      </w:r>
      <w:r w:rsidR="00871AD7">
        <w:rPr>
          <w:lang w:bidi="ar-DZ"/>
        </w:rPr>
        <w:t>l’IMC</w:t>
      </w:r>
      <w:r w:rsidR="00871AD7" w:rsidRPr="00871AD7">
        <w:rPr>
          <w:lang w:bidi="ar-DZ"/>
        </w:rPr>
        <w:t xml:space="preserve"> et la graisse viscérale. Il a également été rapporté que la résistine augmente parallèlement à l'augmentation de l'insuline et du glucose et qu'elle diminue parallèlement à leur diminution, de sorte que le taux sérique de résistine semble être régulé par les taux d'insuline et de glucose. L'âge, le sexe, les hormones thyroïdiennes et les hormones gonadiques sont d'autres régulateurs de la résistine (Abdalla., 2021).</w:t>
      </w:r>
    </w:p>
    <w:p w14:paraId="689EC937" w14:textId="16317F1C" w:rsidR="00871AD7" w:rsidRDefault="00871AD7" w:rsidP="00871AD7">
      <w:pPr>
        <w:pStyle w:val="Titre2"/>
        <w:rPr>
          <w:lang w:bidi="ar-DZ"/>
        </w:rPr>
      </w:pPr>
      <w:bookmarkStart w:id="125" w:name="_Toc167472765"/>
      <w:bookmarkStart w:id="126" w:name="_Toc168302240"/>
      <w:bookmarkStart w:id="127" w:name="_Toc170226682"/>
      <w:r w:rsidRPr="00871AD7">
        <w:rPr>
          <w:lang w:bidi="ar-DZ"/>
        </w:rPr>
        <w:t>Le diabète</w:t>
      </w:r>
      <w:bookmarkEnd w:id="125"/>
      <w:bookmarkEnd w:id="126"/>
      <w:bookmarkEnd w:id="127"/>
    </w:p>
    <w:p w14:paraId="0E5B15A5" w14:textId="5C481C42" w:rsidR="00792E57" w:rsidRPr="00792E57" w:rsidRDefault="00792E57" w:rsidP="00B30DDC">
      <w:pPr>
        <w:rPr>
          <w:lang w:bidi="ar-DZ"/>
        </w:rPr>
      </w:pPr>
      <w:r w:rsidRPr="00792E57">
        <w:rPr>
          <w:lang w:bidi="ar-DZ"/>
        </w:rPr>
        <w:t xml:space="preserve">Le diabète est un trouble métabolique chronique caractérisé par une glycémie élevée résultant d'une carence absolue ou relative en insuline, dans le contexte d'un dysfonctionnement des cellules bêta, d'une résistance à l'insuline ou des deux. Il est classiquement divisé en une forme auto-immune à début précoce (diabète de type 1 ou T1D) et une forme non-auto-immune à début tardif (T2D), ainsi qu'en diabètes gestationnels (Cole </w:t>
      </w:r>
      <w:r w:rsidRPr="00B8364D">
        <w:rPr>
          <w:lang w:bidi="ar-DZ"/>
        </w:rPr>
        <w:t>et</w:t>
      </w:r>
      <w:r w:rsidRPr="00792E57">
        <w:rPr>
          <w:i/>
          <w:iCs/>
          <w:lang w:bidi="ar-DZ"/>
        </w:rPr>
        <w:t xml:space="preserve"> </w:t>
      </w:r>
      <w:r w:rsidRPr="00792E57">
        <w:rPr>
          <w:lang w:bidi="ar-DZ"/>
        </w:rPr>
        <w:t xml:space="preserve"> Florez, 2020</w:t>
      </w:r>
      <w:r>
        <w:rPr>
          <w:lang w:bidi="ar-DZ"/>
        </w:rPr>
        <w:t>).</w:t>
      </w:r>
    </w:p>
    <w:p w14:paraId="5E365C50" w14:textId="77777777" w:rsidR="00C6005B" w:rsidRDefault="00871AD7" w:rsidP="00872EEB">
      <w:pPr>
        <w:pStyle w:val="Titre3"/>
        <w:numPr>
          <w:ilvl w:val="0"/>
          <w:numId w:val="0"/>
        </w:numPr>
        <w:ind w:left="568" w:hanging="284"/>
        <w:rPr>
          <w:lang w:bidi="ar-DZ"/>
        </w:rPr>
      </w:pPr>
      <w:bookmarkStart w:id="128" w:name="_Toc167472766"/>
      <w:bookmarkStart w:id="129" w:name="_Toc168301534"/>
      <w:bookmarkStart w:id="130" w:name="_Toc168302241"/>
      <w:bookmarkStart w:id="131" w:name="_Toc170226683"/>
      <w:r w:rsidRPr="00792E57">
        <w:rPr>
          <w:b/>
          <w:bCs/>
          <w:lang w:bidi="ar-DZ"/>
        </w:rPr>
        <w:t>Le diabète type 2 (DT2)</w:t>
      </w:r>
      <w:bookmarkEnd w:id="128"/>
      <w:bookmarkEnd w:id="129"/>
      <w:bookmarkEnd w:id="130"/>
      <w:bookmarkEnd w:id="131"/>
      <w:r w:rsidR="00794BF9">
        <w:rPr>
          <w:lang w:bidi="ar-DZ"/>
        </w:rPr>
        <w:t xml:space="preserve"> </w:t>
      </w:r>
    </w:p>
    <w:p w14:paraId="6517A462" w14:textId="6338688F" w:rsidR="00871AD7" w:rsidRDefault="00871AD7" w:rsidP="00B30DDC">
      <w:pPr>
        <w:rPr>
          <w:rFonts w:asciiTheme="majorBidi" w:hAnsiTheme="majorBidi" w:cstheme="majorBidi"/>
          <w:lang w:bidi="ar-DZ"/>
        </w:rPr>
      </w:pPr>
      <w:r w:rsidRPr="00FE54FD">
        <w:rPr>
          <w:rFonts w:asciiTheme="majorBidi" w:hAnsiTheme="majorBidi" w:cstheme="majorBidi"/>
          <w:lang w:bidi="ar-DZ"/>
        </w:rPr>
        <w:t>Des taux élevés de leptine sont associés à la résistance à l'insuline et au DT2. Dans cette population spécifique, il existe une association entre</w:t>
      </w:r>
      <w:r>
        <w:rPr>
          <w:rFonts w:asciiTheme="majorBidi" w:hAnsiTheme="majorBidi" w:cstheme="majorBidi"/>
          <w:lang w:bidi="ar-DZ"/>
        </w:rPr>
        <w:t xml:space="preserve"> </w:t>
      </w:r>
      <w:r w:rsidRPr="00FE54FD">
        <w:rPr>
          <w:rFonts w:asciiTheme="majorBidi" w:hAnsiTheme="majorBidi" w:cstheme="majorBidi"/>
          <w:lang w:bidi="ar-DZ"/>
        </w:rPr>
        <w:t>l'hyperleptinémie et un risque plus élevé de MCV ainsi qu'un pourcentage plus élevé d'obésité, d'hypertension et de dys</w:t>
      </w:r>
      <w:r>
        <w:rPr>
          <w:rFonts w:asciiTheme="majorBidi" w:hAnsiTheme="majorBidi" w:cstheme="majorBidi"/>
          <w:lang w:bidi="ar-DZ"/>
        </w:rPr>
        <w:t xml:space="preserve">fonctionnement endothélial. </w:t>
      </w:r>
      <w:r w:rsidRPr="00FE54FD">
        <w:rPr>
          <w:rFonts w:asciiTheme="majorBidi" w:hAnsiTheme="majorBidi" w:cstheme="majorBidi"/>
          <w:lang w:bidi="ar-DZ"/>
        </w:rPr>
        <w:t>La leptine joue un rôle dans la régulation des cytokines pro-inflammatoires, qui sont également associées à la résistance à l'insuline et au DT2, notamment le facteur de nécrose tumorale et l'IL-6. Les neurones exprimant la proopiomélanocortine (POMC) dans le noyau arqué de l'hypothalamus sont impliqués dans les effets de la leptine sur l'homéostasie du glucose chez les patients obèses et résistants à l'insuline. Ces neurones activent les neurones anorexigènes qui expriment la POMC</w:t>
      </w:r>
      <w:r>
        <w:rPr>
          <w:rFonts w:asciiTheme="majorBidi" w:hAnsiTheme="majorBidi" w:cstheme="majorBidi"/>
          <w:lang w:bidi="ar-DZ"/>
        </w:rPr>
        <w:t xml:space="preserve"> </w:t>
      </w:r>
      <w:r w:rsidRPr="00FE54FD">
        <w:rPr>
          <w:rFonts w:asciiTheme="majorBidi" w:hAnsiTheme="majorBidi" w:cstheme="majorBidi"/>
          <w:lang w:bidi="ar-DZ"/>
        </w:rPr>
        <w:t>et le transcrit régulé par la cocaïne et les amphétamines (CART) tout en inhibant les neurones orexigènes exprimant le neuropeptide Y (NPY) et le peptide</w:t>
      </w:r>
      <w:r>
        <w:rPr>
          <w:rFonts w:asciiTheme="majorBidi" w:hAnsiTheme="majorBidi" w:cstheme="majorBidi"/>
          <w:lang w:bidi="ar-DZ"/>
        </w:rPr>
        <w:t xml:space="preserve"> lié à l'agouti (AgRP)</w:t>
      </w:r>
      <w:r w:rsidRPr="00FE54FD">
        <w:rPr>
          <w:rFonts w:asciiTheme="majorBidi" w:hAnsiTheme="majorBidi" w:cstheme="majorBidi"/>
          <w:lang w:bidi="ar-DZ"/>
        </w:rPr>
        <w:t>.</w:t>
      </w:r>
      <w:r>
        <w:rPr>
          <w:rFonts w:asciiTheme="majorBidi" w:hAnsiTheme="majorBidi" w:cstheme="majorBidi"/>
          <w:lang w:bidi="ar-DZ"/>
        </w:rPr>
        <w:t xml:space="preserve"> </w:t>
      </w:r>
      <w:r w:rsidRPr="00FE54FD">
        <w:rPr>
          <w:rFonts w:asciiTheme="majorBidi" w:hAnsiTheme="majorBidi" w:cstheme="majorBidi"/>
          <w:lang w:bidi="ar-DZ"/>
        </w:rPr>
        <w:t>Pendant le jeûne, une réduction des niveaux de leptine sérique stimule l'expression de l'AgRP et du NPY tout en supprimant le POMC et le CART. Cette réponse physiologique entraîne une</w:t>
      </w:r>
      <w:r>
        <w:rPr>
          <w:rFonts w:asciiTheme="majorBidi" w:hAnsiTheme="majorBidi" w:cstheme="majorBidi"/>
          <w:lang w:bidi="ar-DZ"/>
        </w:rPr>
        <w:t xml:space="preserve"> </w:t>
      </w:r>
      <w:r w:rsidRPr="00FE54FD">
        <w:rPr>
          <w:rFonts w:asciiTheme="majorBidi" w:hAnsiTheme="majorBidi" w:cstheme="majorBidi"/>
          <w:lang w:bidi="ar-DZ"/>
        </w:rPr>
        <w:t>augmentation de la prise alimentaire et une réduction de la dépense énergétique</w:t>
      </w:r>
      <w:r>
        <w:rPr>
          <w:rFonts w:asciiTheme="majorBidi" w:hAnsiTheme="majorBidi" w:cstheme="majorBidi"/>
          <w:lang w:bidi="ar-DZ"/>
        </w:rPr>
        <w:t xml:space="preserve"> (</w:t>
      </w:r>
      <w:r w:rsidRPr="00FE54FD">
        <w:rPr>
          <w:rFonts w:asciiTheme="majorBidi" w:hAnsiTheme="majorBidi" w:cstheme="majorBidi"/>
          <w:lang w:bidi="ar-DZ"/>
        </w:rPr>
        <w:t xml:space="preserve">Teresa </w:t>
      </w:r>
      <w:r>
        <w:rPr>
          <w:rFonts w:asciiTheme="majorBidi" w:hAnsiTheme="majorBidi" w:cstheme="majorBidi"/>
          <w:i/>
          <w:iCs/>
          <w:lang w:bidi="ar-DZ"/>
        </w:rPr>
        <w:t>et al.,</w:t>
      </w:r>
      <w:r w:rsidRPr="00FE54FD">
        <w:rPr>
          <w:rFonts w:asciiTheme="majorBidi" w:hAnsiTheme="majorBidi" w:cstheme="majorBidi"/>
          <w:lang w:bidi="ar-DZ"/>
        </w:rPr>
        <w:t xml:space="preserve"> 2024</w:t>
      </w:r>
      <w:r>
        <w:rPr>
          <w:rFonts w:asciiTheme="majorBidi" w:hAnsiTheme="majorBidi" w:cstheme="majorBidi"/>
          <w:lang w:bidi="ar-DZ"/>
        </w:rPr>
        <w:t>).</w:t>
      </w:r>
    </w:p>
    <w:p w14:paraId="570A1EDD" w14:textId="6EF600D4" w:rsidR="00871AD7" w:rsidRPr="00792E57" w:rsidRDefault="00871AD7" w:rsidP="00871AD7">
      <w:pPr>
        <w:pStyle w:val="Titre3"/>
        <w:rPr>
          <w:b/>
          <w:bCs/>
          <w:lang w:bidi="ar-DZ"/>
        </w:rPr>
      </w:pPr>
      <w:bookmarkStart w:id="132" w:name="_Toc167472767"/>
      <w:bookmarkStart w:id="133" w:name="_Toc168302243"/>
      <w:bookmarkStart w:id="134" w:name="_Toc170226684"/>
      <w:r w:rsidRPr="00792E57">
        <w:rPr>
          <w:b/>
          <w:bCs/>
          <w:lang w:bidi="ar-DZ"/>
        </w:rPr>
        <w:lastRenderedPageBreak/>
        <w:t>Diabète gestationnelle (DG)</w:t>
      </w:r>
      <w:bookmarkEnd w:id="132"/>
      <w:bookmarkEnd w:id="133"/>
      <w:bookmarkEnd w:id="134"/>
    </w:p>
    <w:p w14:paraId="7C4DDF36" w14:textId="6414F7A1" w:rsidR="00871AD7" w:rsidRDefault="00871AD7" w:rsidP="00B30DDC">
      <w:pPr>
        <w:rPr>
          <w:rFonts w:asciiTheme="majorBidi" w:hAnsiTheme="majorBidi" w:cstheme="majorBidi"/>
          <w:lang w:bidi="ar-DZ"/>
        </w:rPr>
      </w:pPr>
      <w:r w:rsidRPr="00164F0F">
        <w:rPr>
          <w:rFonts w:asciiTheme="majorBidi" w:hAnsiTheme="majorBidi" w:cstheme="majorBidi"/>
          <w:lang w:bidi="ar-DZ"/>
        </w:rPr>
        <w:t>Les taux de leptine sont augmentés dans le diabète gestationnel avec obésité. Les taux plasmatiques élevés de leptine peuvent être potentialisés par une résistance à la leptine au niveau central, dans laquelle SOCS3 et PTPB sont induits par la leptine et impliqués dans une boucle de rétroaction négative. Par la leptine et impliquant une boucle de rétroaction négative. Il en résulte une diminution de l'activation de la signalisation JAK2/STAT-3 induite par la leptine, ce qui entraîne une réduction des effets centraux de la leptine. La leptine a également un impact sur le placenta lui-même de manière autocrine/paracrine. Il a été démontré que l'intégration de nombreux signaux par des voies de régulation intracellulaires telles que MAPK, PI3K et JAK-STAT augmente la taille du placenta et affecte le transport des nutriments placentaires et la croissance fœtale (macrosomie). Les composés alimentaires bioactifs tels que les polyphénols pourraient réduire les niveaux de leptine circulante, en diminuant partiellement l'expression de la leptine dans le placenta des femmes atteintes de diabète gestationnel</w:t>
      </w:r>
      <w:r w:rsidR="00B8364D">
        <w:rPr>
          <w:rFonts w:asciiTheme="majorBidi" w:hAnsiTheme="majorBidi" w:cstheme="majorBidi"/>
          <w:lang w:bidi="ar-DZ"/>
        </w:rPr>
        <w:t xml:space="preserve"> (f</w:t>
      </w:r>
      <w:r w:rsidR="008A2E36">
        <w:rPr>
          <w:rFonts w:asciiTheme="majorBidi" w:hAnsiTheme="majorBidi" w:cstheme="majorBidi"/>
          <w:lang w:bidi="ar-DZ"/>
        </w:rPr>
        <w:t>igure</w:t>
      </w:r>
      <w:r w:rsidR="00B8364D">
        <w:rPr>
          <w:rFonts w:asciiTheme="majorBidi" w:hAnsiTheme="majorBidi" w:cstheme="majorBidi"/>
          <w:lang w:bidi="ar-DZ"/>
        </w:rPr>
        <w:t xml:space="preserve"> </w:t>
      </w:r>
      <w:r w:rsidR="008A2E36">
        <w:rPr>
          <w:rFonts w:asciiTheme="majorBidi" w:hAnsiTheme="majorBidi" w:cstheme="majorBidi"/>
          <w:lang w:bidi="ar-DZ"/>
        </w:rPr>
        <w:t>1</w:t>
      </w:r>
      <w:r w:rsidR="00DB264F">
        <w:rPr>
          <w:rFonts w:asciiTheme="majorBidi" w:hAnsiTheme="majorBidi" w:cstheme="majorBidi"/>
          <w:lang w:bidi="ar-DZ"/>
        </w:rPr>
        <w:t>1</w:t>
      </w:r>
      <w:r w:rsidR="00B813C0">
        <w:rPr>
          <w:rFonts w:asciiTheme="majorBidi" w:hAnsiTheme="majorBidi" w:cstheme="majorBidi"/>
          <w:lang w:bidi="ar-DZ"/>
        </w:rPr>
        <w:t>)</w:t>
      </w:r>
      <w:r w:rsidRPr="00164F0F">
        <w:rPr>
          <w:rFonts w:asciiTheme="majorBidi" w:hAnsiTheme="majorBidi" w:cstheme="majorBidi"/>
          <w:lang w:bidi="ar-DZ"/>
        </w:rPr>
        <w:t xml:space="preserve">. Il en résulte une diminution de la résistance à la leptine au niveau central et un transport optimal des nutriments </w:t>
      </w:r>
      <w:r>
        <w:rPr>
          <w:rFonts w:asciiTheme="majorBidi" w:hAnsiTheme="majorBidi" w:cstheme="majorBidi"/>
          <w:lang w:bidi="ar-DZ"/>
        </w:rPr>
        <w:t xml:space="preserve">dans le placenta (Antonio </w:t>
      </w:r>
      <w:r w:rsidRPr="00285A55">
        <w:rPr>
          <w:rFonts w:asciiTheme="majorBidi" w:hAnsiTheme="majorBidi" w:cstheme="majorBidi"/>
          <w:i/>
          <w:iCs/>
          <w:lang w:bidi="ar-DZ"/>
        </w:rPr>
        <w:t>et al.,</w:t>
      </w:r>
      <w:r w:rsidRPr="00164F0F">
        <w:rPr>
          <w:rFonts w:asciiTheme="majorBidi" w:hAnsiTheme="majorBidi" w:cstheme="majorBidi"/>
          <w:lang w:bidi="ar-DZ"/>
        </w:rPr>
        <w:t xml:space="preserve"> 2020).</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4"/>
      </w:tblGrid>
      <w:tr w:rsidR="00DB4145" w14:paraId="640891DF" w14:textId="77777777" w:rsidTr="00DB4145">
        <w:tc>
          <w:tcPr>
            <w:tcW w:w="9494" w:type="dxa"/>
          </w:tcPr>
          <w:p w14:paraId="495F31DC" w14:textId="0136B002" w:rsidR="00DB4145" w:rsidRDefault="00DB4145" w:rsidP="00871AD7">
            <w:pPr>
              <w:rPr>
                <w:rFonts w:asciiTheme="majorBidi" w:hAnsiTheme="majorBidi" w:cstheme="majorBidi"/>
                <w:lang w:bidi="ar-DZ"/>
              </w:rPr>
            </w:pPr>
            <w:r w:rsidRPr="00DB4145">
              <w:rPr>
                <w:rFonts w:eastAsia="Calibri"/>
                <w:noProof/>
                <w:lang w:eastAsia="fr-FR"/>
              </w:rPr>
              <w:drawing>
                <wp:anchor distT="0" distB="0" distL="114300" distR="114300" simplePos="0" relativeHeight="251677696" behindDoc="0" locked="0" layoutInCell="1" allowOverlap="1" wp14:anchorId="7D31B590" wp14:editId="6872F301">
                  <wp:simplePos x="0" y="0"/>
                  <wp:positionH relativeFrom="column">
                    <wp:posOffset>373380</wp:posOffset>
                  </wp:positionH>
                  <wp:positionV relativeFrom="paragraph">
                    <wp:posOffset>154305</wp:posOffset>
                  </wp:positionV>
                  <wp:extent cx="4695825" cy="1971675"/>
                  <wp:effectExtent l="0" t="0" r="9525" b="9525"/>
                  <wp:wrapTopAndBottom/>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extLst>
                              <a:ext uri="{28A0092B-C50C-407E-A947-70E740481C1C}">
                                <a14:useLocalDpi xmlns:a14="http://schemas.microsoft.com/office/drawing/2010/main" val="0"/>
                              </a:ext>
                            </a:extLst>
                          </a:blip>
                          <a:stretch>
                            <a:fillRect/>
                          </a:stretch>
                        </pic:blipFill>
                        <pic:spPr>
                          <a:xfrm>
                            <a:off x="0" y="0"/>
                            <a:ext cx="4695825" cy="1971675"/>
                          </a:xfrm>
                          <a:prstGeom prst="rect">
                            <a:avLst/>
                          </a:prstGeom>
                        </pic:spPr>
                      </pic:pic>
                    </a:graphicData>
                  </a:graphic>
                  <wp14:sizeRelH relativeFrom="page">
                    <wp14:pctWidth>0</wp14:pctWidth>
                  </wp14:sizeRelH>
                  <wp14:sizeRelV relativeFrom="page">
                    <wp14:pctHeight>0</wp14:pctHeight>
                  </wp14:sizeRelV>
                </wp:anchor>
              </w:drawing>
            </w:r>
          </w:p>
        </w:tc>
      </w:tr>
      <w:tr w:rsidR="00DB4145" w14:paraId="68FD05C8" w14:textId="77777777" w:rsidTr="00DB4145">
        <w:tc>
          <w:tcPr>
            <w:tcW w:w="9494" w:type="dxa"/>
          </w:tcPr>
          <w:p w14:paraId="1BF210CF" w14:textId="06102599" w:rsidR="00DB4145" w:rsidRPr="00DB4145" w:rsidRDefault="00DB4145" w:rsidP="00C6005B">
            <w:pPr>
              <w:pStyle w:val="Lgende"/>
              <w:jc w:val="center"/>
              <w:rPr>
                <w:rFonts w:asciiTheme="majorBidi" w:hAnsiTheme="majorBidi" w:cstheme="majorBidi"/>
                <w:i w:val="0"/>
                <w:iCs w:val="0"/>
                <w:color w:val="000000" w:themeColor="text1"/>
                <w:sz w:val="24"/>
                <w:szCs w:val="24"/>
                <w:lang w:bidi="ar-DZ"/>
              </w:rPr>
            </w:pPr>
            <w:bookmarkStart w:id="135" w:name="_Toc167308119"/>
            <w:r w:rsidRPr="00792E57">
              <w:rPr>
                <w:b/>
                <w:bCs/>
                <w:i w:val="0"/>
                <w:iCs w:val="0"/>
                <w:color w:val="000000" w:themeColor="text1"/>
                <w:sz w:val="24"/>
                <w:szCs w:val="24"/>
              </w:rPr>
              <w:t xml:space="preserve">Figure </w:t>
            </w:r>
            <w:r w:rsidR="00A74890">
              <w:rPr>
                <w:b/>
                <w:bCs/>
                <w:i w:val="0"/>
                <w:iCs w:val="0"/>
                <w:color w:val="000000" w:themeColor="text1"/>
                <w:sz w:val="24"/>
                <w:szCs w:val="24"/>
              </w:rPr>
              <w:t>11</w:t>
            </w:r>
            <w:r w:rsidRPr="00DB4145">
              <w:rPr>
                <w:i w:val="0"/>
                <w:iCs w:val="0"/>
                <w:color w:val="000000" w:themeColor="text1"/>
                <w:sz w:val="24"/>
                <w:szCs w:val="24"/>
              </w:rPr>
              <w:t xml:space="preserve">. Effets des composés alimentaires bioactifs sur la résistance à la leptine associée à l'obésite et DG (Antonio </w:t>
            </w:r>
            <w:r w:rsidRPr="00DB4145">
              <w:rPr>
                <w:color w:val="000000" w:themeColor="text1"/>
                <w:sz w:val="24"/>
                <w:szCs w:val="24"/>
              </w:rPr>
              <w:t>et al.,</w:t>
            </w:r>
            <w:r w:rsidRPr="00DB4145">
              <w:rPr>
                <w:i w:val="0"/>
                <w:iCs w:val="0"/>
                <w:color w:val="000000" w:themeColor="text1"/>
                <w:sz w:val="24"/>
                <w:szCs w:val="24"/>
              </w:rPr>
              <w:t xml:space="preserve"> 2020).</w:t>
            </w:r>
            <w:bookmarkEnd w:id="135"/>
          </w:p>
          <w:p w14:paraId="37D106C2" w14:textId="77777777" w:rsidR="00DB4145" w:rsidRDefault="00DB4145" w:rsidP="00DB4145">
            <w:pPr>
              <w:keepNext/>
              <w:rPr>
                <w:rFonts w:asciiTheme="majorBidi" w:hAnsiTheme="majorBidi" w:cstheme="majorBidi"/>
                <w:lang w:bidi="ar-DZ"/>
              </w:rPr>
            </w:pPr>
          </w:p>
        </w:tc>
      </w:tr>
    </w:tbl>
    <w:p w14:paraId="52791BF1" w14:textId="3C10858D" w:rsidR="00871AD7" w:rsidRPr="00C6005B" w:rsidRDefault="00871AD7" w:rsidP="00B30DDC">
      <w:pPr>
        <w:pStyle w:val="Titre4"/>
        <w:numPr>
          <w:ilvl w:val="0"/>
          <w:numId w:val="0"/>
        </w:numPr>
        <w:ind w:firstLine="284"/>
        <w:rPr>
          <w:lang w:bidi="ar-DZ"/>
        </w:rPr>
      </w:pPr>
      <w:r w:rsidRPr="00C6005B">
        <w:rPr>
          <w:lang w:bidi="ar-DZ"/>
        </w:rPr>
        <w:t>Protéine 4 de liaison au rétinol (RBP-4)</w:t>
      </w:r>
      <w:r w:rsidR="00C6005B" w:rsidRPr="00C6005B">
        <w:rPr>
          <w:lang w:bidi="ar-DZ"/>
        </w:rPr>
        <w:t> :</w:t>
      </w:r>
    </w:p>
    <w:p w14:paraId="237280B3" w14:textId="0B297391" w:rsidR="00871AD7" w:rsidRDefault="00C6005B" w:rsidP="00C6005B">
      <w:pPr>
        <w:rPr>
          <w:lang w:bidi="ar-DZ"/>
        </w:rPr>
      </w:pPr>
      <w:r>
        <w:rPr>
          <w:lang w:bidi="ar-DZ"/>
        </w:rPr>
        <w:t xml:space="preserve">le diabète gestationnel a </w:t>
      </w:r>
      <w:r w:rsidR="00871AD7" w:rsidRPr="00871AD7">
        <w:rPr>
          <w:lang w:bidi="ar-DZ"/>
        </w:rPr>
        <w:t xml:space="preserve">été associés à des niveaux accrus, réduits ou même stables de RBP-4. Ou même à des niveaux stables de RBP-4. Dans le cas du diabète gestationnel, il a été que la RBP-4 était significativement plus élevée plus de 18 mois après l'accouchement chez les femmes </w:t>
      </w:r>
      <w:r w:rsidR="00871AD7" w:rsidRPr="00871AD7">
        <w:rPr>
          <w:lang w:bidi="ar-DZ"/>
        </w:rPr>
        <w:lastRenderedPageBreak/>
        <w:t xml:space="preserve">ayant un diabète normal ou altéré. Mois après l'accouchement chez les femmes ayant une tolérance au glucose tolérance au glucose ou un diabète sucré dans la période post-partum période post-partum par rapport aux femmes sans diabète gestationnel. Une tendance à l'augmentation de la RBP-4 a également été également une tendance à l'augmentation des valeurs de la RBP-4 de la normalité de la normalité au diabète sucré dans le groupe pGDM (P pour la linéarité = 0,006). En outre, la RBP-4 était positivement corrélée à l'insuline à jeun, tandis que la corrélation avec l'insuline à jeun était plus faible, alors que la corrélation avec l'adiponectine était négative (Vrachnis </w:t>
      </w:r>
      <w:r w:rsidR="00871AD7" w:rsidRPr="0049264F">
        <w:rPr>
          <w:i/>
          <w:iCs/>
          <w:lang w:bidi="ar-DZ"/>
        </w:rPr>
        <w:t>et al.,</w:t>
      </w:r>
      <w:r w:rsidR="00871AD7" w:rsidRPr="00871AD7">
        <w:rPr>
          <w:lang w:bidi="ar-DZ"/>
        </w:rPr>
        <w:t xml:space="preserve"> 2012).</w:t>
      </w:r>
    </w:p>
    <w:p w14:paraId="02AADD61" w14:textId="6DDB21F1" w:rsidR="0049264F" w:rsidRPr="00792E57" w:rsidRDefault="0049264F" w:rsidP="0049264F">
      <w:pPr>
        <w:pStyle w:val="Titre3"/>
        <w:rPr>
          <w:b/>
          <w:bCs/>
          <w:lang w:bidi="ar-DZ"/>
        </w:rPr>
      </w:pPr>
      <w:bookmarkStart w:id="136" w:name="_Toc167472768"/>
      <w:bookmarkStart w:id="137" w:name="_Toc168302244"/>
      <w:bookmarkStart w:id="138" w:name="_Toc170226685"/>
      <w:r w:rsidRPr="00792E57">
        <w:rPr>
          <w:b/>
          <w:bCs/>
          <w:lang w:bidi="ar-DZ"/>
        </w:rPr>
        <w:t>L’hémostasie de glucose</w:t>
      </w:r>
      <w:bookmarkEnd w:id="136"/>
      <w:bookmarkEnd w:id="137"/>
      <w:bookmarkEnd w:id="138"/>
    </w:p>
    <w:p w14:paraId="5D60E295" w14:textId="77777777" w:rsidR="0049264F" w:rsidRDefault="0049264F" w:rsidP="00B30DDC">
      <w:pPr>
        <w:rPr>
          <w:lang w:bidi="ar-DZ"/>
        </w:rPr>
      </w:pPr>
      <w:r>
        <w:rPr>
          <w:lang w:bidi="ar-DZ"/>
        </w:rPr>
        <w:t xml:space="preserve">Il a été observé que la surexpression de la résistine chez des souris transgéniques modifiait le transport et l'absorption du glucose dépendant de l'insuline par les muscles et le tissu adipeux, ce qui semble être dû à une diminution de l'activité intrinsèque des transporteurs de glucose de la membrane cellulaire qui n'affecte pas la signalisation des récepteurs de l'insuline. L'effet indépendant de l'insuline de la résistine sur l'homéostasie du glucose est étayé par une étude antérieure qui a montré que la résistine induit l'expression d'un suppresseur de la signalisation des cytokines-3, qui a pour fonction d'inhiber la signalisation de l'insuline (Stappan </w:t>
      </w:r>
      <w:r w:rsidRPr="0049264F">
        <w:rPr>
          <w:i/>
          <w:iCs/>
          <w:lang w:bidi="ar-DZ"/>
        </w:rPr>
        <w:t>et al.,</w:t>
      </w:r>
      <w:r>
        <w:rPr>
          <w:lang w:bidi="ar-DZ"/>
        </w:rPr>
        <w:t xml:space="preserve"> 2005). La résistine stimule la gluconéogenèse dans le foie, une action qui est mise en évidence par une faible production hépatique de glucose chez les souris knock-out pour le gène de la résistine, un effet qui est inversé par la perfusion de résistine qui provoque une augmentation du niveau de glucose d'environ 25 % (Rangwala </w:t>
      </w:r>
      <w:r w:rsidRPr="0049264F">
        <w:rPr>
          <w:i/>
          <w:iCs/>
          <w:lang w:bidi="ar-DZ"/>
        </w:rPr>
        <w:t>et al.,</w:t>
      </w:r>
      <w:r>
        <w:rPr>
          <w:lang w:bidi="ar-DZ"/>
        </w:rPr>
        <w:t xml:space="preserve"> 2004). De plus, l'hyperrésistinémie entraîne une augmentation du taux de glucose à jeun, une augmentation de la production de glucose par le foie et l'activation des enzymes gluconéogènes.</w:t>
      </w:r>
    </w:p>
    <w:p w14:paraId="576F49B6" w14:textId="689223D5" w:rsidR="00DB4145" w:rsidRDefault="0049264F" w:rsidP="00B30DDC">
      <w:pPr>
        <w:rPr>
          <w:lang w:bidi="ar-DZ"/>
        </w:rPr>
      </w:pPr>
      <w:r>
        <w:rPr>
          <w:lang w:bidi="ar-DZ"/>
        </w:rPr>
        <w:t>Des niveaux élevés de résistine stimulent l'expression du facteur de nécrose tumorale alpha et de l'interleukine-6 dans les macrophages humains et murins par la voie dépendante du NF-kB, ce qui entraîne une IR. En outre, une augmentation du taux de résistine entraîne une résistance à la leptine, ce qui contribue au développement de l’IR (Abdalla., 2021</w:t>
      </w:r>
      <w:r w:rsidR="00F662F4">
        <w:rPr>
          <w:lang w:bidi="ar-DZ"/>
        </w:rPr>
        <w:t>), comme l'illustre la figure 12</w:t>
      </w:r>
      <w:r>
        <w:rPr>
          <w:lang w:bidi="ar-DZ"/>
        </w:rPr>
        <w:t>:</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0"/>
      </w:tblGrid>
      <w:tr w:rsidR="00DB4145" w14:paraId="020945F1" w14:textId="77777777" w:rsidTr="00DB4145">
        <w:tc>
          <w:tcPr>
            <w:tcW w:w="9494" w:type="dxa"/>
          </w:tcPr>
          <w:p w14:paraId="446C1909" w14:textId="1A038462" w:rsidR="00DB4145" w:rsidRDefault="00CE3E71" w:rsidP="00DB4145">
            <w:pPr>
              <w:rPr>
                <w:lang w:bidi="ar-DZ"/>
              </w:rPr>
            </w:pPr>
            <w:r>
              <w:rPr>
                <w:noProof/>
                <w:lang w:eastAsia="fr-FR"/>
              </w:rPr>
              <w:lastRenderedPageBreak/>
              <w:drawing>
                <wp:inline distT="0" distB="0" distL="0" distR="0" wp14:anchorId="13FA5D60" wp14:editId="06DCE114">
                  <wp:extent cx="5972810" cy="2684145"/>
                  <wp:effectExtent l="0" t="0" r="8890" b="190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972810" cy="2684145"/>
                          </a:xfrm>
                          <a:prstGeom prst="rect">
                            <a:avLst/>
                          </a:prstGeom>
                        </pic:spPr>
                      </pic:pic>
                    </a:graphicData>
                  </a:graphic>
                </wp:inline>
              </w:drawing>
            </w:r>
          </w:p>
        </w:tc>
      </w:tr>
      <w:tr w:rsidR="00DB4145" w14:paraId="2444D809" w14:textId="77777777" w:rsidTr="00DB4145">
        <w:tc>
          <w:tcPr>
            <w:tcW w:w="9494" w:type="dxa"/>
          </w:tcPr>
          <w:p w14:paraId="38CCCF98" w14:textId="20B45020" w:rsidR="00DB4145" w:rsidRPr="00C6005B" w:rsidRDefault="00DB4145" w:rsidP="00C6005B">
            <w:pPr>
              <w:pStyle w:val="Lgende"/>
              <w:jc w:val="center"/>
              <w:rPr>
                <w:i w:val="0"/>
                <w:iCs w:val="0"/>
                <w:color w:val="000000" w:themeColor="text1"/>
                <w:sz w:val="24"/>
                <w:szCs w:val="24"/>
                <w:lang w:bidi="ar-DZ"/>
              </w:rPr>
            </w:pPr>
            <w:bookmarkStart w:id="139" w:name="_Toc167308120"/>
            <w:r w:rsidRPr="007E6869">
              <w:rPr>
                <w:b/>
                <w:bCs/>
                <w:i w:val="0"/>
                <w:iCs w:val="0"/>
                <w:color w:val="000000" w:themeColor="text1"/>
                <w:sz w:val="24"/>
                <w:szCs w:val="24"/>
              </w:rPr>
              <w:t xml:space="preserve">Figure </w:t>
            </w:r>
            <w:r w:rsidR="00A74890">
              <w:rPr>
                <w:b/>
                <w:bCs/>
                <w:i w:val="0"/>
                <w:iCs w:val="0"/>
                <w:color w:val="000000" w:themeColor="text1"/>
                <w:sz w:val="24"/>
                <w:szCs w:val="24"/>
              </w:rPr>
              <w:t>12</w:t>
            </w:r>
            <w:r w:rsidRPr="007E6869">
              <w:rPr>
                <w:b/>
                <w:bCs/>
                <w:i w:val="0"/>
                <w:iCs w:val="0"/>
                <w:color w:val="000000" w:themeColor="text1"/>
                <w:sz w:val="24"/>
                <w:szCs w:val="24"/>
              </w:rPr>
              <w:t>.</w:t>
            </w:r>
            <w:r w:rsidRPr="00DB4145">
              <w:rPr>
                <w:i w:val="0"/>
                <w:iCs w:val="0"/>
                <w:color w:val="000000" w:themeColor="text1"/>
                <w:sz w:val="24"/>
                <w:szCs w:val="24"/>
              </w:rPr>
              <w:t xml:space="preserve"> Mécanisme de résistance à l'</w:t>
            </w:r>
            <w:r w:rsidR="00B813C0">
              <w:rPr>
                <w:i w:val="0"/>
                <w:iCs w:val="0"/>
                <w:color w:val="000000" w:themeColor="text1"/>
                <w:sz w:val="24"/>
                <w:szCs w:val="24"/>
              </w:rPr>
              <w:t>i</w:t>
            </w:r>
            <w:r w:rsidRPr="00DB4145">
              <w:rPr>
                <w:i w:val="0"/>
                <w:iCs w:val="0"/>
                <w:color w:val="000000" w:themeColor="text1"/>
                <w:sz w:val="24"/>
                <w:szCs w:val="24"/>
              </w:rPr>
              <w:t>nsuline et de l'intolérance au glucose induit par la résistine TNF-α ; IL-6 (Abdalla, 2021).</w:t>
            </w:r>
            <w:bookmarkEnd w:id="139"/>
          </w:p>
        </w:tc>
      </w:tr>
    </w:tbl>
    <w:p w14:paraId="3A86C7F6" w14:textId="7FFCCAD7" w:rsidR="0049264F" w:rsidRPr="007E6869" w:rsidRDefault="0049264F" w:rsidP="0049264F">
      <w:pPr>
        <w:pStyle w:val="Titre3"/>
        <w:rPr>
          <w:b/>
          <w:bCs/>
          <w:lang w:bidi="ar-DZ"/>
        </w:rPr>
      </w:pPr>
      <w:bookmarkStart w:id="140" w:name="_Toc167472769"/>
      <w:bookmarkStart w:id="141" w:name="_Toc168302245"/>
      <w:bookmarkStart w:id="142" w:name="_Toc170226686"/>
      <w:r w:rsidRPr="007E6869">
        <w:rPr>
          <w:b/>
          <w:bCs/>
          <w:lang w:bidi="ar-DZ"/>
        </w:rPr>
        <w:t>Sensibilité</w:t>
      </w:r>
      <w:bookmarkEnd w:id="140"/>
      <w:r w:rsidR="00D82675">
        <w:rPr>
          <w:b/>
          <w:bCs/>
          <w:lang w:bidi="ar-DZ"/>
        </w:rPr>
        <w:t xml:space="preserve"> à l’insuline</w:t>
      </w:r>
      <w:bookmarkEnd w:id="141"/>
      <w:bookmarkEnd w:id="142"/>
    </w:p>
    <w:p w14:paraId="365CCE47" w14:textId="6C0BAC21" w:rsidR="0049264F" w:rsidRDefault="0049264F" w:rsidP="00B30DDC">
      <w:pPr>
        <w:rPr>
          <w:rFonts w:eastAsia="Calibri"/>
          <w:lang w:bidi="ar-DZ"/>
        </w:rPr>
      </w:pPr>
      <w:r w:rsidRPr="0049264F">
        <w:rPr>
          <w:rFonts w:eastAsia="Calibri"/>
          <w:lang w:bidi="ar-DZ"/>
        </w:rPr>
        <w:t xml:space="preserve">L'activité de sensibilisation à l'insuline de l'adiponectine est médiée par des interactions avec son récepteur AdipoR1 via l'activation de la voie AMPK. Trois groupes indépendants ont d'abord identifié cet effet de l'adiponectine. Il a été rapporté que la reconstitution de l'adiponectine montrait une amélioration significative de la résistance à l'insuline et de l'hypertriglycéridémie induites par l'alimentation chez les souris KKAv nourries avec un régime riche en graisses. Cela a conduit à l'hypothèse que l'adiponectine sert d'adipokine de sensibilisation à l'insuline. L'hypoadiponectinémie induite par un régime riche en graisses a été fortement associée à la résistance à l'insuline et aux syndromes métaboliques (Yamauch </w:t>
      </w:r>
      <w:r w:rsidRPr="0049264F">
        <w:rPr>
          <w:rFonts w:eastAsia="Calibri"/>
          <w:i/>
          <w:iCs/>
          <w:lang w:bidi="ar-DZ"/>
        </w:rPr>
        <w:t>et al,</w:t>
      </w:r>
      <w:r w:rsidRPr="0049264F">
        <w:rPr>
          <w:rFonts w:eastAsia="Calibri"/>
          <w:lang w:bidi="ar-DZ"/>
        </w:rPr>
        <w:t xml:space="preserve"> 2001). Des études in vivo ont déterminé qu'une augmentation du taux d'adiponectine déclenche une diminution transitoire du glucose en inhibant l'expression des enzymes gluconéogènes à la fois chez les souris de type sauvage et les souris diabétiques de type 2. Des études ont rapporté la présence de très petites quantités d'une forme tronquée/protéolytiquement clivée d'adiponectine (constituée du domaine globulaire) dans le plasma. Des études ont rapporté que le produit tronqué de l'adiponectine est impliqué dans l'augmentation de l'oxydation des acides gras dans les tissus musculaires, la réduction du glucose plasmatique et une perte de poids considérable chez les souris expérimentales (Fruebies </w:t>
      </w:r>
      <w:r w:rsidRPr="0049264F">
        <w:rPr>
          <w:rFonts w:eastAsia="Calibri"/>
          <w:i/>
          <w:iCs/>
          <w:lang w:bidi="ar-DZ"/>
        </w:rPr>
        <w:t>et al,</w:t>
      </w:r>
      <w:r w:rsidRPr="0049264F">
        <w:rPr>
          <w:rFonts w:eastAsia="Calibri"/>
          <w:lang w:bidi="ar-DZ"/>
        </w:rPr>
        <w:t xml:space="preserve"> 2001)</w:t>
      </w:r>
      <w:r>
        <w:rPr>
          <w:rFonts w:eastAsia="Calibri"/>
          <w:lang w:bidi="ar-DZ"/>
        </w:rPr>
        <w:t>.</w:t>
      </w:r>
    </w:p>
    <w:p w14:paraId="16D75BE9" w14:textId="23A97990" w:rsidR="0049264F" w:rsidRDefault="0049264F" w:rsidP="0049264F">
      <w:pPr>
        <w:pStyle w:val="Titre2"/>
        <w:rPr>
          <w:lang w:bidi="ar-DZ"/>
        </w:rPr>
      </w:pPr>
      <w:bookmarkStart w:id="143" w:name="_Toc167472770"/>
      <w:bookmarkStart w:id="144" w:name="_Toc168302246"/>
      <w:bookmarkStart w:id="145" w:name="_Toc170226687"/>
      <w:r w:rsidRPr="0049264F">
        <w:rPr>
          <w:lang w:bidi="ar-DZ"/>
        </w:rPr>
        <w:lastRenderedPageBreak/>
        <w:t>Maladies cardiovasculaire</w:t>
      </w:r>
      <w:bookmarkEnd w:id="143"/>
      <w:bookmarkEnd w:id="144"/>
      <w:bookmarkEnd w:id="145"/>
    </w:p>
    <w:p w14:paraId="0FC74F1F" w14:textId="77777777" w:rsidR="00DB4145" w:rsidRDefault="00DB4145" w:rsidP="00C6005B">
      <w:pPr>
        <w:jc w:val="left"/>
        <w:rPr>
          <w:lang w:bidi="ar-DZ"/>
        </w:rPr>
      </w:pPr>
      <w:r>
        <w:rPr>
          <w:lang w:bidi="ar-DZ"/>
        </w:rPr>
        <w:t>Les maladies cardiovasculaires sont la première cause de mortalité dans le monde : Quatre décès sur cinq par maladie cardiovasculaire dans le monde surviennent par crise cardiaque ou AVC (accident vasculaire cérébral). Elles constituent un ensemble de troubles affectant le cœur et les vaisseaux sanguins, qui comprennent :</w:t>
      </w:r>
    </w:p>
    <w:p w14:paraId="795272A5" w14:textId="1DC4E0A5" w:rsidR="00DB4145" w:rsidRPr="00570F76" w:rsidRDefault="00DB4145" w:rsidP="000E28D5">
      <w:pPr>
        <w:jc w:val="left"/>
        <w:rPr>
          <w:lang w:bidi="ar-DZ"/>
        </w:rPr>
      </w:pPr>
      <w:r>
        <w:rPr>
          <w:lang w:bidi="ar-DZ"/>
        </w:rPr>
        <w:t xml:space="preserve">Maladie coronarienne (affectant les vaisseaux sanguins </w:t>
      </w:r>
      <w:r w:rsidR="00C6005B">
        <w:rPr>
          <w:lang w:bidi="ar-DZ"/>
        </w:rPr>
        <w:t xml:space="preserve">alimentant le muscle cardiaque). </w:t>
      </w:r>
      <w:r>
        <w:rPr>
          <w:lang w:bidi="ar-DZ"/>
        </w:rPr>
        <w:t>L'athérosclérose (affection chronique et progressif qui se manifeste par des accumulations de lipides et de fib</w:t>
      </w:r>
      <w:r w:rsidR="00C6005B">
        <w:rPr>
          <w:lang w:bidi="ar-DZ"/>
        </w:rPr>
        <w:t xml:space="preserve">res dans la paroi des artères).                                                                               </w:t>
      </w:r>
      <w:r>
        <w:rPr>
          <w:lang w:bidi="ar-DZ"/>
        </w:rPr>
        <w:t>Maladie artérielle périphérique (affectant les vaisseaux sanguins ali</w:t>
      </w:r>
      <w:r w:rsidR="00C6005B">
        <w:rPr>
          <w:lang w:bidi="ar-DZ"/>
        </w:rPr>
        <w:t xml:space="preserve">mentant les bras et les jambes)                                                                                                                                          </w:t>
      </w:r>
      <w:r>
        <w:rPr>
          <w:lang w:bidi="ar-DZ"/>
        </w:rPr>
        <w:t>Maladie cardiaque rhumatismale (affectant le muscle et les valves cardiaques, résultant d'un rhumatisme articulaire aigu causé par</w:t>
      </w:r>
      <w:r w:rsidR="00C6005B">
        <w:rPr>
          <w:lang w:bidi="ar-DZ"/>
        </w:rPr>
        <w:t xml:space="preserve"> des bactéries streptocoques).                                   </w:t>
      </w:r>
      <w:r>
        <w:rPr>
          <w:lang w:bidi="ar-DZ"/>
        </w:rPr>
        <w:t>L'hypertension (un problème courant, chronique et associé à l'âge, qui entraîne fréquemment des problèmes cardiovas</w:t>
      </w:r>
      <w:r w:rsidR="000E28D5">
        <w:rPr>
          <w:lang w:bidi="ar-DZ"/>
        </w:rPr>
        <w:t>culaires et rénaux débilitants) (</w:t>
      </w:r>
      <w:r w:rsidR="000E28D5" w:rsidRPr="000E28D5">
        <w:rPr>
          <w:lang w:bidi="ar-DZ"/>
        </w:rPr>
        <w:t xml:space="preserve">Taler, 2018). </w:t>
      </w:r>
    </w:p>
    <w:p w14:paraId="335F654B" w14:textId="5865E534" w:rsidR="0049264F" w:rsidRDefault="0049264F" w:rsidP="00B30DDC">
      <w:pPr>
        <w:rPr>
          <w:rFonts w:asciiTheme="majorBidi" w:hAnsiTheme="majorBidi" w:cstheme="majorBidi"/>
          <w:lang w:bidi="ar-DZ"/>
        </w:rPr>
      </w:pPr>
      <w:r w:rsidRPr="00704404">
        <w:rPr>
          <w:rFonts w:asciiTheme="majorBidi" w:hAnsiTheme="majorBidi" w:cstheme="majorBidi"/>
          <w:lang w:bidi="ar-DZ"/>
        </w:rPr>
        <w:t>L'omentine-1 a supprimé de manière significative la formation de cellules spumeuses dans les macrophages humains.</w:t>
      </w:r>
      <w:r>
        <w:rPr>
          <w:rFonts w:asciiTheme="majorBidi" w:hAnsiTheme="majorBidi" w:cstheme="majorBidi"/>
          <w:lang w:bidi="ar-DZ"/>
        </w:rPr>
        <w:t xml:space="preserve"> </w:t>
      </w:r>
      <w:r w:rsidRPr="00704404">
        <w:rPr>
          <w:rFonts w:asciiTheme="majorBidi" w:hAnsiTheme="majorBidi" w:cstheme="majorBidi"/>
          <w:lang w:bidi="ar-DZ"/>
        </w:rPr>
        <w:t>La perfusion chronique d'omentine-1 à des souris knockout apoE a réduit les lésions athérosclérotiques et a diminué l'infiltration des macrophages dans l</w:t>
      </w:r>
      <w:r>
        <w:rPr>
          <w:rFonts w:asciiTheme="majorBidi" w:hAnsiTheme="majorBidi" w:cstheme="majorBidi"/>
          <w:lang w:bidi="ar-DZ"/>
        </w:rPr>
        <w:t>es plaques d'athérosclérose</w:t>
      </w:r>
      <w:r w:rsidRPr="00704404">
        <w:rPr>
          <w:rFonts w:asciiTheme="majorBidi" w:hAnsiTheme="majorBidi" w:cstheme="majorBidi"/>
          <w:lang w:bidi="ar-DZ"/>
        </w:rPr>
        <w:t>.</w:t>
      </w:r>
      <w:r>
        <w:rPr>
          <w:rFonts w:asciiTheme="majorBidi" w:hAnsiTheme="majorBidi" w:cstheme="majorBidi"/>
          <w:lang w:bidi="ar-DZ"/>
        </w:rPr>
        <w:t xml:space="preserve"> </w:t>
      </w:r>
      <w:r w:rsidRPr="00704404">
        <w:rPr>
          <w:rFonts w:asciiTheme="majorBidi" w:hAnsiTheme="majorBidi" w:cstheme="majorBidi"/>
          <w:lang w:bidi="ar-DZ"/>
        </w:rPr>
        <w:t>L’infiltration de macrophages dans l</w:t>
      </w:r>
      <w:r>
        <w:rPr>
          <w:rFonts w:asciiTheme="majorBidi" w:hAnsiTheme="majorBidi" w:cstheme="majorBidi"/>
          <w:lang w:bidi="ar-DZ"/>
        </w:rPr>
        <w:t>es plaques d'athérosclérose</w:t>
      </w:r>
      <w:r w:rsidRPr="00704404">
        <w:rPr>
          <w:rFonts w:asciiTheme="majorBidi" w:hAnsiTheme="majorBidi" w:cstheme="majorBidi"/>
          <w:lang w:bidi="ar-DZ"/>
        </w:rPr>
        <w:t>. Dans une étude transversale</w:t>
      </w:r>
      <w:r>
        <w:rPr>
          <w:rFonts w:asciiTheme="majorBidi" w:hAnsiTheme="majorBidi" w:cstheme="majorBidi"/>
          <w:lang w:bidi="ar-DZ"/>
        </w:rPr>
        <w:t xml:space="preserve"> </w:t>
      </w:r>
      <w:r w:rsidRPr="00704404">
        <w:rPr>
          <w:rFonts w:asciiTheme="majorBidi" w:hAnsiTheme="majorBidi" w:cstheme="majorBidi"/>
          <w:lang w:bidi="ar-DZ"/>
        </w:rPr>
        <w:t>transversale de patients atteints de</w:t>
      </w:r>
      <w:r>
        <w:rPr>
          <w:rFonts w:asciiTheme="majorBidi" w:hAnsiTheme="majorBidi" w:cstheme="majorBidi"/>
          <w:lang w:bidi="ar-DZ"/>
        </w:rPr>
        <w:t xml:space="preserve"> DT2</w:t>
      </w:r>
      <w:r w:rsidRPr="00704404">
        <w:rPr>
          <w:rFonts w:asciiTheme="majorBidi" w:hAnsiTheme="majorBidi" w:cstheme="majorBidi"/>
          <w:lang w:bidi="ar-DZ"/>
        </w:rPr>
        <w:t>,</w:t>
      </w:r>
      <w:r>
        <w:rPr>
          <w:rFonts w:asciiTheme="majorBidi" w:hAnsiTheme="majorBidi" w:cstheme="majorBidi"/>
          <w:lang w:bidi="ar-DZ"/>
        </w:rPr>
        <w:t xml:space="preserve">  </w:t>
      </w:r>
      <w:r w:rsidRPr="00704404">
        <w:rPr>
          <w:rFonts w:asciiTheme="majorBidi" w:hAnsiTheme="majorBidi" w:cstheme="majorBidi"/>
          <w:lang w:bidi="ar-DZ"/>
        </w:rPr>
        <w:t>l'omentine-1 était inversement liée à la rigidité artérielle et à la formatio</w:t>
      </w:r>
      <w:r w:rsidR="00067719">
        <w:rPr>
          <w:rFonts w:asciiTheme="majorBidi" w:hAnsiTheme="majorBidi" w:cstheme="majorBidi"/>
          <w:lang w:bidi="ar-DZ"/>
        </w:rPr>
        <w:t>n de plaques carotidiennes</w:t>
      </w:r>
      <w:r>
        <w:rPr>
          <w:rFonts w:asciiTheme="majorBidi" w:hAnsiTheme="majorBidi" w:cstheme="majorBidi"/>
          <w:lang w:bidi="ar-DZ"/>
        </w:rPr>
        <w:t xml:space="preserve"> </w:t>
      </w:r>
      <w:r w:rsidRPr="00704404">
        <w:rPr>
          <w:rFonts w:asciiTheme="majorBidi" w:hAnsiTheme="majorBidi" w:cstheme="majorBidi"/>
          <w:lang w:bidi="ar-DZ"/>
        </w:rPr>
        <w:t>carotide. Cependant, le taux plasmatique d'omentine-1 était significativement plus élevé chez les patients atteints de maladie coronarienne que chez les autres.</w:t>
      </w:r>
      <w:r>
        <w:rPr>
          <w:rFonts w:asciiTheme="majorBidi" w:hAnsiTheme="majorBidi" w:cstheme="majorBidi"/>
          <w:lang w:bidi="ar-DZ"/>
        </w:rPr>
        <w:t xml:space="preserve"> </w:t>
      </w:r>
      <w:r w:rsidRPr="00704404">
        <w:rPr>
          <w:rFonts w:asciiTheme="majorBidi" w:hAnsiTheme="majorBidi" w:cstheme="majorBidi"/>
          <w:lang w:bidi="ar-DZ"/>
        </w:rPr>
        <w:t>Chez les patients atteints de maladie coronarienne par rapport aux autres patien</w:t>
      </w:r>
      <w:r>
        <w:rPr>
          <w:rFonts w:asciiTheme="majorBidi" w:hAnsiTheme="majorBidi" w:cstheme="majorBidi"/>
          <w:lang w:bidi="ar-DZ"/>
        </w:rPr>
        <w:t>ts ou aux volontaires sains</w:t>
      </w:r>
      <w:r w:rsidRPr="00704404">
        <w:rPr>
          <w:rFonts w:asciiTheme="majorBidi" w:hAnsiTheme="majorBidi" w:cstheme="majorBidi"/>
          <w:lang w:bidi="ar-DZ"/>
        </w:rPr>
        <w:t>. Une récente étude prospective,</w:t>
      </w:r>
      <w:r>
        <w:rPr>
          <w:rFonts w:asciiTheme="majorBidi" w:hAnsiTheme="majorBidi" w:cstheme="majorBidi"/>
          <w:lang w:bidi="ar-DZ"/>
        </w:rPr>
        <w:t xml:space="preserve"> </w:t>
      </w:r>
      <w:r w:rsidRPr="00704404">
        <w:rPr>
          <w:rFonts w:asciiTheme="majorBidi" w:hAnsiTheme="majorBidi" w:cstheme="majorBidi"/>
          <w:lang w:bidi="ar-DZ"/>
        </w:rPr>
        <w:t>Une récente étude prospective de suivi sur 14 ans de patients diabétiques sans antécédent cardiovasculaire a observé que des niveaux plus élevés d'omentine-1 étaient associés à un risque plus élevé d'événements cardiovasculaires, d'incidence composite de myocardique et d'accident vasculaire cérébral.</w:t>
      </w:r>
      <w:r>
        <w:rPr>
          <w:rFonts w:asciiTheme="majorBidi" w:hAnsiTheme="majorBidi" w:cstheme="majorBidi"/>
          <w:lang w:bidi="ar-DZ"/>
        </w:rPr>
        <w:t xml:space="preserve"> </w:t>
      </w:r>
      <w:r w:rsidRPr="00704404">
        <w:rPr>
          <w:rFonts w:asciiTheme="majorBidi" w:hAnsiTheme="majorBidi" w:cstheme="majorBidi"/>
          <w:lang w:bidi="ar-DZ"/>
        </w:rPr>
        <w:t>D’événements cardiovasculaires, incidence composite d'infarctus du myocarde, d'accident vasculaire cérébral ou de décès</w:t>
      </w:r>
      <w:r>
        <w:rPr>
          <w:rFonts w:asciiTheme="majorBidi" w:hAnsiTheme="majorBidi" w:cstheme="majorBidi"/>
          <w:lang w:bidi="ar-DZ"/>
        </w:rPr>
        <w:t xml:space="preserve"> CV</w:t>
      </w:r>
      <w:r w:rsidRPr="00704404">
        <w:rPr>
          <w:rFonts w:asciiTheme="majorBidi" w:hAnsiTheme="majorBidi" w:cstheme="majorBidi"/>
          <w:lang w:bidi="ar-DZ"/>
        </w:rPr>
        <w:t xml:space="preserve">, </w:t>
      </w:r>
      <w:r>
        <w:rPr>
          <w:rFonts w:asciiTheme="majorBidi" w:hAnsiTheme="majorBidi" w:cstheme="majorBidi"/>
          <w:lang w:bidi="ar-DZ"/>
        </w:rPr>
        <w:t xml:space="preserve"> </w:t>
      </w:r>
      <w:r w:rsidRPr="00704404">
        <w:rPr>
          <w:rFonts w:asciiTheme="majorBidi" w:hAnsiTheme="majorBidi" w:cstheme="majorBidi"/>
          <w:lang w:bidi="ar-DZ"/>
        </w:rPr>
        <w:t>même après ajustement p</w:t>
      </w:r>
      <w:r>
        <w:rPr>
          <w:rFonts w:asciiTheme="majorBidi" w:hAnsiTheme="majorBidi" w:cstheme="majorBidi"/>
          <w:lang w:bidi="ar-DZ"/>
        </w:rPr>
        <w:t xml:space="preserve">our d'autres facteurs de risque (Kim </w:t>
      </w:r>
      <w:r w:rsidRPr="00D87FB1">
        <w:rPr>
          <w:rFonts w:asciiTheme="majorBidi" w:hAnsiTheme="majorBidi" w:cstheme="majorBidi"/>
          <w:i/>
          <w:iCs/>
          <w:lang w:bidi="ar-DZ"/>
        </w:rPr>
        <w:t xml:space="preserve">et al., </w:t>
      </w:r>
      <w:r>
        <w:rPr>
          <w:rFonts w:asciiTheme="majorBidi" w:hAnsiTheme="majorBidi" w:cstheme="majorBidi"/>
          <w:lang w:bidi="ar-DZ"/>
        </w:rPr>
        <w:t>2022).</w:t>
      </w:r>
    </w:p>
    <w:p w14:paraId="65E69B5B" w14:textId="01C68528" w:rsidR="0049264F" w:rsidRDefault="0049264F" w:rsidP="00C6005B">
      <w:pPr>
        <w:rPr>
          <w:rFonts w:asciiTheme="majorBidi" w:hAnsiTheme="majorBidi" w:cstheme="majorBidi"/>
          <w:lang w:bidi="ar-DZ"/>
        </w:rPr>
      </w:pPr>
      <w:r w:rsidRPr="00D87FB1">
        <w:rPr>
          <w:rFonts w:asciiTheme="majorBidi" w:hAnsiTheme="majorBidi" w:cstheme="majorBidi"/>
          <w:lang w:bidi="ar-DZ"/>
        </w:rPr>
        <w:t>Le stress cardiaque induit une aug</w:t>
      </w:r>
      <w:r w:rsidR="00C6005B">
        <w:rPr>
          <w:rFonts w:asciiTheme="majorBidi" w:hAnsiTheme="majorBidi" w:cstheme="majorBidi"/>
          <w:lang w:bidi="ar-DZ"/>
        </w:rPr>
        <w:t>mentation de l'expression de</w:t>
      </w:r>
      <w:r w:rsidR="00C6005B" w:rsidRPr="00C6005B">
        <w:t xml:space="preserve"> </w:t>
      </w:r>
      <w:r w:rsidR="00C6005B" w:rsidRPr="00C6005B">
        <w:rPr>
          <w:rFonts w:asciiTheme="majorBidi" w:hAnsiTheme="majorBidi" w:cstheme="majorBidi"/>
          <w:lang w:bidi="ar-DZ"/>
        </w:rPr>
        <w:t>Lipocalin-2</w:t>
      </w:r>
      <w:r w:rsidR="00C6005B">
        <w:rPr>
          <w:rFonts w:asciiTheme="majorBidi" w:hAnsiTheme="majorBidi" w:cstheme="majorBidi"/>
          <w:lang w:bidi="ar-DZ"/>
        </w:rPr>
        <w:t xml:space="preserve"> (LCN-2). </w:t>
      </w:r>
      <w:r w:rsidRPr="00D87FB1">
        <w:rPr>
          <w:rFonts w:asciiTheme="majorBidi" w:hAnsiTheme="majorBidi" w:cstheme="majorBidi"/>
          <w:lang w:bidi="ar-DZ"/>
        </w:rPr>
        <w:t>Des niveaux élevés de LCN-2 ont été observés dans les cardiomyocytes d'un modèle de rat d'insuffisance cardiaque post-MI. Des niveaux élevés de LCN-2 ont également été détectés dans l'intima des vaisseaux cardiaques</w:t>
      </w:r>
      <w:r>
        <w:rPr>
          <w:rFonts w:asciiTheme="majorBidi" w:hAnsiTheme="majorBidi" w:cstheme="majorBidi"/>
          <w:lang w:bidi="ar-DZ"/>
        </w:rPr>
        <w:t xml:space="preserve"> après un stress hypoxique</w:t>
      </w:r>
      <w:r w:rsidRPr="00D87FB1">
        <w:rPr>
          <w:rFonts w:asciiTheme="majorBidi" w:hAnsiTheme="majorBidi" w:cstheme="majorBidi"/>
          <w:lang w:bidi="ar-DZ"/>
        </w:rPr>
        <w:t xml:space="preserve">. L'expression de la LCN-2 a </w:t>
      </w:r>
      <w:r w:rsidRPr="00D87FB1">
        <w:rPr>
          <w:rFonts w:asciiTheme="majorBidi" w:hAnsiTheme="majorBidi" w:cstheme="majorBidi"/>
          <w:lang w:bidi="ar-DZ"/>
        </w:rPr>
        <w:lastRenderedPageBreak/>
        <w:t xml:space="preserve">augmenté dans les plaques d'athérosclérose de souris knock-out pour l'apolipoprotéine E </w:t>
      </w:r>
      <w:r>
        <w:rPr>
          <w:rFonts w:asciiTheme="majorBidi" w:hAnsiTheme="majorBidi" w:cstheme="majorBidi"/>
          <w:lang w:bidi="ar-DZ"/>
        </w:rPr>
        <w:t xml:space="preserve">par rapport aux souris témoins. </w:t>
      </w:r>
      <w:r w:rsidRPr="00D87FB1">
        <w:rPr>
          <w:rFonts w:asciiTheme="majorBidi" w:hAnsiTheme="majorBidi" w:cstheme="majorBidi"/>
          <w:lang w:bidi="ar-DZ"/>
        </w:rPr>
        <w:t>Le défi que représentent la modulation et l'interprétation de la fonction dynamique des adipokines dans les organes cardiovasculaires pourrait offrir une opportunité remarquable de modifier le cours des complications cardiovasculair</w:t>
      </w:r>
      <w:r>
        <w:rPr>
          <w:rFonts w:asciiTheme="majorBidi" w:hAnsiTheme="majorBidi" w:cstheme="majorBidi"/>
          <w:lang w:bidi="ar-DZ"/>
        </w:rPr>
        <w:t xml:space="preserve">es dans le syndrome métabolique </w:t>
      </w:r>
      <w:r w:rsidRPr="00D87FB1">
        <w:rPr>
          <w:rFonts w:asciiTheme="majorBidi" w:hAnsiTheme="majorBidi" w:cstheme="majorBidi"/>
          <w:lang w:bidi="ar-DZ"/>
        </w:rPr>
        <w:t xml:space="preserve">(Kim </w:t>
      </w:r>
      <w:r w:rsidRPr="00D87FB1">
        <w:rPr>
          <w:rFonts w:asciiTheme="majorBidi" w:hAnsiTheme="majorBidi" w:cstheme="majorBidi"/>
          <w:i/>
          <w:iCs/>
          <w:lang w:bidi="ar-DZ"/>
        </w:rPr>
        <w:t>et al.,</w:t>
      </w:r>
      <w:r w:rsidRPr="00D87FB1">
        <w:rPr>
          <w:rFonts w:asciiTheme="majorBidi" w:hAnsiTheme="majorBidi" w:cstheme="majorBidi"/>
          <w:lang w:bidi="ar-DZ"/>
        </w:rPr>
        <w:t xml:space="preserve"> 2022).</w:t>
      </w:r>
    </w:p>
    <w:p w14:paraId="2D533A3F" w14:textId="61AD3401" w:rsidR="0049264F" w:rsidRPr="007E6869" w:rsidRDefault="0049264F" w:rsidP="00032A60">
      <w:pPr>
        <w:pStyle w:val="Titre3"/>
        <w:rPr>
          <w:b/>
          <w:bCs/>
          <w:lang w:bidi="ar-DZ"/>
        </w:rPr>
      </w:pPr>
      <w:bookmarkStart w:id="146" w:name="_Toc167472773"/>
      <w:bookmarkStart w:id="147" w:name="_Toc168302247"/>
      <w:bookmarkStart w:id="148" w:name="_Toc170226688"/>
      <w:r w:rsidRPr="007E6869">
        <w:rPr>
          <w:b/>
          <w:bCs/>
          <w:lang w:bidi="ar-DZ"/>
        </w:rPr>
        <w:t>L’athérosclérose</w:t>
      </w:r>
      <w:bookmarkEnd w:id="146"/>
      <w:bookmarkEnd w:id="147"/>
      <w:bookmarkEnd w:id="148"/>
    </w:p>
    <w:p w14:paraId="28AE5078" w14:textId="77777777" w:rsidR="0049264F" w:rsidRDefault="0049264F" w:rsidP="00B30DDC">
      <w:pPr>
        <w:rPr>
          <w:rFonts w:asciiTheme="majorBidi" w:hAnsiTheme="majorBidi" w:cstheme="majorBidi"/>
          <w:lang w:bidi="ar-DZ"/>
        </w:rPr>
      </w:pPr>
      <w:r w:rsidRPr="00CE4CF9">
        <w:rPr>
          <w:rFonts w:asciiTheme="majorBidi" w:hAnsiTheme="majorBidi" w:cstheme="majorBidi"/>
          <w:lang w:bidi="ar-DZ"/>
        </w:rPr>
        <w:t>L'adiponectine a été étudiée dans le contexte de l'athérosclérose. Dans les vaisseaux sanguins blessés, l'adiponectine</w:t>
      </w:r>
      <w:r>
        <w:rPr>
          <w:rFonts w:asciiTheme="majorBidi" w:hAnsiTheme="majorBidi" w:cstheme="majorBidi"/>
          <w:lang w:bidi="ar-DZ"/>
        </w:rPr>
        <w:t xml:space="preserve"> </w:t>
      </w:r>
      <w:r w:rsidRPr="00CE4CF9">
        <w:rPr>
          <w:rFonts w:asciiTheme="majorBidi" w:hAnsiTheme="majorBidi" w:cstheme="majorBidi"/>
          <w:lang w:bidi="ar-DZ"/>
        </w:rPr>
        <w:t>Il a été rapporté qu'il se liait au collagène de type I, III et V</w:t>
      </w:r>
      <w:r>
        <w:rPr>
          <w:rFonts w:asciiTheme="majorBidi" w:hAnsiTheme="majorBidi" w:cstheme="majorBidi"/>
          <w:lang w:bidi="ar-DZ"/>
        </w:rPr>
        <w:t>,</w:t>
      </w:r>
      <w:r w:rsidRPr="00CE4CF9">
        <w:t xml:space="preserve"> </w:t>
      </w:r>
      <w:r w:rsidRPr="00CE4CF9">
        <w:rPr>
          <w:rFonts w:asciiTheme="majorBidi" w:hAnsiTheme="majorBidi" w:cstheme="majorBidi"/>
          <w:lang w:bidi="ar-DZ"/>
        </w:rPr>
        <w:t>suggérant</w:t>
      </w:r>
      <w:r>
        <w:rPr>
          <w:rFonts w:asciiTheme="majorBidi" w:hAnsiTheme="majorBidi" w:cstheme="majorBidi"/>
          <w:lang w:bidi="ar-DZ"/>
        </w:rPr>
        <w:t xml:space="preserve"> </w:t>
      </w:r>
      <w:r w:rsidRPr="00CE4CF9">
        <w:rPr>
          <w:rFonts w:asciiTheme="majorBidi" w:hAnsiTheme="majorBidi" w:cstheme="majorBidi"/>
          <w:lang w:bidi="ar-DZ"/>
        </w:rPr>
        <w:t xml:space="preserve">un rôle dans la réparation du système vasculaire </w:t>
      </w:r>
      <w:r>
        <w:rPr>
          <w:rFonts w:asciiTheme="majorBidi" w:hAnsiTheme="majorBidi" w:cstheme="majorBidi"/>
          <w:lang w:bidi="ar-DZ"/>
        </w:rPr>
        <w:t>.</w:t>
      </w:r>
      <w:r w:rsidRPr="00CE4CF9">
        <w:rPr>
          <w:rFonts w:asciiTheme="majorBidi" w:hAnsiTheme="majorBidi" w:cstheme="majorBidi"/>
          <w:lang w:bidi="ar-DZ"/>
        </w:rPr>
        <w:t>Il</w:t>
      </w:r>
      <w:r>
        <w:rPr>
          <w:rFonts w:asciiTheme="majorBidi" w:hAnsiTheme="majorBidi" w:cstheme="majorBidi"/>
          <w:lang w:bidi="ar-DZ"/>
        </w:rPr>
        <w:t xml:space="preserve"> </w:t>
      </w:r>
      <w:r w:rsidRPr="00CE4CF9">
        <w:rPr>
          <w:rFonts w:asciiTheme="majorBidi" w:hAnsiTheme="majorBidi" w:cstheme="majorBidi"/>
          <w:lang w:bidi="ar-DZ"/>
        </w:rPr>
        <w:t>supprime l'expression de la protéine 1 d'adhésion des cellules vasculaires (VCAM-1) dans les monocytes, entraînant une suppression</w:t>
      </w:r>
      <w:r>
        <w:rPr>
          <w:rFonts w:asciiTheme="majorBidi" w:hAnsiTheme="majorBidi" w:cstheme="majorBidi"/>
          <w:lang w:bidi="ar-DZ"/>
        </w:rPr>
        <w:t xml:space="preserve"> </w:t>
      </w:r>
      <w:r w:rsidRPr="00CE4CF9">
        <w:rPr>
          <w:rFonts w:asciiTheme="majorBidi" w:hAnsiTheme="majorBidi" w:cstheme="majorBidi"/>
          <w:lang w:bidi="ar-DZ"/>
        </w:rPr>
        <w:t>de la synthèse du TNFα, les empêchant ainsi d'adhérer aux cellules endothéliales aortiques. Adiponectine</w:t>
      </w:r>
      <w:r>
        <w:rPr>
          <w:rFonts w:asciiTheme="majorBidi" w:hAnsiTheme="majorBidi" w:cstheme="majorBidi"/>
          <w:lang w:bidi="ar-DZ"/>
        </w:rPr>
        <w:t xml:space="preserve"> </w:t>
      </w:r>
      <w:r w:rsidRPr="00CE4CF9">
        <w:rPr>
          <w:rFonts w:asciiTheme="majorBidi" w:hAnsiTheme="majorBidi" w:cstheme="majorBidi"/>
          <w:lang w:bidi="ar-DZ"/>
        </w:rPr>
        <w:t>inhibe également le récepteur piégeur de macrophages de classe A dans les macrophages, les empêchant d'être</w:t>
      </w:r>
      <w:r>
        <w:rPr>
          <w:rFonts w:asciiTheme="majorBidi" w:hAnsiTheme="majorBidi" w:cstheme="majorBidi"/>
          <w:lang w:bidi="ar-DZ"/>
        </w:rPr>
        <w:t xml:space="preserve"> </w:t>
      </w:r>
      <w:r w:rsidRPr="00CE4CF9">
        <w:rPr>
          <w:rFonts w:asciiTheme="majorBidi" w:hAnsiTheme="majorBidi" w:cstheme="majorBidi"/>
          <w:lang w:bidi="ar-DZ"/>
        </w:rPr>
        <w:t>transformés en cellules spumeuses, responsables de l’athérosclérose. Il a également été proposé que l'adiponectine</w:t>
      </w:r>
      <w:r>
        <w:rPr>
          <w:rFonts w:asciiTheme="majorBidi" w:hAnsiTheme="majorBidi" w:cstheme="majorBidi"/>
          <w:lang w:bidi="ar-DZ"/>
        </w:rPr>
        <w:t xml:space="preserve"> </w:t>
      </w:r>
      <w:r w:rsidRPr="00CE4CF9">
        <w:rPr>
          <w:rFonts w:asciiTheme="majorBidi" w:hAnsiTheme="majorBidi" w:cstheme="majorBidi"/>
          <w:lang w:bidi="ar-DZ"/>
        </w:rPr>
        <w:t>la variation génétique peut être utilisée comme prédicteur du risque de maladie coronarienne puisque les homozygotes T/T du</w:t>
      </w:r>
      <w:r>
        <w:rPr>
          <w:rFonts w:asciiTheme="majorBidi" w:hAnsiTheme="majorBidi" w:cstheme="majorBidi"/>
          <w:lang w:bidi="ar-DZ"/>
        </w:rPr>
        <w:t xml:space="preserve"> </w:t>
      </w:r>
      <w:r w:rsidRPr="00CE4CF9">
        <w:rPr>
          <w:rFonts w:asciiTheme="majorBidi" w:hAnsiTheme="majorBidi" w:cstheme="majorBidi"/>
          <w:lang w:bidi="ar-DZ"/>
        </w:rPr>
        <w:t>Le gène de l'adiponectine présentait un risque plus faible de développer une maladie coronarienne par rapport au G/G ou au G/T</w:t>
      </w:r>
      <w:r>
        <w:rPr>
          <w:rFonts w:asciiTheme="majorBidi" w:hAnsiTheme="majorBidi" w:cstheme="majorBidi"/>
          <w:lang w:bidi="ar-DZ"/>
        </w:rPr>
        <w:t xml:space="preserve"> </w:t>
      </w:r>
      <w:r w:rsidRPr="00CE4CF9">
        <w:rPr>
          <w:rFonts w:asciiTheme="majorBidi" w:hAnsiTheme="majorBidi" w:cstheme="majorBidi"/>
          <w:lang w:bidi="ar-DZ"/>
        </w:rPr>
        <w:t>génotype individu</w:t>
      </w:r>
      <w:r>
        <w:rPr>
          <w:rFonts w:asciiTheme="majorBidi" w:hAnsiTheme="majorBidi" w:cstheme="majorBidi"/>
          <w:lang w:bidi="ar-DZ"/>
        </w:rPr>
        <w:t xml:space="preserve"> </w:t>
      </w:r>
      <w:r w:rsidRPr="00CE4CF9">
        <w:rPr>
          <w:rFonts w:asciiTheme="majorBidi" w:hAnsiTheme="majorBidi" w:cstheme="majorBidi"/>
          <w:lang w:bidi="ar-DZ"/>
        </w:rPr>
        <w:t xml:space="preserve">(Sheetal </w:t>
      </w:r>
      <w:r w:rsidRPr="00CE4CF9">
        <w:rPr>
          <w:rFonts w:asciiTheme="majorBidi" w:hAnsiTheme="majorBidi" w:cstheme="majorBidi"/>
          <w:i/>
          <w:iCs/>
          <w:lang w:bidi="ar-DZ"/>
        </w:rPr>
        <w:t>et al.,</w:t>
      </w:r>
      <w:r w:rsidRPr="00CE4CF9">
        <w:rPr>
          <w:rFonts w:asciiTheme="majorBidi" w:hAnsiTheme="majorBidi" w:cstheme="majorBidi"/>
          <w:lang w:bidi="ar-DZ"/>
        </w:rPr>
        <w:t xml:space="preserve"> 2019)</w:t>
      </w:r>
      <w:r>
        <w:rPr>
          <w:rFonts w:asciiTheme="majorBidi" w:hAnsiTheme="majorBidi" w:cstheme="majorBidi"/>
          <w:lang w:bidi="ar-DZ"/>
        </w:rPr>
        <w:t>.</w:t>
      </w:r>
    </w:p>
    <w:p w14:paraId="4251D94B" w14:textId="33D203D2" w:rsidR="0049264F" w:rsidRPr="007E6869" w:rsidRDefault="0049264F" w:rsidP="0049264F">
      <w:pPr>
        <w:pStyle w:val="Titre3"/>
        <w:rPr>
          <w:b/>
          <w:bCs/>
          <w:lang w:bidi="ar-DZ"/>
        </w:rPr>
      </w:pPr>
      <w:bookmarkStart w:id="149" w:name="_Toc167472774"/>
      <w:bookmarkStart w:id="150" w:name="_Toc168302248"/>
      <w:bookmarkStart w:id="151" w:name="_Toc170226689"/>
      <w:r w:rsidRPr="007E6869">
        <w:rPr>
          <w:b/>
          <w:bCs/>
          <w:lang w:bidi="ar-DZ"/>
        </w:rPr>
        <w:t>L’hypertension</w:t>
      </w:r>
      <w:bookmarkEnd w:id="149"/>
      <w:bookmarkEnd w:id="150"/>
      <w:bookmarkEnd w:id="151"/>
    </w:p>
    <w:p w14:paraId="570AF53C" w14:textId="7D3E9219" w:rsidR="00032A60" w:rsidRDefault="00032A60" w:rsidP="00A74890">
      <w:pPr>
        <w:rPr>
          <w:lang w:bidi="ar-DZ"/>
        </w:rPr>
      </w:pPr>
      <w:r w:rsidRPr="00032A60">
        <w:rPr>
          <w:lang w:bidi="ar-DZ"/>
        </w:rPr>
        <w:t xml:space="preserve">Certaines études cliniques ont démontré que les taux de résistine circulante sont associés à l'hypertension chez l'homme. Une corrélation positive entre les niveaux de résistine plasmatique et la pression artérielle a été observée chez des sujets présentant à la fois et sans DT2. (Thomopoulos </w:t>
      </w:r>
      <w:r w:rsidRPr="00B30DDC">
        <w:rPr>
          <w:i/>
          <w:iCs/>
          <w:lang w:bidi="ar-DZ"/>
        </w:rPr>
        <w:t>et al.,</w:t>
      </w:r>
      <w:r w:rsidRPr="00032A60">
        <w:rPr>
          <w:lang w:bidi="ar-DZ"/>
        </w:rPr>
        <w:t xml:space="preserve"> 2011) </w:t>
      </w:r>
      <w:r w:rsidR="00A74890">
        <w:rPr>
          <w:lang w:bidi="ar-DZ"/>
        </w:rPr>
        <w:t>l</w:t>
      </w:r>
      <w:r w:rsidRPr="00032A60">
        <w:rPr>
          <w:lang w:bidi="ar-DZ"/>
        </w:rPr>
        <w:t xml:space="preserve">es niveaux de résistine plasmatique sont augmentés chez les jeunes enfants en bonne santé d'individus souffrant d'hypertension essentielle par rapport aux jeunes progénitures saines de normo tendu (Papadopoulos </w:t>
      </w:r>
      <w:r w:rsidRPr="00B30DDC">
        <w:rPr>
          <w:i/>
          <w:iCs/>
          <w:lang w:bidi="ar-DZ"/>
        </w:rPr>
        <w:t>et al.,</w:t>
      </w:r>
      <w:r w:rsidRPr="00032A60">
        <w:rPr>
          <w:lang w:bidi="ar-DZ"/>
        </w:rPr>
        <w:t xml:space="preserve"> 2008). De plus, il a Il a été démontré que des niveaux plus élevés de résistine plasmatique sont associé à un risque accru d’hypertension incidente chez les femmes sans diabète ni hypertension, ce qui est révélateur des effets de la résistine sur le sangpression (Zhang </w:t>
      </w:r>
      <w:r w:rsidRPr="00B30DDC">
        <w:rPr>
          <w:i/>
          <w:iCs/>
          <w:lang w:bidi="ar-DZ"/>
        </w:rPr>
        <w:t>et al.,</w:t>
      </w:r>
      <w:r w:rsidRPr="00032A60">
        <w:rPr>
          <w:lang w:bidi="ar-DZ"/>
        </w:rPr>
        <w:t xml:space="preserve"> 2010). Cependant, à ce jour, les mécanismes précis la manière dont la résistine affecte la pression artérielle reste floue</w:t>
      </w:r>
      <w:r w:rsidR="00A74890">
        <w:rPr>
          <w:lang w:bidi="ar-DZ"/>
        </w:rPr>
        <w:t xml:space="preserve"> (figure 13)</w:t>
      </w:r>
      <w:r w:rsidRPr="00032A60">
        <w:rPr>
          <w:lang w:bidi="ar-DZ"/>
        </w:rPr>
        <w:t>.</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4"/>
      </w:tblGrid>
      <w:tr w:rsidR="00BB5451" w14:paraId="6A7CA309" w14:textId="77777777" w:rsidTr="00BB5451">
        <w:tc>
          <w:tcPr>
            <w:tcW w:w="9494" w:type="dxa"/>
          </w:tcPr>
          <w:p w14:paraId="116F00C1" w14:textId="51B84B0C" w:rsidR="00BB5451" w:rsidRDefault="00030136" w:rsidP="00032A60">
            <w:pPr>
              <w:rPr>
                <w:lang w:bidi="ar-DZ"/>
              </w:rPr>
            </w:pPr>
            <w:r>
              <w:rPr>
                <w:noProof/>
                <w:lang w:eastAsia="fr-FR"/>
              </w:rPr>
              <w:lastRenderedPageBreak/>
              <w:drawing>
                <wp:inline distT="0" distB="0" distL="0" distR="0" wp14:anchorId="2623DB9C" wp14:editId="4B4C012C">
                  <wp:extent cx="5778500" cy="3416300"/>
                  <wp:effectExtent l="0" t="0" r="0"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png"/>
                          <pic:cNvPicPr/>
                        </pic:nvPicPr>
                        <pic:blipFill>
                          <a:blip r:embed="rId40">
                            <a:extLst>
                              <a:ext uri="{28A0092B-C50C-407E-A947-70E740481C1C}">
                                <a14:useLocalDpi xmlns:a14="http://schemas.microsoft.com/office/drawing/2010/main" val="0"/>
                              </a:ext>
                            </a:extLst>
                          </a:blip>
                          <a:stretch>
                            <a:fillRect/>
                          </a:stretch>
                        </pic:blipFill>
                        <pic:spPr>
                          <a:xfrm>
                            <a:off x="0" y="0"/>
                            <a:ext cx="5778798" cy="3416476"/>
                          </a:xfrm>
                          <a:prstGeom prst="rect">
                            <a:avLst/>
                          </a:prstGeom>
                        </pic:spPr>
                      </pic:pic>
                    </a:graphicData>
                  </a:graphic>
                </wp:inline>
              </w:drawing>
            </w:r>
          </w:p>
        </w:tc>
      </w:tr>
      <w:tr w:rsidR="00BB5451" w14:paraId="48D05C67" w14:textId="77777777" w:rsidTr="00BB5451">
        <w:tc>
          <w:tcPr>
            <w:tcW w:w="9494" w:type="dxa"/>
          </w:tcPr>
          <w:p w14:paraId="4A876F94" w14:textId="6A206B4C" w:rsidR="00BB5451" w:rsidRPr="00890FB9" w:rsidRDefault="00BB5451" w:rsidP="00890FB9">
            <w:pPr>
              <w:pStyle w:val="Lgende"/>
              <w:jc w:val="center"/>
              <w:rPr>
                <w:i w:val="0"/>
                <w:iCs w:val="0"/>
                <w:color w:val="000000" w:themeColor="text1"/>
                <w:sz w:val="24"/>
                <w:szCs w:val="24"/>
                <w:lang w:bidi="ar-DZ"/>
              </w:rPr>
            </w:pPr>
            <w:bookmarkStart w:id="152" w:name="_Toc167308121"/>
            <w:r w:rsidRPr="007E6869">
              <w:rPr>
                <w:b/>
                <w:bCs/>
                <w:i w:val="0"/>
                <w:iCs w:val="0"/>
                <w:color w:val="000000" w:themeColor="text1"/>
                <w:sz w:val="24"/>
                <w:szCs w:val="24"/>
              </w:rPr>
              <w:t xml:space="preserve">Figure </w:t>
            </w:r>
            <w:r w:rsidR="00A74890">
              <w:rPr>
                <w:b/>
                <w:bCs/>
                <w:i w:val="0"/>
                <w:iCs w:val="0"/>
                <w:color w:val="000000" w:themeColor="text1"/>
                <w:sz w:val="24"/>
                <w:szCs w:val="24"/>
              </w:rPr>
              <w:t>13</w:t>
            </w:r>
            <w:r w:rsidRPr="00BB5451">
              <w:rPr>
                <w:i w:val="0"/>
                <w:iCs w:val="0"/>
                <w:color w:val="000000" w:themeColor="text1"/>
                <w:sz w:val="24"/>
                <w:szCs w:val="24"/>
              </w:rPr>
              <w:t xml:space="preserve">. </w:t>
            </w:r>
            <w:r w:rsidR="007E6869" w:rsidRPr="00BB5451">
              <w:rPr>
                <w:i w:val="0"/>
                <w:iCs w:val="0"/>
                <w:color w:val="000000" w:themeColor="text1"/>
                <w:sz w:val="24"/>
                <w:szCs w:val="24"/>
              </w:rPr>
              <w:t>Rôle</w:t>
            </w:r>
            <w:r w:rsidRPr="00BB5451">
              <w:rPr>
                <w:i w:val="0"/>
                <w:iCs w:val="0"/>
                <w:color w:val="000000" w:themeColor="text1"/>
                <w:sz w:val="24"/>
                <w:szCs w:val="24"/>
              </w:rPr>
              <w:t xml:space="preserve"> de la résisitine humain dans les conditions physiopathologique (Park </w:t>
            </w:r>
            <w:r w:rsidRPr="00BB5451">
              <w:rPr>
                <w:color w:val="000000" w:themeColor="text1"/>
                <w:sz w:val="24"/>
                <w:szCs w:val="24"/>
              </w:rPr>
              <w:t>et al.,</w:t>
            </w:r>
            <w:r w:rsidRPr="00BB5451">
              <w:rPr>
                <w:i w:val="0"/>
                <w:iCs w:val="0"/>
                <w:color w:val="000000" w:themeColor="text1"/>
                <w:sz w:val="24"/>
                <w:szCs w:val="24"/>
              </w:rPr>
              <w:t xml:space="preserve"> 2017).</w:t>
            </w:r>
            <w:bookmarkEnd w:id="152"/>
          </w:p>
        </w:tc>
      </w:tr>
    </w:tbl>
    <w:p w14:paraId="7F3D526B" w14:textId="56496183" w:rsidR="00032A60" w:rsidRDefault="00032A60" w:rsidP="00032A60">
      <w:pPr>
        <w:pStyle w:val="Titre2"/>
        <w:rPr>
          <w:lang w:bidi="ar-DZ"/>
        </w:rPr>
      </w:pPr>
      <w:bookmarkStart w:id="153" w:name="_Toc167472775"/>
      <w:bookmarkStart w:id="154" w:name="_Toc168302249"/>
      <w:bookmarkStart w:id="155" w:name="_Toc170226690"/>
      <w:r>
        <w:rPr>
          <w:lang w:bidi="ar-DZ"/>
        </w:rPr>
        <w:t>Cancer</w:t>
      </w:r>
      <w:bookmarkEnd w:id="153"/>
      <w:bookmarkEnd w:id="154"/>
      <w:bookmarkEnd w:id="155"/>
      <w:r>
        <w:rPr>
          <w:lang w:bidi="ar-DZ"/>
        </w:rPr>
        <w:t xml:space="preserve"> </w:t>
      </w:r>
    </w:p>
    <w:p w14:paraId="7B48D079" w14:textId="69CB2733" w:rsidR="00BB5451" w:rsidRPr="00BB5451" w:rsidRDefault="00BB5451" w:rsidP="00B30DDC">
      <w:pPr>
        <w:rPr>
          <w:lang w:bidi="ar-DZ"/>
        </w:rPr>
      </w:pPr>
      <w:r w:rsidRPr="00BB5451">
        <w:rPr>
          <w:lang w:bidi="ar-DZ"/>
        </w:rPr>
        <w:t>Les cellules cancéreuses se multiplient de manière anarchique, entraînant la formation de tumeurs de plus en plus grandes qui envahissent puis détruisent les zones qui les entourent (organes). Les cellules cancéreuses ont aussi la capacité de se propager à distance d'un organe afin de créer une nouvelle tumeur, ou de circuler librement. Le cancer peut représenter un véritable risque pour la survie des êtres vivants en détruisant son environnement (Albert, 2017).</w:t>
      </w:r>
    </w:p>
    <w:p w14:paraId="78A0298A" w14:textId="4F744031" w:rsidR="00032A60" w:rsidRDefault="00890FB9" w:rsidP="00890FB9">
      <w:pPr>
        <w:rPr>
          <w:rFonts w:asciiTheme="majorBidi" w:hAnsiTheme="majorBidi" w:cstheme="majorBidi"/>
          <w:lang w:bidi="ar-DZ"/>
        </w:rPr>
      </w:pPr>
      <w:r>
        <w:rPr>
          <w:rFonts w:asciiTheme="majorBidi" w:hAnsiTheme="majorBidi" w:cstheme="majorBidi"/>
          <w:lang w:bidi="ar-DZ"/>
        </w:rPr>
        <w:t>V</w:t>
      </w:r>
      <w:r w:rsidR="00032A60" w:rsidRPr="00821208">
        <w:rPr>
          <w:rFonts w:asciiTheme="majorBidi" w:hAnsiTheme="majorBidi" w:cstheme="majorBidi"/>
          <w:lang w:bidi="ar-DZ"/>
        </w:rPr>
        <w:t>isfatine a été démontré qu'elle induit la prolifération des cellules tumorales en favorisant la survie cellulaire par l'intermédiaire de NF-κB/Notch1, AKT/GSK-3β/β-caténine, c-Abl/STAT3, AKT/ERK1/2 et SIRT1/p53 acétylée, et en favorisant la transition G1 à S du cycle cellulaire. De même, elle favorise la migration et l'invasion cellulaires en induisant l'expression du facteur de transcription Snai1 dépendant de NF-κB. En outre, la visfatine augmente la sécrétion de MMP-2 par le biais du facteur de transcription AP-1 médié par l'activation de l'ERK et la promotion de l'EMT en augmentant l'expression des marqueurs mésenchymateux (N-cadhérine, ZEB1 et vimentine)</w:t>
      </w:r>
      <w:r w:rsidR="00032A60">
        <w:rPr>
          <w:rFonts w:asciiTheme="majorBidi" w:hAnsiTheme="majorBidi" w:cstheme="majorBidi"/>
          <w:sz w:val="28"/>
          <w:szCs w:val="28"/>
          <w:lang w:bidi="ar-DZ"/>
        </w:rPr>
        <w:t xml:space="preserve"> </w:t>
      </w:r>
      <w:r w:rsidR="00032A60" w:rsidRPr="00821208">
        <w:rPr>
          <w:rFonts w:asciiTheme="majorBidi" w:hAnsiTheme="majorBidi" w:cstheme="majorBidi"/>
          <w:lang w:bidi="ar-DZ"/>
        </w:rPr>
        <w:t xml:space="preserve">(García-Miranda </w:t>
      </w:r>
      <w:r w:rsidR="00032A60" w:rsidRPr="00821208">
        <w:rPr>
          <w:rFonts w:asciiTheme="majorBidi" w:hAnsiTheme="majorBidi" w:cstheme="majorBidi"/>
          <w:i/>
          <w:iCs/>
          <w:lang w:bidi="ar-DZ"/>
        </w:rPr>
        <w:t xml:space="preserve">et al., </w:t>
      </w:r>
      <w:r w:rsidR="00032A60" w:rsidRPr="00821208">
        <w:rPr>
          <w:rFonts w:asciiTheme="majorBidi" w:hAnsiTheme="majorBidi" w:cstheme="majorBidi"/>
          <w:lang w:bidi="ar-DZ"/>
        </w:rPr>
        <w:t>2022).</w:t>
      </w:r>
    </w:p>
    <w:p w14:paraId="671A0211" w14:textId="45A9DA98" w:rsidR="00032A60" w:rsidRPr="007E6869" w:rsidRDefault="00032A60" w:rsidP="00032A60">
      <w:pPr>
        <w:pStyle w:val="Titre3"/>
        <w:rPr>
          <w:b/>
          <w:bCs/>
          <w:lang w:bidi="ar-DZ"/>
        </w:rPr>
      </w:pPr>
      <w:bookmarkStart w:id="156" w:name="_Toc167472777"/>
      <w:bookmarkStart w:id="157" w:name="_Toc168302250"/>
      <w:bookmarkStart w:id="158" w:name="_Toc170226691"/>
      <w:r w:rsidRPr="007E6869">
        <w:rPr>
          <w:b/>
          <w:bCs/>
          <w:lang w:bidi="ar-DZ"/>
        </w:rPr>
        <w:lastRenderedPageBreak/>
        <w:t>Cancer de sein</w:t>
      </w:r>
      <w:bookmarkEnd w:id="156"/>
      <w:bookmarkEnd w:id="157"/>
      <w:bookmarkEnd w:id="158"/>
    </w:p>
    <w:p w14:paraId="2033C785" w14:textId="2772CED9" w:rsidR="00032A60" w:rsidRDefault="00890FB9" w:rsidP="00890FB9">
      <w:pPr>
        <w:rPr>
          <w:lang w:bidi="ar-DZ"/>
        </w:rPr>
      </w:pPr>
      <w:r>
        <w:rPr>
          <w:lang w:bidi="ar-DZ"/>
        </w:rPr>
        <w:t xml:space="preserve">Plusieurs </w:t>
      </w:r>
      <w:r w:rsidR="00032A60" w:rsidRPr="00032A60">
        <w:rPr>
          <w:lang w:bidi="ar-DZ"/>
        </w:rPr>
        <w:t xml:space="preserve">adipokines </w:t>
      </w:r>
      <w:r>
        <w:rPr>
          <w:lang w:bidi="ar-DZ"/>
        </w:rPr>
        <w:t xml:space="preserve">jouent un rôle important </w:t>
      </w:r>
      <w:r w:rsidR="00032A60" w:rsidRPr="00032A60">
        <w:rPr>
          <w:lang w:bidi="ar-DZ"/>
        </w:rPr>
        <w:t>dans la pathophysiologie du cancer du sein</w:t>
      </w:r>
      <w:r>
        <w:rPr>
          <w:lang w:bidi="ar-DZ"/>
        </w:rPr>
        <w:t xml:space="preserve"> dont les plus </w:t>
      </w:r>
      <w:r w:rsidR="00067719">
        <w:rPr>
          <w:lang w:bidi="ar-DZ"/>
        </w:rPr>
        <w:t xml:space="preserve">importants sont </w:t>
      </w:r>
      <w:r w:rsidR="006C5156">
        <w:rPr>
          <w:lang w:bidi="ar-DZ"/>
        </w:rPr>
        <w:t>résumés</w:t>
      </w:r>
      <w:r w:rsidR="00067719">
        <w:rPr>
          <w:lang w:bidi="ar-DZ"/>
        </w:rPr>
        <w:t xml:space="preserve"> dans le t</w:t>
      </w:r>
      <w:r w:rsidR="006C5156">
        <w:rPr>
          <w:lang w:bidi="ar-DZ"/>
        </w:rPr>
        <w:t>ableau 3</w:t>
      </w:r>
      <w:r>
        <w:rPr>
          <w:lang w:bidi="ar-DZ"/>
        </w:rPr>
        <w:t>.</w:t>
      </w:r>
    </w:p>
    <w:p w14:paraId="19D8317B" w14:textId="6D69B339" w:rsidR="00616EB5" w:rsidRPr="000F16F7" w:rsidRDefault="00BB5451" w:rsidP="000F16F7">
      <w:pPr>
        <w:pStyle w:val="Lgende"/>
        <w:rPr>
          <w:i w:val="0"/>
          <w:iCs w:val="0"/>
          <w:color w:val="000000" w:themeColor="text1"/>
          <w:sz w:val="24"/>
          <w:szCs w:val="24"/>
          <w:lang w:bidi="ar-DZ"/>
        </w:rPr>
      </w:pPr>
      <w:bookmarkStart w:id="159" w:name="_Toc168305019"/>
      <w:r w:rsidRPr="007E6869">
        <w:rPr>
          <w:b/>
          <w:bCs/>
          <w:i w:val="0"/>
          <w:iCs w:val="0"/>
          <w:color w:val="000000" w:themeColor="text1"/>
          <w:sz w:val="24"/>
          <w:szCs w:val="24"/>
        </w:rPr>
        <w:t xml:space="preserve">Tableau </w:t>
      </w:r>
      <w:r w:rsidRPr="007E6869">
        <w:rPr>
          <w:b/>
          <w:bCs/>
          <w:i w:val="0"/>
          <w:iCs w:val="0"/>
          <w:color w:val="000000" w:themeColor="text1"/>
          <w:sz w:val="24"/>
          <w:szCs w:val="24"/>
        </w:rPr>
        <w:fldChar w:fldCharType="begin"/>
      </w:r>
      <w:r w:rsidRPr="007E6869">
        <w:rPr>
          <w:b/>
          <w:bCs/>
          <w:i w:val="0"/>
          <w:iCs w:val="0"/>
          <w:color w:val="000000" w:themeColor="text1"/>
          <w:sz w:val="24"/>
          <w:szCs w:val="24"/>
        </w:rPr>
        <w:instrText xml:space="preserve"> SEQ Tableau \* ARABIC </w:instrText>
      </w:r>
      <w:r w:rsidRPr="007E6869">
        <w:rPr>
          <w:b/>
          <w:bCs/>
          <w:i w:val="0"/>
          <w:iCs w:val="0"/>
          <w:color w:val="000000" w:themeColor="text1"/>
          <w:sz w:val="24"/>
          <w:szCs w:val="24"/>
        </w:rPr>
        <w:fldChar w:fldCharType="separate"/>
      </w:r>
      <w:r w:rsidR="00B5205A">
        <w:rPr>
          <w:b/>
          <w:bCs/>
          <w:i w:val="0"/>
          <w:iCs w:val="0"/>
          <w:noProof/>
          <w:color w:val="000000" w:themeColor="text1"/>
          <w:sz w:val="24"/>
          <w:szCs w:val="24"/>
        </w:rPr>
        <w:t>3</w:t>
      </w:r>
      <w:r w:rsidRPr="007E6869">
        <w:rPr>
          <w:b/>
          <w:bCs/>
          <w:i w:val="0"/>
          <w:iCs w:val="0"/>
          <w:color w:val="000000" w:themeColor="text1"/>
          <w:sz w:val="24"/>
          <w:szCs w:val="24"/>
        </w:rPr>
        <w:fldChar w:fldCharType="end"/>
      </w:r>
      <w:r w:rsidRPr="000F16F7">
        <w:rPr>
          <w:i w:val="0"/>
          <w:iCs w:val="0"/>
          <w:color w:val="000000" w:themeColor="text1"/>
          <w:sz w:val="24"/>
          <w:szCs w:val="24"/>
        </w:rPr>
        <w:t>. Résumé de</w:t>
      </w:r>
      <w:r w:rsidR="000F16F7" w:rsidRPr="000F16F7">
        <w:rPr>
          <w:i w:val="0"/>
          <w:iCs w:val="0"/>
          <w:color w:val="000000" w:themeColor="text1"/>
          <w:sz w:val="24"/>
          <w:szCs w:val="24"/>
        </w:rPr>
        <w:t>s</w:t>
      </w:r>
      <w:r w:rsidRPr="000F16F7">
        <w:rPr>
          <w:i w:val="0"/>
          <w:iCs w:val="0"/>
          <w:color w:val="000000" w:themeColor="text1"/>
          <w:sz w:val="24"/>
          <w:szCs w:val="24"/>
        </w:rPr>
        <w:t xml:space="preserve"> </w:t>
      </w:r>
      <w:r w:rsidR="007E6869" w:rsidRPr="000F16F7">
        <w:rPr>
          <w:i w:val="0"/>
          <w:iCs w:val="0"/>
          <w:color w:val="000000" w:themeColor="text1"/>
          <w:sz w:val="24"/>
          <w:szCs w:val="24"/>
        </w:rPr>
        <w:t>rôles</w:t>
      </w:r>
      <w:r w:rsidRPr="000F16F7">
        <w:rPr>
          <w:i w:val="0"/>
          <w:iCs w:val="0"/>
          <w:color w:val="000000" w:themeColor="text1"/>
          <w:sz w:val="24"/>
          <w:szCs w:val="24"/>
        </w:rPr>
        <w:t xml:space="preserve"> des adipokines dans la biologie du cancer du sein</w:t>
      </w:r>
      <w:r w:rsidR="000F16F7" w:rsidRPr="000F16F7">
        <w:rPr>
          <w:i w:val="0"/>
          <w:iCs w:val="0"/>
          <w:color w:val="000000" w:themeColor="text1"/>
          <w:sz w:val="24"/>
          <w:szCs w:val="24"/>
        </w:rPr>
        <w:t xml:space="preserve"> (Shin </w:t>
      </w:r>
      <w:r w:rsidR="000F16F7" w:rsidRPr="000F16F7">
        <w:rPr>
          <w:color w:val="000000" w:themeColor="text1"/>
          <w:sz w:val="24"/>
          <w:szCs w:val="24"/>
        </w:rPr>
        <w:t>et</w:t>
      </w:r>
      <w:r w:rsidR="000F16F7" w:rsidRPr="000F16F7">
        <w:rPr>
          <w:i w:val="0"/>
          <w:iCs w:val="0"/>
          <w:color w:val="000000" w:themeColor="text1"/>
          <w:sz w:val="24"/>
          <w:szCs w:val="24"/>
        </w:rPr>
        <w:t xml:space="preserve"> Koo, 2020).</w:t>
      </w:r>
      <w:bookmarkEnd w:id="159"/>
    </w:p>
    <w:tbl>
      <w:tblPr>
        <w:tblStyle w:val="Grilledutableau"/>
        <w:tblW w:w="0" w:type="auto"/>
        <w:tblLook w:val="04A0" w:firstRow="1" w:lastRow="0" w:firstColumn="1" w:lastColumn="0" w:noHBand="0" w:noVBand="1"/>
      </w:tblPr>
      <w:tblGrid>
        <w:gridCol w:w="1526"/>
        <w:gridCol w:w="7686"/>
      </w:tblGrid>
      <w:tr w:rsidR="00616EB5" w:rsidRPr="00616EB5" w14:paraId="58AE496B" w14:textId="77777777" w:rsidTr="006D00DB">
        <w:tc>
          <w:tcPr>
            <w:tcW w:w="1526" w:type="dxa"/>
          </w:tcPr>
          <w:p w14:paraId="6ED6996A" w14:textId="77777777" w:rsidR="00616EB5" w:rsidRPr="00616EB5" w:rsidRDefault="00616EB5" w:rsidP="00616EB5">
            <w:pPr>
              <w:spacing w:before="0" w:after="200" w:line="276" w:lineRule="auto"/>
              <w:jc w:val="left"/>
              <w:rPr>
                <w:rFonts w:eastAsia="Calibri"/>
                <w:b/>
                <w:bCs/>
                <w:lang w:bidi="ar-DZ"/>
              </w:rPr>
            </w:pPr>
            <w:r w:rsidRPr="00616EB5">
              <w:rPr>
                <w:rFonts w:eastAsia="Calibri"/>
                <w:b/>
                <w:bCs/>
                <w:lang w:bidi="ar-DZ"/>
              </w:rPr>
              <w:t>Adipokines</w:t>
            </w:r>
          </w:p>
        </w:tc>
        <w:tc>
          <w:tcPr>
            <w:tcW w:w="7686" w:type="dxa"/>
          </w:tcPr>
          <w:p w14:paraId="39C86A99" w14:textId="77777777" w:rsidR="00616EB5" w:rsidRPr="00616EB5" w:rsidRDefault="00616EB5" w:rsidP="00616EB5">
            <w:pPr>
              <w:spacing w:before="0" w:after="200" w:line="276" w:lineRule="auto"/>
              <w:jc w:val="left"/>
              <w:rPr>
                <w:rFonts w:eastAsia="Calibri"/>
                <w:b/>
                <w:bCs/>
                <w:lang w:bidi="ar-DZ"/>
              </w:rPr>
            </w:pPr>
            <w:r w:rsidRPr="00616EB5">
              <w:rPr>
                <w:rFonts w:eastAsia="Calibri"/>
                <w:b/>
                <w:bCs/>
                <w:lang w:bidi="ar-DZ"/>
              </w:rPr>
              <w:t>Rôles dans le cancer du sein</w:t>
            </w:r>
          </w:p>
        </w:tc>
      </w:tr>
      <w:tr w:rsidR="00616EB5" w:rsidRPr="00616EB5" w14:paraId="5C261158" w14:textId="77777777" w:rsidTr="006D00DB">
        <w:tc>
          <w:tcPr>
            <w:tcW w:w="1526" w:type="dxa"/>
          </w:tcPr>
          <w:p w14:paraId="314385E8"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Leptine</w:t>
            </w:r>
          </w:p>
        </w:tc>
        <w:tc>
          <w:tcPr>
            <w:tcW w:w="7686" w:type="dxa"/>
          </w:tcPr>
          <w:p w14:paraId="0674EEAD"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 xml:space="preserve">favorise la prolifération des cellules du cancer du sein par les voies JAK-STAT, ERK1/2, AKT-GSK3 et PKC-α </w:t>
            </w:r>
          </w:p>
          <w:p w14:paraId="4EF50AB5"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 xml:space="preserve">favorise la progression du cancer du sein par l'augmentation de la cycline D1 et de la CDK2 et par la diminution de p21, p27 et p53 </w:t>
            </w:r>
          </w:p>
          <w:p w14:paraId="29A8B3DF"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 xml:space="preserve">réduit l'apoptose des cellules du cancer du sein en augmentant la survivine et le bcl-2 et en diminuant la caspase-9 </w:t>
            </w:r>
          </w:p>
          <w:p w14:paraId="48093DFD"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augmente la migration et l'invasion des cellules cancéreuses du sein par l'augmentation de l'ACAT2 par la voie PI3K/AKT/SREBP2</w:t>
            </w:r>
          </w:p>
          <w:p w14:paraId="259BF3CB"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 xml:space="preserve">augmente l'angiogenèse en régulant le VEGF et la signalisation Notch </w:t>
            </w:r>
          </w:p>
          <w:p w14:paraId="6AE48743"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l'augmentation de la leptine dans les cellules stroma les adipeuses entraîne l'expression de gènes liés à l'EMT et aux métastases</w:t>
            </w:r>
          </w:p>
        </w:tc>
      </w:tr>
      <w:tr w:rsidR="00616EB5" w:rsidRPr="00616EB5" w14:paraId="53DCD874" w14:textId="77777777" w:rsidTr="006D00DB">
        <w:tc>
          <w:tcPr>
            <w:tcW w:w="1526" w:type="dxa"/>
          </w:tcPr>
          <w:p w14:paraId="3B744E7C"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Adiponectine</w:t>
            </w:r>
          </w:p>
        </w:tc>
        <w:tc>
          <w:tcPr>
            <w:tcW w:w="7686" w:type="dxa"/>
          </w:tcPr>
          <w:p w14:paraId="77F3CC00"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 xml:space="preserve">réduit la croissance des cellules cancéreuses du sein en inactivant la MAPK p44/42, en activant la voie de l'AMPK et en inhibant la phosphorylation de l'AKT </w:t>
            </w:r>
          </w:p>
          <w:p w14:paraId="5EE61DD9"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 xml:space="preserve">induit l'apoptose des cellules cancéreuses du sein par la régulation à la baisse de bcl-2 et la régulation à la hausse de p53, Bax et caspase 8 </w:t>
            </w:r>
          </w:p>
          <w:p w14:paraId="3D1405CB"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 xml:space="preserve">induit la mort cellulaire liée à l'autophagie par la voie STK11/LKB1-AMPK-ULK1. </w:t>
            </w:r>
          </w:p>
          <w:p w14:paraId="442F0F2B"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 xml:space="preserve">L'adiponectine globulaire favorise l'invasion des cellules cancéreuses du sein par autophagie </w:t>
            </w:r>
          </w:p>
          <w:p w14:paraId="5C65B6F7"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 xml:space="preserve">inhibe le processus métastatique par la régulation à la hausse de LKB1 via l'activation de l'axe AMPK-S6K </w:t>
            </w:r>
          </w:p>
          <w:p w14:paraId="45291379" w14:textId="77777777" w:rsidR="00616EB5" w:rsidRPr="00616EB5" w:rsidRDefault="00616EB5" w:rsidP="00616EB5">
            <w:pPr>
              <w:spacing w:before="0" w:after="200" w:line="276" w:lineRule="auto"/>
              <w:jc w:val="left"/>
              <w:rPr>
                <w:rFonts w:eastAsia="Calibri"/>
                <w:b/>
                <w:bCs/>
                <w:lang w:bidi="ar-DZ"/>
              </w:rPr>
            </w:pPr>
            <w:r w:rsidRPr="00616EB5">
              <w:rPr>
                <w:rFonts w:eastAsia="Calibri"/>
                <w:lang w:bidi="ar-DZ"/>
              </w:rPr>
              <w:t>L'adiponectine globulaire soutient la progression métastatique initiale par l'activation de l'autophagie.</w:t>
            </w:r>
          </w:p>
        </w:tc>
      </w:tr>
      <w:tr w:rsidR="00616EB5" w:rsidRPr="00616EB5" w14:paraId="43B57253" w14:textId="77777777" w:rsidTr="006D00DB">
        <w:tc>
          <w:tcPr>
            <w:tcW w:w="1526" w:type="dxa"/>
          </w:tcPr>
          <w:p w14:paraId="5A68CFA0"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IL-6</w:t>
            </w:r>
          </w:p>
        </w:tc>
        <w:tc>
          <w:tcPr>
            <w:tcW w:w="7686" w:type="dxa"/>
          </w:tcPr>
          <w:p w14:paraId="01F22623"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 xml:space="preserve">induit l'EMT des cellules cancéreuses du sein par la voie STAT3 est associé à l'auto renouvellement des cellules souches du cancer du sein par la régulation de Sox, c-Myc et Nanog </w:t>
            </w:r>
          </w:p>
          <w:p w14:paraId="41ADCD9A"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 xml:space="preserve">augmente l'expression de l'aromatase et stimule la synthèse des œstrogènes, </w:t>
            </w:r>
            <w:r w:rsidRPr="00616EB5">
              <w:rPr>
                <w:rFonts w:eastAsia="Calibri"/>
                <w:lang w:bidi="ar-DZ"/>
              </w:rPr>
              <w:lastRenderedPageBreak/>
              <w:t>ce qui entraîne la progression du cancer du sein</w:t>
            </w:r>
          </w:p>
        </w:tc>
      </w:tr>
      <w:tr w:rsidR="00616EB5" w:rsidRPr="00616EB5" w14:paraId="29CC3EF6" w14:textId="77777777" w:rsidTr="006D00DB">
        <w:tc>
          <w:tcPr>
            <w:tcW w:w="1526" w:type="dxa"/>
          </w:tcPr>
          <w:p w14:paraId="22EFC1C8" w14:textId="4D152898" w:rsidR="00616EB5" w:rsidRPr="00616EB5" w:rsidRDefault="007E6869" w:rsidP="00616EB5">
            <w:pPr>
              <w:spacing w:before="0" w:after="200" w:line="276" w:lineRule="auto"/>
              <w:jc w:val="left"/>
              <w:rPr>
                <w:rFonts w:eastAsia="Calibri"/>
                <w:lang w:bidi="ar-DZ"/>
              </w:rPr>
            </w:pPr>
            <w:r>
              <w:rPr>
                <w:rFonts w:eastAsia="Calibri"/>
                <w:lang w:bidi="ar-DZ"/>
              </w:rPr>
              <w:lastRenderedPageBreak/>
              <w:t>Ré</w:t>
            </w:r>
            <w:r w:rsidR="00616EB5" w:rsidRPr="00616EB5">
              <w:rPr>
                <w:rFonts w:eastAsia="Calibri"/>
                <w:lang w:bidi="ar-DZ"/>
              </w:rPr>
              <w:t>sistine</w:t>
            </w:r>
          </w:p>
        </w:tc>
        <w:tc>
          <w:tcPr>
            <w:tcW w:w="7686" w:type="dxa"/>
          </w:tcPr>
          <w:p w14:paraId="62E9D126"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 xml:space="preserve">augmente le potentiel métastatique du cancer du sein par EMT et stemness </w:t>
            </w:r>
          </w:p>
          <w:p w14:paraId="3F098130"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 xml:space="preserve">favorise les métastases du cancer du sein par la phosphorylation de l'ézrine, de la radixine et du complexe de la moésine. </w:t>
            </w:r>
          </w:p>
          <w:p w14:paraId="6AADD4DE"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Une forte expression de la résistine dans le cancer du sein est associée à un mauvais pronostic.</w:t>
            </w:r>
          </w:p>
        </w:tc>
      </w:tr>
      <w:tr w:rsidR="00616EB5" w:rsidRPr="00616EB5" w14:paraId="7EBC71F7" w14:textId="77777777" w:rsidTr="006D00DB">
        <w:tc>
          <w:tcPr>
            <w:tcW w:w="1526" w:type="dxa"/>
          </w:tcPr>
          <w:p w14:paraId="1B9835F1"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TNFα</w:t>
            </w:r>
          </w:p>
        </w:tc>
        <w:tc>
          <w:tcPr>
            <w:tcW w:w="7686" w:type="dxa"/>
          </w:tcPr>
          <w:p w14:paraId="395A1879"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 xml:space="preserve">induit une résistance au trastuzumab dans les cellules de cancer du sein HER2-positives par l'expression de MUC4 </w:t>
            </w:r>
          </w:p>
          <w:p w14:paraId="50699D18" w14:textId="77777777" w:rsidR="00616EB5" w:rsidRPr="00616EB5" w:rsidRDefault="00616EB5" w:rsidP="00616EB5">
            <w:pPr>
              <w:spacing w:before="0" w:after="200" w:line="276" w:lineRule="auto"/>
              <w:jc w:val="left"/>
              <w:rPr>
                <w:rFonts w:eastAsia="Calibri"/>
                <w:lang w:bidi="ar-DZ"/>
              </w:rPr>
            </w:pPr>
            <w:r w:rsidRPr="00616EB5">
              <w:rPr>
                <w:rFonts w:eastAsia="Calibri"/>
                <w:lang w:bidi="ar-DZ"/>
              </w:rPr>
              <w:t>favorise les métastases du cancer du sein par l'activation des cellules stroma les mésenchymateuses en recrutant des neutrophiles positifs au CXCR2</w:t>
            </w:r>
          </w:p>
        </w:tc>
      </w:tr>
    </w:tbl>
    <w:p w14:paraId="690FE8C3" w14:textId="26B1C71C" w:rsidR="00890FB9" w:rsidRPr="00890FB9" w:rsidRDefault="00616EB5" w:rsidP="00890FB9">
      <w:pPr>
        <w:pStyle w:val="Titre3"/>
        <w:rPr>
          <w:b/>
          <w:bCs/>
          <w:lang w:bidi="ar-DZ"/>
        </w:rPr>
      </w:pPr>
      <w:bookmarkStart w:id="160" w:name="_Toc167472778"/>
      <w:bookmarkStart w:id="161" w:name="_Toc168302251"/>
      <w:bookmarkStart w:id="162" w:name="_Toc170226692"/>
      <w:r w:rsidRPr="007E6869">
        <w:rPr>
          <w:b/>
          <w:bCs/>
          <w:lang w:bidi="ar-DZ"/>
        </w:rPr>
        <w:t>Cancer du côlon</w:t>
      </w:r>
      <w:bookmarkEnd w:id="160"/>
      <w:bookmarkEnd w:id="161"/>
      <w:bookmarkEnd w:id="162"/>
    </w:p>
    <w:p w14:paraId="537E6F7C" w14:textId="77777777" w:rsidR="00616EB5" w:rsidRDefault="00616EB5" w:rsidP="00890FB9">
      <w:pPr>
        <w:rPr>
          <w:rFonts w:asciiTheme="majorBidi" w:hAnsiTheme="majorBidi" w:cstheme="majorBidi"/>
          <w:lang w:bidi="ar-DZ"/>
        </w:rPr>
      </w:pPr>
      <w:r w:rsidRPr="001B3A38">
        <w:rPr>
          <w:rFonts w:asciiTheme="majorBidi" w:hAnsiTheme="majorBidi" w:cstheme="majorBidi"/>
          <w:lang w:bidi="ar-DZ"/>
        </w:rPr>
        <w:t>La leptine sérique et les niveaux d’expression d’AdipoR1 et d’AdipoR2 se sont avérés associés à l’atteinte des ganglions lymphatiques, et l’expression d’AdipoR1 a été corrélée à la taille de la tumeur chez les patients atteints de cancer du côlon. Les rayonnements ionisants peuvent diminuer de manière persistante les niveaux d’AdipoR1 et d’AdipoR2, mais augmenter ceux de la leptine et de l’ObR et activer les voies prolifératives en aval, par exemple, en régulant à la hausse la signalisation PI3K/Akt et JAK2, ce qui peut contribuer à la cancérogenèse. En ce qui concerne le dimorphisme sexuel, les taux plasmatiques d’adiponectine se sont avérés associés à un risque réduit de CCR chez les hommes, mais pas chez les femmes</w:t>
      </w:r>
      <w:r w:rsidRPr="001B3A38">
        <w:t xml:space="preserve"> </w:t>
      </w:r>
      <w:r>
        <w:t>(</w:t>
      </w:r>
      <w:r w:rsidRPr="001B3A38">
        <w:rPr>
          <w:rFonts w:asciiTheme="majorBidi" w:hAnsiTheme="majorBidi" w:cstheme="majorBidi"/>
          <w:lang w:bidi="ar-DZ"/>
        </w:rPr>
        <w:t>Chang</w:t>
      </w:r>
      <w:r>
        <w:rPr>
          <w:rFonts w:asciiTheme="majorBidi" w:hAnsiTheme="majorBidi" w:cstheme="majorBidi"/>
          <w:lang w:bidi="ar-DZ"/>
        </w:rPr>
        <w:t xml:space="preserve"> </w:t>
      </w:r>
      <w:r w:rsidRPr="00285A55">
        <w:rPr>
          <w:rFonts w:asciiTheme="majorBidi" w:hAnsiTheme="majorBidi" w:cstheme="majorBidi"/>
          <w:i/>
          <w:iCs/>
          <w:lang w:bidi="ar-DZ"/>
        </w:rPr>
        <w:t>et al.,</w:t>
      </w:r>
      <w:r>
        <w:rPr>
          <w:rFonts w:asciiTheme="majorBidi" w:hAnsiTheme="majorBidi" w:cstheme="majorBidi"/>
          <w:lang w:bidi="ar-DZ"/>
        </w:rPr>
        <w:t xml:space="preserve"> </w:t>
      </w:r>
      <w:r w:rsidRPr="001B3A38">
        <w:rPr>
          <w:rFonts w:asciiTheme="majorBidi" w:hAnsiTheme="majorBidi" w:cstheme="majorBidi"/>
          <w:lang w:bidi="ar-DZ"/>
        </w:rPr>
        <w:t>2020).</w:t>
      </w:r>
    </w:p>
    <w:p w14:paraId="1DCBB107" w14:textId="5678A409" w:rsidR="00616EB5" w:rsidRDefault="00890FB9" w:rsidP="00890FB9">
      <w:pPr>
        <w:rPr>
          <w:lang w:bidi="ar-DZ"/>
        </w:rPr>
      </w:pPr>
      <w:r>
        <w:rPr>
          <w:lang w:bidi="ar-DZ"/>
        </w:rPr>
        <w:t xml:space="preserve">Les </w:t>
      </w:r>
      <w:r w:rsidR="00616EB5" w:rsidRPr="00616EB5">
        <w:rPr>
          <w:lang w:bidi="ar-DZ"/>
        </w:rPr>
        <w:t>taux sériques de résistance chez les patients atteints d’un cancer du côlon sont élevés et corrélés avec le grade tumoral. La résistine se lie au récepteur de type Toll 4 (TLR4) sur la membrane cellulaire cancéreuse du côlon et initie l’activation de la réponse primaire dépendante de la différenciation myéloïde TLR4 88 (MYD88) de l’ERK. De plus, les polymorphismes de la résistine C-420G et G+299A ont des rôles potentiels dans la prédisposition génétique au cancer du côlon. Des taux sériques élevés d’YKL-40 (également appelé Chitinase 3-like 1) sont associés au CCR chez les sujets sans comorbidités et sont corrélés à un mauvais pronostic chez les patients atteints d’un cancer du côlon</w:t>
      </w:r>
      <w:r w:rsidR="006C5156">
        <w:rPr>
          <w:lang w:bidi="ar-DZ"/>
        </w:rPr>
        <w:t xml:space="preserve"> (f</w:t>
      </w:r>
      <w:r>
        <w:rPr>
          <w:lang w:bidi="ar-DZ"/>
        </w:rPr>
        <w:t>igure 14)</w:t>
      </w:r>
      <w:r w:rsidR="00616EB5" w:rsidRPr="00616EB5">
        <w:rPr>
          <w:lang w:bidi="ar-DZ"/>
        </w:rPr>
        <w:t xml:space="preserve">. Le risque d’adénome du côlon est associé à des taux circulants élevés de RBP4. Enfin, on </w:t>
      </w:r>
      <w:r w:rsidR="00B30DDC">
        <w:rPr>
          <w:lang w:bidi="ar-DZ"/>
        </w:rPr>
        <w:t>pense que la chéme</w:t>
      </w:r>
      <w:r w:rsidR="00616EB5" w:rsidRPr="00616EB5">
        <w:rPr>
          <w:lang w:bidi="ar-DZ"/>
        </w:rPr>
        <w:t>rine exerce des fonctions chimiotactiques, adipogéniques et angiogéniq</w:t>
      </w:r>
      <w:r w:rsidR="00B30DDC">
        <w:rPr>
          <w:lang w:bidi="ar-DZ"/>
        </w:rPr>
        <w:t>ues. Des taux plus élevés de chéme</w:t>
      </w:r>
      <w:r w:rsidR="00616EB5" w:rsidRPr="00616EB5">
        <w:rPr>
          <w:lang w:bidi="ar-DZ"/>
        </w:rPr>
        <w:t xml:space="preserve">rine sont associés à des risques de CCR (Chang </w:t>
      </w:r>
      <w:r w:rsidR="00616EB5" w:rsidRPr="00616EB5">
        <w:rPr>
          <w:i/>
          <w:iCs/>
          <w:lang w:bidi="ar-DZ"/>
        </w:rPr>
        <w:t>et al.,</w:t>
      </w:r>
      <w:r w:rsidR="00616EB5" w:rsidRPr="00616EB5">
        <w:rPr>
          <w:lang w:bidi="ar-DZ"/>
        </w:rPr>
        <w:t xml:space="preserve"> 2020).</w:t>
      </w:r>
    </w:p>
    <w:p w14:paraId="48F8F932" w14:textId="3B1E6198" w:rsidR="009074B9" w:rsidRDefault="009074B9" w:rsidP="00B30DDC">
      <w:pPr>
        <w:rPr>
          <w:lang w:bidi="ar-DZ"/>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4"/>
      </w:tblGrid>
      <w:tr w:rsidR="000F16F7" w14:paraId="50C85898" w14:textId="77777777" w:rsidTr="000F16F7">
        <w:tc>
          <w:tcPr>
            <w:tcW w:w="9494" w:type="dxa"/>
          </w:tcPr>
          <w:p w14:paraId="651E26EE" w14:textId="37E0ABB8" w:rsidR="000F16F7" w:rsidRDefault="00A74890" w:rsidP="00616EB5">
            <w:pPr>
              <w:rPr>
                <w:lang w:bidi="ar-DZ"/>
              </w:rPr>
            </w:pPr>
            <w:r>
              <w:rPr>
                <w:rFonts w:eastAsia="Calibri"/>
                <w:noProof/>
                <w:lang w:eastAsia="fr-FR"/>
              </w:rPr>
              <w:lastRenderedPageBreak/>
              <w:drawing>
                <wp:inline distT="0" distB="0" distL="0" distR="0" wp14:anchorId="41288397" wp14:editId="75D7A95C">
                  <wp:extent cx="5641145" cy="3415139"/>
                  <wp:effectExtent l="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png"/>
                          <pic:cNvPicPr/>
                        </pic:nvPicPr>
                        <pic:blipFill>
                          <a:blip r:embed="rId41">
                            <a:extLst>
                              <a:ext uri="{28A0092B-C50C-407E-A947-70E740481C1C}">
                                <a14:useLocalDpi xmlns:a14="http://schemas.microsoft.com/office/drawing/2010/main" val="0"/>
                              </a:ext>
                            </a:extLst>
                          </a:blip>
                          <a:stretch>
                            <a:fillRect/>
                          </a:stretch>
                        </pic:blipFill>
                        <pic:spPr>
                          <a:xfrm>
                            <a:off x="0" y="0"/>
                            <a:ext cx="5643353" cy="3416476"/>
                          </a:xfrm>
                          <a:prstGeom prst="rect">
                            <a:avLst/>
                          </a:prstGeom>
                        </pic:spPr>
                      </pic:pic>
                    </a:graphicData>
                  </a:graphic>
                </wp:inline>
              </w:drawing>
            </w:r>
            <w:r w:rsidR="00CD6465">
              <w:rPr>
                <w:rFonts w:eastAsia="Calibri"/>
                <w:noProof/>
                <w:lang w:eastAsia="fr-FR"/>
              </w:rPr>
              <w:t xml:space="preserve"> </w:t>
            </w:r>
          </w:p>
        </w:tc>
      </w:tr>
      <w:tr w:rsidR="000F16F7" w14:paraId="3F6DC326" w14:textId="77777777" w:rsidTr="000F16F7">
        <w:tc>
          <w:tcPr>
            <w:tcW w:w="9494" w:type="dxa"/>
          </w:tcPr>
          <w:p w14:paraId="30FB9AC8" w14:textId="3503BF01" w:rsidR="000F16F7" w:rsidRPr="00890FB9" w:rsidRDefault="000F16F7" w:rsidP="00890FB9">
            <w:pPr>
              <w:pStyle w:val="Lgende"/>
              <w:jc w:val="center"/>
              <w:rPr>
                <w:i w:val="0"/>
                <w:iCs w:val="0"/>
                <w:color w:val="000000" w:themeColor="text1"/>
                <w:sz w:val="24"/>
                <w:szCs w:val="24"/>
                <w:lang w:bidi="ar-DZ"/>
              </w:rPr>
            </w:pPr>
            <w:bookmarkStart w:id="163" w:name="_Toc167308122"/>
            <w:r w:rsidRPr="007E6869">
              <w:rPr>
                <w:b/>
                <w:bCs/>
                <w:i w:val="0"/>
                <w:iCs w:val="0"/>
                <w:color w:val="000000" w:themeColor="text1"/>
                <w:sz w:val="24"/>
                <w:szCs w:val="24"/>
              </w:rPr>
              <w:t>Figure</w:t>
            </w:r>
            <w:r w:rsidR="00A74890">
              <w:rPr>
                <w:b/>
                <w:bCs/>
                <w:i w:val="0"/>
                <w:iCs w:val="0"/>
                <w:color w:val="000000" w:themeColor="text1"/>
                <w:sz w:val="24"/>
                <w:szCs w:val="24"/>
              </w:rPr>
              <w:t xml:space="preserve"> 14</w:t>
            </w:r>
            <w:r w:rsidRPr="007E6869">
              <w:rPr>
                <w:b/>
                <w:bCs/>
                <w:i w:val="0"/>
                <w:iCs w:val="0"/>
                <w:color w:val="000000" w:themeColor="text1"/>
                <w:sz w:val="24"/>
                <w:szCs w:val="24"/>
              </w:rPr>
              <w:t>.</w:t>
            </w:r>
            <w:r w:rsidRPr="000F16F7">
              <w:rPr>
                <w:i w:val="0"/>
                <w:iCs w:val="0"/>
                <w:color w:val="000000" w:themeColor="text1"/>
                <w:sz w:val="24"/>
                <w:szCs w:val="24"/>
              </w:rPr>
              <w:t xml:space="preserve"> Les voies de signalisation associés aux adipokines dans la colite et le cancer du côlon (Chang </w:t>
            </w:r>
            <w:r w:rsidRPr="000F16F7">
              <w:rPr>
                <w:color w:val="000000" w:themeColor="text1"/>
                <w:sz w:val="24"/>
                <w:szCs w:val="24"/>
              </w:rPr>
              <w:t>et al.,</w:t>
            </w:r>
            <w:r w:rsidRPr="000F16F7">
              <w:rPr>
                <w:i w:val="0"/>
                <w:iCs w:val="0"/>
                <w:color w:val="000000" w:themeColor="text1"/>
                <w:sz w:val="24"/>
                <w:szCs w:val="24"/>
              </w:rPr>
              <w:t xml:space="preserve"> 2020).</w:t>
            </w:r>
            <w:bookmarkEnd w:id="163"/>
          </w:p>
        </w:tc>
      </w:tr>
    </w:tbl>
    <w:p w14:paraId="7748AFA2" w14:textId="0B427FBC" w:rsidR="009074B9" w:rsidRPr="007E6869" w:rsidRDefault="009074B9" w:rsidP="009074B9">
      <w:pPr>
        <w:pStyle w:val="Titre3"/>
        <w:rPr>
          <w:b/>
          <w:bCs/>
          <w:lang w:bidi="ar-DZ"/>
        </w:rPr>
      </w:pPr>
      <w:bookmarkStart w:id="164" w:name="_Toc167472779"/>
      <w:bookmarkStart w:id="165" w:name="_Toc168302252"/>
      <w:bookmarkStart w:id="166" w:name="_Toc170226693"/>
      <w:r w:rsidRPr="007E6869">
        <w:rPr>
          <w:b/>
          <w:bCs/>
          <w:lang w:bidi="ar-DZ"/>
        </w:rPr>
        <w:t>Cancer du pancréas</w:t>
      </w:r>
      <w:bookmarkEnd w:id="164"/>
      <w:bookmarkEnd w:id="165"/>
      <w:bookmarkEnd w:id="166"/>
    </w:p>
    <w:p w14:paraId="551164B3" w14:textId="1A6C8194" w:rsidR="009074B9" w:rsidRDefault="009074B9" w:rsidP="00890FB9">
      <w:pPr>
        <w:rPr>
          <w:lang w:bidi="ar-DZ"/>
        </w:rPr>
      </w:pPr>
      <w:r w:rsidRPr="009074B9">
        <w:rPr>
          <w:lang w:bidi="ar-DZ"/>
        </w:rPr>
        <w:t xml:space="preserve">En réponse à l'état métabolique, humoral et neuronal global, les adipocytes pancréatiques humains détiennent des lipides et produisent des adipokines. Le pancréas adipeux est associé à l’âge, à l’IMC et au diabète, qui sont des facteurs de risque de cancer du pancréas (Takahashi </w:t>
      </w:r>
      <w:r w:rsidRPr="009074B9">
        <w:rPr>
          <w:i/>
          <w:iCs/>
          <w:lang w:bidi="ar-DZ"/>
        </w:rPr>
        <w:t>et al.,</w:t>
      </w:r>
      <w:r w:rsidRPr="009074B9">
        <w:rPr>
          <w:lang w:bidi="ar-DZ"/>
        </w:rPr>
        <w:t xml:space="preserve"> 2018).En particulier, l’expansion et l’inflammation du tissu adipeux viscéral induisent une résistance à l’insuline qui favorise la sécrétion systémique d’insuline et de facteur de croissance analogue à l’insuline 1 (Brocco </w:t>
      </w:r>
      <w:r w:rsidRPr="009074B9">
        <w:rPr>
          <w:i/>
          <w:iCs/>
          <w:lang w:bidi="ar-DZ"/>
        </w:rPr>
        <w:t>et al.,</w:t>
      </w:r>
      <w:r w:rsidRPr="009074B9">
        <w:rPr>
          <w:lang w:bidi="ar-DZ"/>
        </w:rPr>
        <w:t xml:space="preserve"> 2020).</w:t>
      </w:r>
    </w:p>
    <w:p w14:paraId="04A76F0C" w14:textId="41370641" w:rsidR="009074B9" w:rsidRDefault="009074B9" w:rsidP="00B30DDC">
      <w:pPr>
        <w:rPr>
          <w:lang w:bidi="ar-DZ"/>
        </w:rPr>
      </w:pPr>
      <w:r w:rsidRPr="009074B9">
        <w:rPr>
          <w:lang w:bidi="ar-DZ"/>
        </w:rPr>
        <w:t xml:space="preserve">Un taux élevé de leptine peut favoriser l’invasion tumorale pancréatique et les métastases, activant l’axe Janus kinase 2 (JAK2)/transducteur de signal et activateur de la transcription 3 (STAT3) (Brocco </w:t>
      </w:r>
      <w:r w:rsidRPr="009074B9">
        <w:rPr>
          <w:i/>
          <w:iCs/>
          <w:lang w:bidi="ar-DZ"/>
        </w:rPr>
        <w:t>et al.,</w:t>
      </w:r>
      <w:r w:rsidRPr="009074B9">
        <w:rPr>
          <w:lang w:bidi="ar-DZ"/>
        </w:rPr>
        <w:t xml:space="preserve"> 2020).</w:t>
      </w:r>
    </w:p>
    <w:p w14:paraId="41346C2C" w14:textId="59160CA2" w:rsidR="009074B9" w:rsidRDefault="009074B9" w:rsidP="00B30DDC">
      <w:pPr>
        <w:rPr>
          <w:lang w:bidi="ar-DZ"/>
        </w:rPr>
      </w:pPr>
      <w:r w:rsidRPr="009074B9">
        <w:rPr>
          <w:lang w:bidi="ar-DZ"/>
        </w:rPr>
        <w:t xml:space="preserve">Il a été constaté que la réduction de la libération d’adiponectine diminuait les effets suppresseurs de tumeurs de l’adiponectine d’une manière médiée par l’inhibition de JAK2/STAT3 et la régulation négative de la β-caténine intracellulaire (Brocco </w:t>
      </w:r>
      <w:r w:rsidRPr="009074B9">
        <w:rPr>
          <w:i/>
          <w:iCs/>
          <w:lang w:bidi="ar-DZ"/>
        </w:rPr>
        <w:t>et al.,</w:t>
      </w:r>
      <w:r w:rsidRPr="009074B9">
        <w:rPr>
          <w:lang w:bidi="ar-DZ"/>
        </w:rPr>
        <w:t xml:space="preserve"> 2020).</w:t>
      </w:r>
    </w:p>
    <w:p w14:paraId="0DFD4F7C" w14:textId="46179E17" w:rsidR="009074B9" w:rsidRDefault="009074B9" w:rsidP="009074B9">
      <w:pPr>
        <w:pStyle w:val="Titre2"/>
        <w:rPr>
          <w:lang w:bidi="ar-DZ"/>
        </w:rPr>
      </w:pPr>
      <w:bookmarkStart w:id="167" w:name="_Toc167472780"/>
      <w:bookmarkStart w:id="168" w:name="_Toc168302253"/>
      <w:bookmarkStart w:id="169" w:name="_Toc170226694"/>
      <w:r w:rsidRPr="009074B9">
        <w:rPr>
          <w:lang w:bidi="ar-DZ"/>
        </w:rPr>
        <w:t>Psoriasis</w:t>
      </w:r>
      <w:bookmarkEnd w:id="167"/>
      <w:bookmarkEnd w:id="168"/>
      <w:bookmarkEnd w:id="169"/>
    </w:p>
    <w:p w14:paraId="104621C1" w14:textId="46691728" w:rsidR="000F16F7" w:rsidRPr="000F16F7" w:rsidRDefault="000F16F7" w:rsidP="00B30DDC">
      <w:pPr>
        <w:rPr>
          <w:lang w:bidi="ar-DZ"/>
        </w:rPr>
      </w:pPr>
      <w:r w:rsidRPr="000F16F7">
        <w:rPr>
          <w:lang w:bidi="ar-DZ"/>
        </w:rPr>
        <w:t xml:space="preserve">Le psoriasis est une affection cutanée chronique à médiation immunitaire qui touche environ 2 % de la population mondiale. L'un des aspects les plus difficiles du psoriasis est la diversité de sa </w:t>
      </w:r>
      <w:r w:rsidRPr="000F16F7">
        <w:rPr>
          <w:lang w:bidi="ar-DZ"/>
        </w:rPr>
        <w:lastRenderedPageBreak/>
        <w:t xml:space="preserve">présentation. Les symptômes peuvent varier d'un patient à l'autre, ce qui complique le diagnostic (Kiełbowski </w:t>
      </w:r>
      <w:r w:rsidRPr="000F16F7">
        <w:rPr>
          <w:i/>
          <w:iCs/>
          <w:lang w:bidi="ar-DZ"/>
        </w:rPr>
        <w:t>et al.,</w:t>
      </w:r>
      <w:r w:rsidRPr="000F16F7">
        <w:rPr>
          <w:lang w:bidi="ar-DZ"/>
        </w:rPr>
        <w:t xml:space="preserve"> 2023).</w:t>
      </w:r>
    </w:p>
    <w:p w14:paraId="265879E9" w14:textId="5C355637" w:rsidR="009074B9" w:rsidRDefault="009074B9" w:rsidP="00B30DDC">
      <w:pPr>
        <w:rPr>
          <w:lang w:bidi="ar-DZ"/>
        </w:rPr>
      </w:pPr>
      <w:r w:rsidRPr="009074B9">
        <w:rPr>
          <w:lang w:bidi="ar-DZ"/>
        </w:rPr>
        <w:t xml:space="preserve">La leptine pourrait contribuer au développement du psoriasis, tout d'abord, le taux sérique de leptine et l'expression de son récepteur sont élevés dans les cas de psoriasis sévère par rapport à la maladie légère et aux témoins. Cette constatation a également été confirmée par la méta-analyse de Zhu et al. En comparant les patients aux témoins. Il augmente la sécrétion de diverses cytokines telles que l'IL-1, l'IL-6, le TNF-α et le CXCL8. Par conséquent, ces médiateurs stimulent Th1/Th17 à surproduire l'IL-17 et l'IL-23 qui sont fortement impliqués dans la pathogenèse de l'arthrite psoriasique. En outre, plusieurs études ont démontré que la leptine favorise la différenciation des cellules Th17 lors d'elles rapporté que des splénocytes déficients en leptine stimulés avec de la leptine recombinante entraînaient une augmentation des cellules IL-17+. En outre, les auteurs ont constaté que la leptine augmente l'expression de la famille des récepteurs orphelins de l'hormone nucléaire liée au récepteur de l'acide rétinoïque (RORγt), qui est associé à la différenciation Th17. La leptine peut également favoriser la chimiokinèse des granulocytes vers la peau psoriasique et retarder leur apoptose à cet endroit. Les neutrophiles activés pourraient être une autre source d'excès d'IL 17 (Kiełbowski </w:t>
      </w:r>
      <w:r w:rsidRPr="009074B9">
        <w:rPr>
          <w:i/>
          <w:iCs/>
          <w:lang w:bidi="ar-DZ"/>
        </w:rPr>
        <w:t>et al.,</w:t>
      </w:r>
      <w:r w:rsidRPr="009074B9">
        <w:rPr>
          <w:lang w:bidi="ar-DZ"/>
        </w:rPr>
        <w:t xml:space="preserve"> 2023).</w:t>
      </w:r>
    </w:p>
    <w:p w14:paraId="22B79181" w14:textId="11A9BBC8" w:rsidR="00563084" w:rsidRDefault="00563084" w:rsidP="00563084">
      <w:pPr>
        <w:rPr>
          <w:rFonts w:asciiTheme="majorBidi" w:hAnsiTheme="majorBidi" w:cstheme="majorBidi"/>
          <w:lang w:bidi="ar-DZ"/>
        </w:rPr>
      </w:pPr>
      <w:r w:rsidRPr="00FC2ADE">
        <w:rPr>
          <w:rFonts w:asciiTheme="majorBidi" w:hAnsiTheme="majorBidi" w:cstheme="majorBidi"/>
          <w:lang w:bidi="ar-DZ"/>
        </w:rPr>
        <w:t xml:space="preserve">Une méta-analyse a montré que les patients atteints de psoriasis présentaient des taux de visfatine significativement plus élevés que les témoins. En outre, les corrélations ont montré que les niveaux de visfatine chez les patients étaient positivement corrélés avec le score PASI. Il est intéressant de noter que la visfatine stimule la sécrétion de chimiokines induite par le TNF-α dans les kératinocytes humains. Cette adipokine pourrait donc contribuer à la pathogenèse ou à l'exacerbation du psoriasis (Kanda </w:t>
      </w:r>
      <w:r w:rsidRPr="00FC2ADE">
        <w:rPr>
          <w:rFonts w:asciiTheme="majorBidi" w:hAnsiTheme="majorBidi" w:cstheme="majorBidi"/>
          <w:i/>
          <w:iCs/>
          <w:lang w:bidi="ar-DZ"/>
        </w:rPr>
        <w:t>et al.,</w:t>
      </w:r>
      <w:r w:rsidRPr="00FC2ADE">
        <w:rPr>
          <w:rFonts w:asciiTheme="majorBidi" w:hAnsiTheme="majorBidi" w:cstheme="majorBidi"/>
          <w:lang w:bidi="ar-DZ"/>
        </w:rPr>
        <w:t xml:space="preserve"> 2011). En outre, une étude </w:t>
      </w:r>
      <w:r w:rsidRPr="00514EA0">
        <w:rPr>
          <w:rFonts w:asciiTheme="majorBidi" w:hAnsiTheme="majorBidi" w:cstheme="majorBidi"/>
          <w:i/>
          <w:iCs/>
          <w:lang w:bidi="ar-DZ"/>
        </w:rPr>
        <w:t>in vitro</w:t>
      </w:r>
      <w:r w:rsidRPr="00FC2ADE">
        <w:rPr>
          <w:rFonts w:asciiTheme="majorBidi" w:hAnsiTheme="majorBidi" w:cstheme="majorBidi"/>
          <w:lang w:bidi="ar-DZ"/>
        </w:rPr>
        <w:t xml:space="preserve"> a démontré que la visfatine augmente la sécrétion de peptides antimicrobiens dans les kératinocytes humains stimulés par le TNF-α. (Hau </w:t>
      </w:r>
      <w:r w:rsidRPr="00FC2ADE">
        <w:rPr>
          <w:rFonts w:asciiTheme="majorBidi" w:hAnsiTheme="majorBidi" w:cstheme="majorBidi"/>
          <w:i/>
          <w:iCs/>
          <w:lang w:bidi="ar-DZ"/>
        </w:rPr>
        <w:t>et al.,</w:t>
      </w:r>
      <w:r w:rsidRPr="00FC2ADE">
        <w:rPr>
          <w:rFonts w:asciiTheme="majorBidi" w:hAnsiTheme="majorBidi" w:cstheme="majorBidi"/>
          <w:lang w:bidi="ar-DZ"/>
        </w:rPr>
        <w:t xml:space="preserve"> 2013).</w:t>
      </w:r>
    </w:p>
    <w:p w14:paraId="78A92C5A" w14:textId="77777777" w:rsidR="00563084" w:rsidRDefault="00563084" w:rsidP="00514EA0">
      <w:pPr>
        <w:rPr>
          <w:rFonts w:asciiTheme="majorBidi" w:hAnsiTheme="majorBidi" w:cstheme="majorBidi"/>
          <w:lang w:bidi="ar-DZ"/>
        </w:rPr>
      </w:pPr>
      <w:r w:rsidRPr="00FC2ADE">
        <w:rPr>
          <w:rFonts w:asciiTheme="majorBidi" w:hAnsiTheme="majorBidi" w:cstheme="majorBidi"/>
          <w:lang w:bidi="ar-DZ"/>
        </w:rPr>
        <w:t xml:space="preserve">Il est intéressant de noter que des études récentes ont commencé à examiner le rôle de la résistine dans la pathogenèse du psoriasis. Initialement, la résistine était associée positivement à la gravité du psoriasis. Deuxièmement, les patients atteints de psoriasis présentent des niveaux accrus de résistance plasmatique. Une étude a confirmé que le traitement par infliximab réduisait le taux de résistine sérique. Une relation statistiquement significative a été observée entre les taux de résistine sérique et le score PASI. Il est intéressant de noter que la résistine peut conduire à l’expansion des Treg lorsque les cellules CD4+ sont co-cultivées avec des cellules dendritiques. De plus, la résistine peut inhiber l'expression de l'IL-6, de l'IL-12p40 et de l'IL-23p19 via la modulation de l'IRF-1 dans les cellules dendritiques. Puisque l’inhibition de ces cytokines peut </w:t>
      </w:r>
      <w:r w:rsidRPr="00FC2ADE">
        <w:rPr>
          <w:rFonts w:asciiTheme="majorBidi" w:hAnsiTheme="majorBidi" w:cstheme="majorBidi"/>
          <w:lang w:bidi="ar-DZ"/>
        </w:rPr>
        <w:lastRenderedPageBreak/>
        <w:t xml:space="preserve">atténuer la progression du psoriasis, le rôle exact de la résistine dans le psoriasis n’a pas encore été découvert (Kiełbowski </w:t>
      </w:r>
      <w:r w:rsidRPr="00FC2ADE">
        <w:rPr>
          <w:rFonts w:asciiTheme="majorBidi" w:hAnsiTheme="majorBidi" w:cstheme="majorBidi"/>
          <w:i/>
          <w:iCs/>
          <w:lang w:bidi="ar-DZ"/>
        </w:rPr>
        <w:t>et al.,</w:t>
      </w:r>
      <w:r w:rsidRPr="00FC2ADE">
        <w:rPr>
          <w:rFonts w:asciiTheme="majorBidi" w:hAnsiTheme="majorBidi" w:cstheme="majorBidi"/>
          <w:lang w:bidi="ar-DZ"/>
        </w:rPr>
        <w:t xml:space="preserve"> 2023).</w:t>
      </w:r>
    </w:p>
    <w:p w14:paraId="0D11A17F" w14:textId="22574354" w:rsidR="00563084" w:rsidRDefault="00563084" w:rsidP="00514EA0">
      <w:pPr>
        <w:rPr>
          <w:rFonts w:asciiTheme="majorBidi" w:hAnsiTheme="majorBidi" w:cstheme="majorBidi"/>
          <w:lang w:bidi="ar-DZ"/>
        </w:rPr>
      </w:pPr>
      <w:r w:rsidRPr="00FC2ADE">
        <w:rPr>
          <w:rFonts w:asciiTheme="majorBidi" w:hAnsiTheme="majorBidi" w:cstheme="majorBidi"/>
          <w:lang w:bidi="ar-DZ"/>
        </w:rPr>
        <w:t xml:space="preserve">Les cellules dendritiques plasmacytoïdes (pDC) expriment le récepteur CMKLR1 (Zabel </w:t>
      </w:r>
      <w:r w:rsidRPr="00FC2ADE">
        <w:rPr>
          <w:rFonts w:asciiTheme="majorBidi" w:hAnsiTheme="majorBidi" w:cstheme="majorBidi"/>
          <w:i/>
          <w:iCs/>
          <w:lang w:bidi="ar-DZ"/>
        </w:rPr>
        <w:t>et al.,</w:t>
      </w:r>
      <w:r w:rsidR="00B30DDC">
        <w:rPr>
          <w:rFonts w:asciiTheme="majorBidi" w:hAnsiTheme="majorBidi" w:cstheme="majorBidi"/>
          <w:lang w:bidi="ar-DZ"/>
        </w:rPr>
        <w:t xml:space="preserve"> 2005). Cela suggère que la chéme</w:t>
      </w:r>
      <w:r w:rsidRPr="00FC2ADE">
        <w:rPr>
          <w:rFonts w:asciiTheme="majorBidi" w:hAnsiTheme="majorBidi" w:cstheme="majorBidi"/>
          <w:lang w:bidi="ar-DZ"/>
        </w:rPr>
        <w:t>rine joue un rôle dans les premiers stades de la maladie, puisqu'elle encourage la migration des cellules qui jouent un rôle actif dans le dé</w:t>
      </w:r>
      <w:r w:rsidR="00B30DDC">
        <w:rPr>
          <w:rFonts w:asciiTheme="majorBidi" w:hAnsiTheme="majorBidi" w:cstheme="majorBidi"/>
          <w:lang w:bidi="ar-DZ"/>
        </w:rPr>
        <w:t>veloppement du psoriasis. La chéme</w:t>
      </w:r>
      <w:r w:rsidRPr="00FC2ADE">
        <w:rPr>
          <w:rFonts w:asciiTheme="majorBidi" w:hAnsiTheme="majorBidi" w:cstheme="majorBidi"/>
          <w:lang w:bidi="ar-DZ"/>
        </w:rPr>
        <w:t>rine entraîne également l'activation du NF-κB et l'expression des cytokines pro-inflammatoires IL-8, IL-6 et TNF-α, qui sont des facteurs essentiels dans la pathogenèse du psoriasis. En outre, il encourage la production de kératine 16, dont une forte concentration est observée dans le psoriasis et a été liée à la p</w:t>
      </w:r>
      <w:r>
        <w:rPr>
          <w:rFonts w:asciiTheme="majorBidi" w:hAnsiTheme="majorBidi" w:cstheme="majorBidi"/>
          <w:lang w:bidi="ar-DZ"/>
        </w:rPr>
        <w:t>rolifération des kératinocytes.</w:t>
      </w:r>
      <w:r w:rsidRPr="00FC2ADE">
        <w:rPr>
          <w:rFonts w:asciiTheme="majorBidi" w:hAnsiTheme="majorBidi" w:cstheme="majorBidi"/>
          <w:lang w:bidi="ar-DZ"/>
        </w:rPr>
        <w:t xml:space="preserve"> Les niveaux de chimérine sont élevés dans la peau psoriasique par rapport aux tissus sains et à la dermatite atopique. Les cellules dendritiques plasmacytoïdes infiltrent abondamment la peau psoriasique (Albanesi </w:t>
      </w:r>
      <w:r w:rsidRPr="00FC2ADE">
        <w:rPr>
          <w:rFonts w:asciiTheme="majorBidi" w:hAnsiTheme="majorBidi" w:cstheme="majorBidi"/>
          <w:i/>
          <w:iCs/>
          <w:lang w:bidi="ar-DZ"/>
        </w:rPr>
        <w:t>et al.,</w:t>
      </w:r>
      <w:r w:rsidRPr="00FC2ADE">
        <w:rPr>
          <w:rFonts w:asciiTheme="majorBidi" w:hAnsiTheme="majorBidi" w:cstheme="majorBidi"/>
          <w:lang w:bidi="ar-DZ"/>
        </w:rPr>
        <w:t xml:space="preserve"> 2009) , ce qui joue un rôle important dans l’initiation des réactions inflammatoires corrélées au psoriasis.</w:t>
      </w:r>
    </w:p>
    <w:p w14:paraId="127AA131" w14:textId="6AEE844F" w:rsidR="00563084" w:rsidRDefault="00563084" w:rsidP="00563084">
      <w:pPr>
        <w:pStyle w:val="Titre2"/>
        <w:rPr>
          <w:lang w:bidi="ar-DZ"/>
        </w:rPr>
      </w:pPr>
      <w:bookmarkStart w:id="170" w:name="_Toc167472785"/>
      <w:bookmarkStart w:id="171" w:name="_Toc168302255"/>
      <w:bookmarkStart w:id="172" w:name="_Toc170226695"/>
      <w:r w:rsidRPr="00563084">
        <w:rPr>
          <w:lang w:bidi="ar-DZ"/>
        </w:rPr>
        <w:t>Adipokines et  les maladies inflammatoires</w:t>
      </w:r>
      <w:bookmarkEnd w:id="170"/>
      <w:bookmarkEnd w:id="171"/>
      <w:bookmarkEnd w:id="172"/>
    </w:p>
    <w:p w14:paraId="5FFCF98D" w14:textId="2FA3743B" w:rsidR="005B519E" w:rsidRPr="005B519E" w:rsidRDefault="005B519E" w:rsidP="00B30DDC">
      <w:pPr>
        <w:rPr>
          <w:lang w:bidi="ar-DZ"/>
        </w:rPr>
      </w:pPr>
      <w:r w:rsidRPr="005B519E">
        <w:rPr>
          <w:lang w:bidi="ar-DZ"/>
        </w:rPr>
        <w:t xml:space="preserve">Le tissu adipeux a longtemps été considéré uniquement comme un organe de stockage d'énergie. Cependant, des recherches récentes ont révélé qu'il est également un organe inflammatoire actif. Des initiatives visant à comprendre l'obésité ont mis en lumière que le tissu adipeux produit des adipokines, des molécules aux propriétés pro- et anti-inflammatoires, en réponse à des modifications de l'accumulation de triacylglycérol dans les adipocytes et à une inflammation locale et systémique. Ces altérations peuvent influencer le stockage d'énergie à long terme et avoir des effets significatifs sur la reproduction, la gestion de la pression artérielle, l'équilibre énergétique, le système immunitaire et de nombreuses autres fonctions physiologique (Clemente-Suárez </w:t>
      </w:r>
      <w:r w:rsidRPr="005B519E">
        <w:rPr>
          <w:i/>
          <w:iCs/>
          <w:lang w:bidi="ar-DZ"/>
        </w:rPr>
        <w:t>et al.,</w:t>
      </w:r>
      <w:r w:rsidRPr="005B519E">
        <w:rPr>
          <w:lang w:bidi="ar-DZ"/>
        </w:rPr>
        <w:t xml:space="preserve"> 2023).       </w:t>
      </w:r>
    </w:p>
    <w:p w14:paraId="3223FB19" w14:textId="2165E5F1" w:rsidR="00563084" w:rsidRPr="007E6869" w:rsidRDefault="00563084" w:rsidP="00563084">
      <w:pPr>
        <w:pStyle w:val="Titre3"/>
        <w:rPr>
          <w:b/>
          <w:bCs/>
          <w:lang w:bidi="ar-DZ"/>
        </w:rPr>
      </w:pPr>
      <w:bookmarkStart w:id="173" w:name="_Toc167472786"/>
      <w:bookmarkStart w:id="174" w:name="_Toc168302256"/>
      <w:bookmarkStart w:id="175" w:name="_Toc170226696"/>
      <w:r w:rsidRPr="007E6869">
        <w:rPr>
          <w:b/>
          <w:bCs/>
          <w:lang w:bidi="ar-DZ"/>
        </w:rPr>
        <w:t>Les maladies inflammatoires de l’intestin</w:t>
      </w:r>
      <w:bookmarkEnd w:id="173"/>
      <w:bookmarkEnd w:id="174"/>
      <w:bookmarkEnd w:id="175"/>
    </w:p>
    <w:p w14:paraId="2CAEC517" w14:textId="6FE70FC8" w:rsidR="005B519E" w:rsidRPr="005B519E" w:rsidRDefault="005B519E" w:rsidP="00B30DDC">
      <w:pPr>
        <w:rPr>
          <w:lang w:bidi="ar-DZ"/>
        </w:rPr>
      </w:pPr>
      <w:r w:rsidRPr="005B519E">
        <w:rPr>
          <w:lang w:bidi="ar-DZ"/>
        </w:rPr>
        <w:t xml:space="preserve">Le terme « maladie inflammatoire de l'intestin » (MII) désigne un groupe de troubles chroniques, récurrents et rémittents, caractérisés par une inflammation chronique du tractus gastro-intestinal et comprenant la maladie de Crohn (MC) et la rectocolite hémorragique (RCH) (Bilski </w:t>
      </w:r>
      <w:r w:rsidRPr="005B519E">
        <w:rPr>
          <w:i/>
          <w:iCs/>
          <w:lang w:bidi="ar-DZ"/>
        </w:rPr>
        <w:t>et al.,</w:t>
      </w:r>
      <w:r w:rsidRPr="005B519E">
        <w:rPr>
          <w:lang w:bidi="ar-DZ"/>
        </w:rPr>
        <w:t xml:space="preserve"> 2019).</w:t>
      </w:r>
    </w:p>
    <w:p w14:paraId="4F1B1DA1" w14:textId="77777777" w:rsidR="00563084" w:rsidRDefault="00563084" w:rsidP="00B30DDC">
      <w:pPr>
        <w:rPr>
          <w:rFonts w:asciiTheme="majorBidi" w:hAnsiTheme="majorBidi" w:cstheme="majorBidi"/>
          <w:lang w:bidi="ar-DZ"/>
        </w:rPr>
      </w:pPr>
      <w:r w:rsidRPr="0022314D">
        <w:rPr>
          <w:rFonts w:asciiTheme="majorBidi" w:hAnsiTheme="majorBidi" w:cstheme="majorBidi"/>
          <w:lang w:bidi="ar-DZ"/>
        </w:rPr>
        <w:t>Une étude transversale a montré que les taux sériques d’omentine-1 étaient réduits chez les patients atteints de MC et de CU par rapport aux témoins sains. De plus, les taux sériques d’omentine-1 étaient corrélés à l’activité de la MC et de la CU. Par conséquent, il a été suggéré qu’une diminution des taux sériques d’omentine-1 était associée à la présen</w:t>
      </w:r>
      <w:r>
        <w:rPr>
          <w:rFonts w:asciiTheme="majorBidi" w:hAnsiTheme="majorBidi" w:cstheme="majorBidi"/>
          <w:lang w:bidi="ar-DZ"/>
        </w:rPr>
        <w:t xml:space="preserve">ce et à l’activité des </w:t>
      </w:r>
      <w:r>
        <w:rPr>
          <w:rFonts w:asciiTheme="majorBidi" w:hAnsiTheme="majorBidi" w:cstheme="majorBidi"/>
          <w:lang w:bidi="ar-DZ"/>
        </w:rPr>
        <w:lastRenderedPageBreak/>
        <w:t>MICI</w:t>
      </w:r>
      <w:r w:rsidRPr="0022314D">
        <w:rPr>
          <w:rFonts w:asciiTheme="majorBidi" w:hAnsiTheme="majorBidi" w:cstheme="majorBidi"/>
          <w:lang w:bidi="ar-DZ"/>
        </w:rPr>
        <w:t xml:space="preserve">. En raison des propriétés anti-inflammatoires connues de l’omentine et de la vaspine ainsi que des fluctuations des concentrations sériques et de l’expression tissulaire de ces adipokines, on peut supposer que l’omentine et la vaspine sont des biomarqueurs candidats de l’activité des MII (Radzik-Zając </w:t>
      </w:r>
      <w:r w:rsidRPr="0022314D">
        <w:rPr>
          <w:rFonts w:asciiTheme="majorBidi" w:hAnsiTheme="majorBidi" w:cstheme="majorBidi"/>
          <w:i/>
          <w:iCs/>
          <w:lang w:bidi="ar-DZ"/>
        </w:rPr>
        <w:t>et al.,</w:t>
      </w:r>
      <w:r w:rsidRPr="0022314D">
        <w:rPr>
          <w:rFonts w:asciiTheme="majorBidi" w:hAnsiTheme="majorBidi" w:cstheme="majorBidi"/>
          <w:lang w:bidi="ar-DZ"/>
        </w:rPr>
        <w:t xml:space="preserve"> 2023).</w:t>
      </w:r>
    </w:p>
    <w:p w14:paraId="28F58413" w14:textId="6418FC10" w:rsidR="00563084" w:rsidRDefault="00563084" w:rsidP="00B30DDC">
      <w:pPr>
        <w:rPr>
          <w:lang w:bidi="ar-DZ"/>
        </w:rPr>
      </w:pPr>
      <w:r w:rsidRPr="00563084">
        <w:rPr>
          <w:lang w:bidi="ar-DZ"/>
        </w:rPr>
        <w:t xml:space="preserve">Les taux sériques de vaspine ont été examinés chez des patients atteints de colite ulcéreuse (CU), chez des patients atteints de la maladie de Crohn (MC) et chez des volontaires sains. Ils se sont avérés plus élevés chez les patients atteints de CU par rapport à la MC et aux témoins. De plus, il a été démontré que les concentrations sériques de vaspine augmentaient avec l’induction de la rémission de la CU. Ces observations ont indiqué que la vaspine pourrait être un biomarqueur utile de l’activité de la CU (Radzik-Zając </w:t>
      </w:r>
      <w:r w:rsidRPr="00563084">
        <w:rPr>
          <w:i/>
          <w:iCs/>
          <w:lang w:bidi="ar-DZ"/>
        </w:rPr>
        <w:t xml:space="preserve">et al., </w:t>
      </w:r>
      <w:r w:rsidRPr="00563084">
        <w:rPr>
          <w:lang w:bidi="ar-DZ"/>
        </w:rPr>
        <w:t>2023).</w:t>
      </w:r>
    </w:p>
    <w:p w14:paraId="5FA2338F" w14:textId="77777777" w:rsidR="00563084" w:rsidRPr="007E6869" w:rsidRDefault="00563084" w:rsidP="00563084">
      <w:pPr>
        <w:pStyle w:val="Titre3"/>
        <w:rPr>
          <w:b/>
          <w:bCs/>
          <w:lang w:bidi="ar-DZ"/>
        </w:rPr>
      </w:pPr>
      <w:bookmarkStart w:id="176" w:name="_Toc167472787"/>
      <w:bookmarkStart w:id="177" w:name="_Toc168302257"/>
      <w:bookmarkStart w:id="178" w:name="_Toc170226697"/>
      <w:r w:rsidRPr="007E6869">
        <w:rPr>
          <w:b/>
          <w:bCs/>
          <w:lang w:bidi="ar-DZ"/>
        </w:rPr>
        <w:t>La polyarthrite rhumatoïde (PR)</w:t>
      </w:r>
      <w:bookmarkEnd w:id="176"/>
      <w:bookmarkEnd w:id="177"/>
      <w:bookmarkEnd w:id="178"/>
    </w:p>
    <w:p w14:paraId="379E33C5" w14:textId="5E2A5C25" w:rsidR="00563084" w:rsidRDefault="005B519E" w:rsidP="00514EA0">
      <w:pPr>
        <w:rPr>
          <w:lang w:bidi="ar-DZ"/>
        </w:rPr>
      </w:pPr>
      <w:r w:rsidRPr="005B519E">
        <w:rPr>
          <w:lang w:bidi="ar-DZ"/>
        </w:rPr>
        <w:t>Des études approfondies ont montré que la polyarthrite rhumatoïde entraîne une inf</w:t>
      </w:r>
      <w:r w:rsidR="00514EA0">
        <w:rPr>
          <w:lang w:bidi="ar-DZ"/>
        </w:rPr>
        <w:t>lammation chronique systémique.</w:t>
      </w:r>
      <w:r w:rsidR="00563084" w:rsidRPr="00563084">
        <w:rPr>
          <w:lang w:bidi="ar-DZ"/>
        </w:rPr>
        <w:tab/>
      </w:r>
    </w:p>
    <w:p w14:paraId="129DE8D8" w14:textId="77777777" w:rsidR="0016419E" w:rsidRDefault="0016419E" w:rsidP="00B30DDC">
      <w:pPr>
        <w:rPr>
          <w:rFonts w:asciiTheme="majorBidi" w:hAnsiTheme="majorBidi" w:cstheme="majorBidi"/>
          <w:lang w:bidi="ar-DZ"/>
        </w:rPr>
      </w:pPr>
      <w:r w:rsidRPr="00A45950">
        <w:rPr>
          <w:rFonts w:asciiTheme="majorBidi" w:hAnsiTheme="majorBidi" w:cstheme="majorBidi"/>
          <w:lang w:bidi="ar-DZ"/>
        </w:rPr>
        <w:t>Des études approfondies ont montré que la polyarthrite rhumatoïde entraîne une inflamm</w:t>
      </w:r>
      <w:r>
        <w:rPr>
          <w:rFonts w:asciiTheme="majorBidi" w:hAnsiTheme="majorBidi" w:cstheme="majorBidi"/>
          <w:lang w:bidi="ar-DZ"/>
        </w:rPr>
        <w:t>ation chronique systémique</w:t>
      </w:r>
      <w:r w:rsidRPr="00A45950">
        <w:rPr>
          <w:rFonts w:asciiTheme="majorBidi" w:hAnsiTheme="majorBidi" w:cstheme="majorBidi"/>
          <w:lang w:bidi="ar-DZ"/>
        </w:rPr>
        <w:t>. L’adiponectine a stimulé la production de facteurs pro-inflammatoires tels que l’IL-6, l’IL-8 et la PGE2 dans les synoviocytes de type fibroblaste (FLS) d</w:t>
      </w:r>
      <w:r>
        <w:rPr>
          <w:rFonts w:asciiTheme="majorBidi" w:hAnsiTheme="majorBidi" w:cstheme="majorBidi"/>
          <w:lang w:bidi="ar-DZ"/>
        </w:rPr>
        <w:t xml:space="preserve">es patients atteints de PR. </w:t>
      </w:r>
      <w:r w:rsidRPr="00A45950">
        <w:rPr>
          <w:rFonts w:asciiTheme="majorBidi" w:hAnsiTheme="majorBidi" w:cstheme="majorBidi"/>
          <w:lang w:bidi="ar-DZ"/>
        </w:rPr>
        <w:t>De plus, l’adiponectine a amélioré la production de VEGF (facteur de croissance de l’endothélium vasculaire) et de MMP (métallo peptidases matricielles) dans le FLS de la PR, ce qui peut entraîner une inflammation et une destruc</w:t>
      </w:r>
      <w:r>
        <w:rPr>
          <w:rFonts w:asciiTheme="majorBidi" w:hAnsiTheme="majorBidi" w:cstheme="majorBidi"/>
          <w:lang w:bidi="ar-DZ"/>
        </w:rPr>
        <w:t>tion des articulations</w:t>
      </w:r>
      <w:r w:rsidRPr="00A45950">
        <w:rPr>
          <w:rFonts w:asciiTheme="majorBidi" w:hAnsiTheme="majorBidi" w:cstheme="majorBidi"/>
          <w:lang w:bidi="ar-DZ"/>
        </w:rPr>
        <w:t>. L’adiponectine diminue doublement la capacité des ostéoblastes à se minéraliser et augmente l’activité de résorption osseuse des ostéoclastes. L’adiponectine stimule également l’expression de MMP-9 et de phosphate acide résistant au tartrate (TRAP) et augmente la sécrétion d’IL-8 dans les ostéoblastes. Cependant, dans le tissu osseux humain induit par la polyarthrite rhumatoïde, l’adiponectine a inhibé l’expression d’osterix et induit l’expression de l’ARNm ostéoprotégrine, ce qui entrave la formation osseuse</w:t>
      </w:r>
      <w:r>
        <w:rPr>
          <w:rFonts w:asciiTheme="majorBidi" w:hAnsiTheme="majorBidi" w:cstheme="majorBidi"/>
          <w:lang w:bidi="ar-DZ"/>
        </w:rPr>
        <w:t xml:space="preserve"> (</w:t>
      </w:r>
      <w:r w:rsidRPr="00E33958">
        <w:rPr>
          <w:rFonts w:asciiTheme="majorBidi" w:hAnsiTheme="majorBidi" w:cstheme="majorBidi"/>
          <w:lang w:bidi="ar-DZ"/>
        </w:rPr>
        <w:t>Choi</w:t>
      </w:r>
      <w:r>
        <w:rPr>
          <w:rFonts w:asciiTheme="majorBidi" w:hAnsiTheme="majorBidi" w:cstheme="majorBidi"/>
          <w:lang w:bidi="ar-DZ"/>
        </w:rPr>
        <w:t xml:space="preserve"> </w:t>
      </w:r>
      <w:r w:rsidRPr="00377874">
        <w:rPr>
          <w:rFonts w:asciiTheme="majorBidi" w:hAnsiTheme="majorBidi" w:cstheme="majorBidi"/>
          <w:i/>
          <w:iCs/>
          <w:lang w:bidi="ar-DZ"/>
        </w:rPr>
        <w:t>et al.,</w:t>
      </w:r>
      <w:r>
        <w:rPr>
          <w:rFonts w:asciiTheme="majorBidi" w:hAnsiTheme="majorBidi" w:cstheme="majorBidi"/>
          <w:lang w:bidi="ar-DZ"/>
        </w:rPr>
        <w:t xml:space="preserve"> 2020).</w:t>
      </w:r>
    </w:p>
    <w:p w14:paraId="3D4C57F9" w14:textId="77777777" w:rsidR="0016419E" w:rsidRDefault="0016419E" w:rsidP="00B30DDC">
      <w:pPr>
        <w:rPr>
          <w:rFonts w:asciiTheme="majorBidi" w:hAnsiTheme="majorBidi" w:cstheme="majorBidi"/>
          <w:lang w:bidi="ar-DZ"/>
        </w:rPr>
      </w:pPr>
      <w:r w:rsidRPr="00377874">
        <w:rPr>
          <w:rFonts w:asciiTheme="majorBidi" w:hAnsiTheme="majorBidi" w:cstheme="majorBidi"/>
          <w:lang w:bidi="ar-DZ"/>
        </w:rPr>
        <w:t>Chez les patients atteints de PR, il a été démontré que les niveaux systémiques de visfatine étaient plus élevés que chez les patients atteints d'arthrose et les donneurs sains, et une corrélation positive entre la visfatine et l'activité de la maladie de PR e</w:t>
      </w:r>
      <w:r>
        <w:rPr>
          <w:rFonts w:asciiTheme="majorBidi" w:hAnsiTheme="majorBidi" w:cstheme="majorBidi"/>
          <w:lang w:bidi="ar-DZ"/>
        </w:rPr>
        <w:t xml:space="preserve">t les paramètres inflammatoires. </w:t>
      </w:r>
      <w:r w:rsidRPr="00377874">
        <w:rPr>
          <w:rFonts w:asciiTheme="majorBidi" w:hAnsiTheme="majorBidi" w:cstheme="majorBidi"/>
          <w:lang w:bidi="ar-DZ"/>
        </w:rPr>
        <w:t xml:space="preserve">Selon une étude récente, l'expression de la visfatine est associée à une réduction du risque d'athérosclérose chez les patients atteints de PR. Des modèles animaux ont également montré un rôle potentiel de la visfatine dans la PR. Dans un modèle murin de l'ICA, les souris déficientes en visfatine présentaient une réduction de la destruction osseuse, de l'inflammation et </w:t>
      </w:r>
      <w:r w:rsidRPr="00377874">
        <w:rPr>
          <w:rFonts w:asciiTheme="majorBidi" w:hAnsiTheme="majorBidi" w:cstheme="majorBidi"/>
          <w:lang w:bidi="ar-DZ"/>
        </w:rPr>
        <w:lastRenderedPageBreak/>
        <w:t>de la progression de la maladie.  Dans une autre étude, l'utilisation de l'inhibiteur sélectif APO866, qui inhibe l'activité Nampt de la visfatine, a réduit la gravité de l'arthr</w:t>
      </w:r>
      <w:r>
        <w:rPr>
          <w:rFonts w:asciiTheme="majorBidi" w:hAnsiTheme="majorBidi" w:cstheme="majorBidi"/>
          <w:lang w:bidi="ar-DZ"/>
        </w:rPr>
        <w:t xml:space="preserve">ite dans un modèle de souris ICA </w:t>
      </w:r>
      <w:r w:rsidRPr="00377874">
        <w:rPr>
          <w:rFonts w:asciiTheme="majorBidi" w:hAnsiTheme="majorBidi" w:cstheme="majorBidi"/>
          <w:lang w:bidi="ar-DZ"/>
        </w:rPr>
        <w:t xml:space="preserve"> et la production de cytokines pro-inflammatoires dans les artic</w:t>
      </w:r>
      <w:r>
        <w:rPr>
          <w:rFonts w:asciiTheme="majorBidi" w:hAnsiTheme="majorBidi" w:cstheme="majorBidi"/>
          <w:lang w:bidi="ar-DZ"/>
        </w:rPr>
        <w:t>ulations de la souris affectée (</w:t>
      </w:r>
      <w:r w:rsidRPr="00377874">
        <w:rPr>
          <w:rFonts w:asciiTheme="majorBidi" w:hAnsiTheme="majorBidi" w:cstheme="majorBidi"/>
          <w:lang w:bidi="ar-DZ"/>
        </w:rPr>
        <w:t>Carrión</w:t>
      </w:r>
      <w:r>
        <w:rPr>
          <w:rFonts w:asciiTheme="majorBidi" w:hAnsiTheme="majorBidi" w:cstheme="majorBidi"/>
          <w:lang w:bidi="ar-DZ"/>
        </w:rPr>
        <w:t xml:space="preserve"> </w:t>
      </w:r>
      <w:r w:rsidRPr="00377874">
        <w:rPr>
          <w:rFonts w:asciiTheme="majorBidi" w:hAnsiTheme="majorBidi" w:cstheme="majorBidi"/>
          <w:i/>
          <w:iCs/>
          <w:lang w:bidi="ar-DZ"/>
        </w:rPr>
        <w:t xml:space="preserve">et al., </w:t>
      </w:r>
      <w:r>
        <w:rPr>
          <w:rFonts w:asciiTheme="majorBidi" w:hAnsiTheme="majorBidi" w:cstheme="majorBidi"/>
          <w:lang w:bidi="ar-DZ"/>
        </w:rPr>
        <w:t>2019).</w:t>
      </w:r>
    </w:p>
    <w:p w14:paraId="682A4E45" w14:textId="77777777" w:rsidR="0016419E" w:rsidRDefault="0016419E" w:rsidP="00B30DDC">
      <w:pPr>
        <w:rPr>
          <w:rFonts w:asciiTheme="majorBidi" w:hAnsiTheme="majorBidi" w:cstheme="majorBidi"/>
          <w:lang w:bidi="ar-DZ"/>
        </w:rPr>
      </w:pPr>
      <w:r w:rsidRPr="0006771D">
        <w:rPr>
          <w:rFonts w:asciiTheme="majorBidi" w:hAnsiTheme="majorBidi" w:cstheme="majorBidi"/>
          <w:lang w:bidi="ar-DZ"/>
        </w:rPr>
        <w:t>Dans le liquide synovial, les taux de vaspin</w:t>
      </w:r>
      <w:r>
        <w:rPr>
          <w:rFonts w:asciiTheme="majorBidi" w:hAnsiTheme="majorBidi" w:cstheme="majorBidi"/>
          <w:lang w:bidi="ar-DZ"/>
        </w:rPr>
        <w:t>e</w:t>
      </w:r>
      <w:r w:rsidRPr="0006771D">
        <w:rPr>
          <w:rFonts w:asciiTheme="majorBidi" w:hAnsiTheme="majorBidi" w:cstheme="majorBidi"/>
          <w:lang w:bidi="ar-DZ"/>
        </w:rPr>
        <w:t xml:space="preserve"> étaient significativement plus élevés chez les patients atteints de PR que chez ceux atteints d'arthrose, avec une tendance à la corrélation avec le DAS28 dans le groupe PR. Cependant, cette étude n'a pas permis de mettre en évidence une association entre la vaspine sérique et les marqueurs de l'inflammation que sont la CRP ou l'ESR. Il est intéressant de noter que l'inhibition de l'inflammation chez les patients atteints de PR par un traitement à court terme avec des glucocorticoïdes à forte dose a augmenté les niveaux de vaspine, ce qui suggère une association avec l'inflammation, même si ce n'est probablement pas de manière causale. D'autre part, dans l'arthrite juvénile idiopathique, le taux de vaspine ne diffère pas de manière significative par rapport aux témoins sains et il n'y a pas d'association entre l'activité de la maladie et les taux sériques de vaspine. Il est intéressant de noter que chez les patie</w:t>
      </w:r>
      <w:r>
        <w:rPr>
          <w:rFonts w:asciiTheme="majorBidi" w:hAnsiTheme="majorBidi" w:cstheme="majorBidi"/>
          <w:lang w:bidi="ar-DZ"/>
        </w:rPr>
        <w:t xml:space="preserve">nts atteints de spondylarthrite </w:t>
      </w:r>
      <w:r w:rsidRPr="0006771D">
        <w:rPr>
          <w:rFonts w:asciiTheme="majorBidi" w:hAnsiTheme="majorBidi" w:cstheme="majorBidi"/>
          <w:lang w:bidi="ar-DZ"/>
        </w:rPr>
        <w:t>ankylosante, les faibles niveaux de vaspine étaient liés à un dysfonctionnement endothélial</w:t>
      </w:r>
      <w:r>
        <w:rPr>
          <w:rFonts w:asciiTheme="majorBidi" w:hAnsiTheme="majorBidi" w:cstheme="majorBidi"/>
          <w:lang w:bidi="ar-DZ"/>
        </w:rPr>
        <w:t xml:space="preserve"> </w:t>
      </w:r>
      <w:r w:rsidRPr="009F1327">
        <w:rPr>
          <w:rFonts w:asciiTheme="majorBidi" w:hAnsiTheme="majorBidi" w:cstheme="majorBidi"/>
          <w:lang w:bidi="ar-DZ"/>
        </w:rPr>
        <w:t xml:space="preserve">(Carrión </w:t>
      </w:r>
      <w:r w:rsidRPr="009F1327">
        <w:rPr>
          <w:rFonts w:asciiTheme="majorBidi" w:hAnsiTheme="majorBidi" w:cstheme="majorBidi"/>
          <w:i/>
          <w:iCs/>
          <w:lang w:bidi="ar-DZ"/>
        </w:rPr>
        <w:t xml:space="preserve">et al., </w:t>
      </w:r>
      <w:r w:rsidRPr="009F1327">
        <w:rPr>
          <w:rFonts w:asciiTheme="majorBidi" w:hAnsiTheme="majorBidi" w:cstheme="majorBidi"/>
          <w:lang w:bidi="ar-DZ"/>
        </w:rPr>
        <w:t>2019).</w:t>
      </w:r>
    </w:p>
    <w:p w14:paraId="3A09A3FA" w14:textId="49E8B187" w:rsidR="0016419E" w:rsidRDefault="0016419E" w:rsidP="0016419E">
      <w:pPr>
        <w:pStyle w:val="Titre2"/>
        <w:rPr>
          <w:lang w:bidi="ar-DZ"/>
        </w:rPr>
      </w:pPr>
      <w:bookmarkStart w:id="179" w:name="_Toc167472788"/>
      <w:bookmarkStart w:id="180" w:name="_Toc168302258"/>
      <w:bookmarkStart w:id="181" w:name="_Toc170226698"/>
      <w:r w:rsidRPr="0016419E">
        <w:rPr>
          <w:lang w:bidi="ar-DZ"/>
        </w:rPr>
        <w:t>Autres maladies</w:t>
      </w:r>
      <w:bookmarkEnd w:id="179"/>
      <w:bookmarkEnd w:id="180"/>
      <w:bookmarkEnd w:id="181"/>
    </w:p>
    <w:p w14:paraId="4F414B2C" w14:textId="0B0D2A83" w:rsidR="0016419E" w:rsidRPr="007E6869" w:rsidRDefault="0016419E" w:rsidP="0016419E">
      <w:pPr>
        <w:pStyle w:val="Titre3"/>
        <w:rPr>
          <w:b/>
          <w:bCs/>
          <w:lang w:bidi="ar-DZ"/>
        </w:rPr>
      </w:pPr>
      <w:bookmarkStart w:id="182" w:name="_Toc167472789"/>
      <w:bookmarkStart w:id="183" w:name="_Toc168302259"/>
      <w:bookmarkStart w:id="184" w:name="_Toc170226699"/>
      <w:r w:rsidRPr="007E6869">
        <w:rPr>
          <w:b/>
          <w:bCs/>
          <w:lang w:bidi="ar-DZ"/>
        </w:rPr>
        <w:t>Les adipokines et le foie</w:t>
      </w:r>
      <w:bookmarkEnd w:id="182"/>
      <w:bookmarkEnd w:id="183"/>
      <w:bookmarkEnd w:id="184"/>
    </w:p>
    <w:p w14:paraId="5CDCF789" w14:textId="5C9C72B6" w:rsidR="0016419E" w:rsidRDefault="001253C1" w:rsidP="00514EA0">
      <w:pPr>
        <w:rPr>
          <w:lang w:bidi="ar-DZ"/>
        </w:rPr>
      </w:pPr>
      <w:r w:rsidRPr="001253C1">
        <w:rPr>
          <w:lang w:bidi="ar-DZ"/>
        </w:rPr>
        <w:t>L’augmentation des niveaux de leptine agit comme un stimulus pro-inflammatoire, et la leptine augmente la susceptibilité à l’hépatotoxicité en régulant la production de cytokines et l’activation des lymphocytes T. D’autre part, la leptine augmente l’oxydation des acides gras dans le foie en activant le récepteur-alpha activé par les proliférateurs de peroxysomes (PPAR-α). Des niveaux plus élevés de leptine circulante se sont avérés être associés à une gravité accrue de la stéatose hépatique non alcoolique. De plus, des polymorphismes dans le gène du récepteur de la leptine (ObR) ont été rapportés comme étant liés à la NAFLD</w:t>
      </w:r>
      <w:r w:rsidR="00514EA0" w:rsidRPr="00514EA0">
        <w:t xml:space="preserve"> </w:t>
      </w:r>
      <w:r w:rsidR="00514EA0" w:rsidRPr="00514EA0">
        <w:rPr>
          <w:lang w:bidi="ar-DZ"/>
        </w:rPr>
        <w:t>(caractérisée par l’accumulation de graisse dans le foie due à des causes non alcooliques).</w:t>
      </w:r>
      <w:r w:rsidR="00514EA0">
        <w:rPr>
          <w:lang w:bidi="ar-DZ"/>
        </w:rPr>
        <w:t xml:space="preserve"> </w:t>
      </w:r>
      <w:r w:rsidRPr="001253C1">
        <w:rPr>
          <w:lang w:bidi="ar-DZ"/>
        </w:rPr>
        <w:t>. Cependant, contrairement aux patients atteints de NAFLD associée à l’obésité, les patients atteints de lipodystrophie ont de faibles niveaux d’adipokines, y compris la leptine, et le traitement à la leptine semble donc être très efficace pour la NASH chez les patients lipodystrophiques hypoleptinémiques</w:t>
      </w:r>
      <w:r w:rsidRPr="001253C1">
        <w:rPr>
          <w:b/>
          <w:bCs/>
          <w:lang w:bidi="ar-DZ"/>
        </w:rPr>
        <w:t xml:space="preserve"> </w:t>
      </w:r>
      <w:r w:rsidRPr="001253C1">
        <w:rPr>
          <w:lang w:bidi="ar-DZ"/>
        </w:rPr>
        <w:t xml:space="preserve">(Chang </w:t>
      </w:r>
      <w:r w:rsidRPr="00B30DDC">
        <w:rPr>
          <w:i/>
          <w:iCs/>
          <w:lang w:bidi="ar-DZ"/>
        </w:rPr>
        <w:t>et al.,</w:t>
      </w:r>
      <w:r w:rsidRPr="001253C1">
        <w:rPr>
          <w:lang w:bidi="ar-DZ"/>
        </w:rPr>
        <w:t xml:space="preserve"> 2020).</w:t>
      </w:r>
    </w:p>
    <w:p w14:paraId="6C29BB1B" w14:textId="698F8E2A" w:rsidR="001253C1" w:rsidRDefault="001253C1" w:rsidP="00514EA0">
      <w:pPr>
        <w:rPr>
          <w:lang w:bidi="ar-DZ"/>
        </w:rPr>
      </w:pPr>
      <w:r w:rsidRPr="001253C1">
        <w:rPr>
          <w:lang w:bidi="ar-DZ"/>
        </w:rPr>
        <w:t xml:space="preserve">Cependant, les données concernant d’autres adipokines, y compris la résistine (RETN), la visfatine (c’est-à-dire la nicotinamide phosphoribosyltransférase extracellulaire (eNAMPT)), la </w:t>
      </w:r>
      <w:r w:rsidRPr="001253C1">
        <w:rPr>
          <w:lang w:bidi="ar-DZ"/>
        </w:rPr>
        <w:lastRenderedPageBreak/>
        <w:t xml:space="preserve">protéine de liaison au rétinol-4 (RBP-4), la chimérine, l’adipsine, l’obestatine, l’omentine et le vaspin, dans la NAFLD ne sont pas concluantes ou limitées (Polyzos </w:t>
      </w:r>
      <w:r w:rsidRPr="001253C1">
        <w:rPr>
          <w:i/>
          <w:iCs/>
          <w:lang w:bidi="ar-DZ"/>
        </w:rPr>
        <w:t>et al.,</w:t>
      </w:r>
      <w:r w:rsidRPr="001253C1">
        <w:rPr>
          <w:lang w:bidi="ar-DZ"/>
        </w:rPr>
        <w:t xml:space="preserve"> 2016).</w:t>
      </w:r>
    </w:p>
    <w:p w14:paraId="331BFE53" w14:textId="7E8AD687" w:rsidR="001253C1" w:rsidRPr="007E6869" w:rsidRDefault="001253C1" w:rsidP="001253C1">
      <w:pPr>
        <w:pStyle w:val="Titre3"/>
        <w:rPr>
          <w:b/>
          <w:bCs/>
          <w:lang w:bidi="ar-DZ"/>
        </w:rPr>
      </w:pPr>
      <w:bookmarkStart w:id="185" w:name="_Toc167472790"/>
      <w:bookmarkStart w:id="186" w:name="_Toc168302260"/>
      <w:bookmarkStart w:id="187" w:name="_Toc170226700"/>
      <w:r w:rsidRPr="007E6869">
        <w:rPr>
          <w:b/>
          <w:bCs/>
          <w:lang w:bidi="ar-DZ"/>
        </w:rPr>
        <w:t>Hépatite virale</w:t>
      </w:r>
      <w:bookmarkEnd w:id="185"/>
      <w:bookmarkEnd w:id="186"/>
      <w:bookmarkEnd w:id="187"/>
    </w:p>
    <w:p w14:paraId="6E3B5BE7" w14:textId="74F1C48E" w:rsidR="001253C1" w:rsidRDefault="001253C1" w:rsidP="001253C1">
      <w:pPr>
        <w:pStyle w:val="Titre4"/>
        <w:rPr>
          <w:lang w:bidi="ar-DZ"/>
        </w:rPr>
      </w:pPr>
      <w:r w:rsidRPr="001253C1">
        <w:rPr>
          <w:lang w:bidi="ar-DZ"/>
        </w:rPr>
        <w:t>Hépatite B</w:t>
      </w:r>
    </w:p>
    <w:p w14:paraId="1BD28564" w14:textId="57578375" w:rsidR="001253C1" w:rsidRPr="00514EA0" w:rsidRDefault="005B519E" w:rsidP="00514EA0">
      <w:pPr>
        <w:rPr>
          <w:lang w:bidi="ar-DZ"/>
        </w:rPr>
      </w:pPr>
      <w:r w:rsidRPr="005B519E">
        <w:rPr>
          <w:lang w:bidi="ar-DZ"/>
        </w:rPr>
        <w:t xml:space="preserve">Le VHB est un membre hépatotrope, non cytopathique, de la famille des hepadnaviridae, comprenant un génome d'ADN circulaire relaxé, partiellement double brin, de 3,2 kb et une ADN polymérase virale condensée. un génome d'ADN circulaire relaxé, partiellement double brin, de 3,2 kb et une ADN polymérase virale condensée dans une nucléocapside par les protéines centrales de l'hépatite B. en une nucléocapside par les protéines centrales de l'hépatite B (Chang </w:t>
      </w:r>
      <w:r w:rsidRPr="00B30DDC">
        <w:rPr>
          <w:i/>
          <w:iCs/>
          <w:lang w:bidi="ar-DZ"/>
        </w:rPr>
        <w:t>et al.,</w:t>
      </w:r>
      <w:r w:rsidR="00514EA0">
        <w:rPr>
          <w:lang w:bidi="ar-DZ"/>
        </w:rPr>
        <w:t xml:space="preserve"> 2020).</w:t>
      </w:r>
    </w:p>
    <w:p w14:paraId="75201620" w14:textId="77777777" w:rsidR="001253C1" w:rsidRDefault="001253C1" w:rsidP="00B30DDC">
      <w:pPr>
        <w:rPr>
          <w:rFonts w:asciiTheme="majorBidi" w:hAnsiTheme="majorBidi" w:cstheme="majorBidi"/>
          <w:lang w:bidi="ar-DZ"/>
        </w:rPr>
      </w:pPr>
      <w:r w:rsidRPr="006A0649">
        <w:rPr>
          <w:rFonts w:asciiTheme="majorBidi" w:hAnsiTheme="majorBidi" w:cstheme="majorBidi"/>
          <w:lang w:bidi="ar-DZ"/>
        </w:rPr>
        <w:t>Les taux de leptine peuvent être liés à la progression de la fibrose chez les patients non diabétiques atteints d’une inf</w:t>
      </w:r>
      <w:r>
        <w:rPr>
          <w:rFonts w:asciiTheme="majorBidi" w:hAnsiTheme="majorBidi" w:cstheme="majorBidi"/>
          <w:lang w:bidi="ar-DZ"/>
        </w:rPr>
        <w:t>ection chronique par le VHB</w:t>
      </w:r>
      <w:r w:rsidRPr="006A0649">
        <w:rPr>
          <w:rFonts w:asciiTheme="majorBidi" w:hAnsiTheme="majorBidi" w:cstheme="majorBidi"/>
          <w:lang w:bidi="ar-DZ"/>
        </w:rPr>
        <w:t>. Conformément à cette possibilité, la cirrhose due à la CHB est associée à des taux élevés de leptine, qui constituent un facteur pronostique négatif pour la réponse à la lamivudine en monothérapie chez les patients attei</w:t>
      </w:r>
      <w:r>
        <w:rPr>
          <w:rFonts w:asciiTheme="majorBidi" w:hAnsiTheme="majorBidi" w:cstheme="majorBidi"/>
          <w:lang w:bidi="ar-DZ"/>
        </w:rPr>
        <w:t>nts de CHB</w:t>
      </w:r>
      <w:r w:rsidRPr="006A0649">
        <w:rPr>
          <w:rFonts w:asciiTheme="majorBidi" w:hAnsiTheme="majorBidi" w:cstheme="majorBidi"/>
          <w:lang w:bidi="ar-DZ"/>
        </w:rPr>
        <w:t>. De plus, une augmentation des taux de leptine de base a été notée chez les patients atteints de CHB par rapport aux témoins, et les niveaux de leptine ont diminué pend</w:t>
      </w:r>
      <w:r>
        <w:rPr>
          <w:rFonts w:asciiTheme="majorBidi" w:hAnsiTheme="majorBidi" w:cstheme="majorBidi"/>
          <w:lang w:bidi="ar-DZ"/>
        </w:rPr>
        <w:t>ant le traitement par IFN-α</w:t>
      </w:r>
      <w:r w:rsidRPr="006A0649">
        <w:rPr>
          <w:rFonts w:asciiTheme="majorBidi" w:hAnsiTheme="majorBidi" w:cstheme="majorBidi"/>
          <w:lang w:bidi="ar-DZ"/>
        </w:rPr>
        <w:t>. Cependant, une diminution des taux sériques de leptine n’a jamais été observée chez les patients atteints de cir</w:t>
      </w:r>
      <w:r>
        <w:rPr>
          <w:rFonts w:asciiTheme="majorBidi" w:hAnsiTheme="majorBidi" w:cstheme="majorBidi"/>
          <w:lang w:bidi="ar-DZ"/>
        </w:rPr>
        <w:t xml:space="preserve">rhose et de CHC liés au VHB </w:t>
      </w:r>
      <w:r w:rsidRPr="0072686F">
        <w:rPr>
          <w:rFonts w:asciiTheme="majorBidi" w:hAnsiTheme="majorBidi" w:cstheme="majorBidi"/>
          <w:lang w:bidi="ar-DZ"/>
        </w:rPr>
        <w:t xml:space="preserve">(Chang </w:t>
      </w:r>
      <w:r w:rsidRPr="0072686F">
        <w:rPr>
          <w:rFonts w:asciiTheme="majorBidi" w:hAnsiTheme="majorBidi" w:cstheme="majorBidi"/>
          <w:i/>
          <w:iCs/>
          <w:lang w:bidi="ar-DZ"/>
        </w:rPr>
        <w:t>et al.,</w:t>
      </w:r>
      <w:r w:rsidRPr="0072686F">
        <w:rPr>
          <w:rFonts w:asciiTheme="majorBidi" w:hAnsiTheme="majorBidi" w:cstheme="majorBidi"/>
          <w:lang w:bidi="ar-DZ"/>
        </w:rPr>
        <w:t xml:space="preserve"> 2020).</w:t>
      </w:r>
    </w:p>
    <w:p w14:paraId="009373A2" w14:textId="77777777" w:rsidR="00B45526" w:rsidRDefault="00B45526" w:rsidP="00B30DDC">
      <w:pPr>
        <w:rPr>
          <w:rFonts w:asciiTheme="majorBidi" w:hAnsiTheme="majorBidi" w:cstheme="majorBidi"/>
          <w:lang w:bidi="ar-DZ"/>
        </w:rPr>
      </w:pPr>
      <w:r w:rsidRPr="000806BF">
        <w:rPr>
          <w:rFonts w:asciiTheme="majorBidi" w:hAnsiTheme="majorBidi" w:cstheme="majorBidi"/>
          <w:lang w:bidi="ar-DZ"/>
        </w:rPr>
        <w:t>Dans les cellules stables à l’HepG2-HBV, la réplication du VHB s’est avérée régulée à la hausse par l’adiponectine et régulée à la baisse par de petits ARN interfér</w:t>
      </w:r>
      <w:r>
        <w:rPr>
          <w:rFonts w:asciiTheme="majorBidi" w:hAnsiTheme="majorBidi" w:cstheme="majorBidi"/>
          <w:lang w:bidi="ar-DZ"/>
        </w:rPr>
        <w:t>ents ciblant l’adiponectine</w:t>
      </w:r>
      <w:r w:rsidRPr="000806BF">
        <w:rPr>
          <w:rFonts w:asciiTheme="majorBidi" w:hAnsiTheme="majorBidi" w:cstheme="majorBidi"/>
          <w:lang w:bidi="ar-DZ"/>
        </w:rPr>
        <w:t>. Conformément à cette constatation, les personnes atteintes d’une infection chronique par le VHB ont des taux sériques élevés d’adiponectine. En particulier chez les patients en surpoids et obèses infectés par le VHB, une charge élevée de VHB s’est avérée positivement associée aux t</w:t>
      </w:r>
      <w:r>
        <w:rPr>
          <w:rFonts w:asciiTheme="majorBidi" w:hAnsiTheme="majorBidi" w:cstheme="majorBidi"/>
          <w:lang w:bidi="ar-DZ"/>
        </w:rPr>
        <w:t>aux sériques d’adiponectine</w:t>
      </w:r>
      <w:r w:rsidRPr="000806BF">
        <w:rPr>
          <w:rFonts w:asciiTheme="majorBidi" w:hAnsiTheme="majorBidi" w:cstheme="majorBidi"/>
          <w:lang w:bidi="ar-DZ"/>
        </w:rPr>
        <w:t xml:space="preserve">. Curieusement, chez les sujets masculins infectés par le VHB sans diabète, le taux sérique d’ADN du VHB était inversement corrélé au taux sérique de cholestérol des lipoprotéines de haute densité, et les patients dont l’ADN du VHB était détectable avaient des taux d’adiponectine inférieurs </w:t>
      </w:r>
      <w:r>
        <w:rPr>
          <w:rFonts w:asciiTheme="majorBidi" w:hAnsiTheme="majorBidi" w:cstheme="majorBidi"/>
          <w:lang w:bidi="ar-DZ"/>
        </w:rPr>
        <w:t xml:space="preserve">à ceux qui n’en avaient pas </w:t>
      </w:r>
      <w:r w:rsidRPr="0072686F">
        <w:rPr>
          <w:rFonts w:asciiTheme="majorBidi" w:hAnsiTheme="majorBidi" w:cstheme="majorBidi"/>
          <w:lang w:bidi="ar-DZ"/>
        </w:rPr>
        <w:t xml:space="preserve">(Chang </w:t>
      </w:r>
      <w:r w:rsidRPr="0072686F">
        <w:rPr>
          <w:rFonts w:asciiTheme="majorBidi" w:hAnsiTheme="majorBidi" w:cstheme="majorBidi"/>
          <w:i/>
          <w:iCs/>
          <w:lang w:bidi="ar-DZ"/>
        </w:rPr>
        <w:t>et al.,</w:t>
      </w:r>
      <w:r w:rsidRPr="0072686F">
        <w:rPr>
          <w:rFonts w:asciiTheme="majorBidi" w:hAnsiTheme="majorBidi" w:cstheme="majorBidi"/>
          <w:lang w:bidi="ar-DZ"/>
        </w:rPr>
        <w:t xml:space="preserve"> 2020).</w:t>
      </w:r>
    </w:p>
    <w:p w14:paraId="36E6AF35" w14:textId="77777777" w:rsidR="00B45526" w:rsidRDefault="00B45526" w:rsidP="00B30DDC">
      <w:pPr>
        <w:rPr>
          <w:rFonts w:asciiTheme="majorBidi" w:hAnsiTheme="majorBidi" w:cstheme="majorBidi"/>
          <w:lang w:bidi="ar-DZ"/>
        </w:rPr>
      </w:pPr>
      <w:r w:rsidRPr="006A0649">
        <w:rPr>
          <w:rFonts w:asciiTheme="majorBidi" w:hAnsiTheme="majorBidi" w:cstheme="majorBidi"/>
          <w:lang w:bidi="ar-DZ"/>
        </w:rPr>
        <w:t>On a constaté que les patients infectés par le VHB présentaient des taux accrus de résistance sérique, et des taux élevés de résistine sérique étaient associés à une inflammation intr</w:t>
      </w:r>
      <w:r>
        <w:rPr>
          <w:rFonts w:asciiTheme="majorBidi" w:hAnsiTheme="majorBidi" w:cstheme="majorBidi"/>
          <w:lang w:bidi="ar-DZ"/>
        </w:rPr>
        <w:t>a hépatique et à une nécrose</w:t>
      </w:r>
      <w:r w:rsidRPr="006A0649">
        <w:rPr>
          <w:rFonts w:asciiTheme="majorBidi" w:hAnsiTheme="majorBidi" w:cstheme="majorBidi"/>
          <w:lang w:bidi="ar-DZ"/>
        </w:rPr>
        <w:t>. De plus, les taux de résistine ont diminué chez les patients infectés par le VHB après un traitement antiviral, en particulier dans l</w:t>
      </w:r>
      <w:r>
        <w:rPr>
          <w:rFonts w:asciiTheme="majorBidi" w:hAnsiTheme="majorBidi" w:cstheme="majorBidi"/>
          <w:lang w:bidi="ar-DZ"/>
        </w:rPr>
        <w:t xml:space="preserve">e sous-groupe de répondeurs </w:t>
      </w:r>
      <w:r w:rsidRPr="0072686F">
        <w:rPr>
          <w:rFonts w:asciiTheme="majorBidi" w:hAnsiTheme="majorBidi" w:cstheme="majorBidi"/>
          <w:lang w:bidi="ar-DZ"/>
        </w:rPr>
        <w:t xml:space="preserve">(Chang </w:t>
      </w:r>
      <w:r w:rsidRPr="0072686F">
        <w:rPr>
          <w:rFonts w:asciiTheme="majorBidi" w:hAnsiTheme="majorBidi" w:cstheme="majorBidi"/>
          <w:i/>
          <w:iCs/>
          <w:lang w:bidi="ar-DZ"/>
        </w:rPr>
        <w:t>et al.,</w:t>
      </w:r>
      <w:r w:rsidRPr="0072686F">
        <w:rPr>
          <w:rFonts w:asciiTheme="majorBidi" w:hAnsiTheme="majorBidi" w:cstheme="majorBidi"/>
          <w:lang w:bidi="ar-DZ"/>
        </w:rPr>
        <w:t xml:space="preserve"> 2020).</w:t>
      </w:r>
    </w:p>
    <w:p w14:paraId="3ADC037E" w14:textId="7DA01FB8" w:rsidR="00B45526" w:rsidRPr="007E6869" w:rsidRDefault="00B45526" w:rsidP="00B45526">
      <w:pPr>
        <w:pStyle w:val="Titre4"/>
        <w:rPr>
          <w:b/>
          <w:bCs/>
          <w:lang w:bidi="ar-DZ"/>
        </w:rPr>
      </w:pPr>
      <w:r w:rsidRPr="007E6869">
        <w:rPr>
          <w:b/>
          <w:bCs/>
          <w:lang w:bidi="ar-DZ"/>
        </w:rPr>
        <w:lastRenderedPageBreak/>
        <w:t>Hépatite C</w:t>
      </w:r>
    </w:p>
    <w:p w14:paraId="3B053D71" w14:textId="5CCB7FBC" w:rsidR="005B519E" w:rsidRPr="005B519E" w:rsidRDefault="005B519E" w:rsidP="00B30DDC">
      <w:pPr>
        <w:rPr>
          <w:lang w:bidi="ar-DZ"/>
        </w:rPr>
      </w:pPr>
      <w:r w:rsidRPr="005B519E">
        <w:rPr>
          <w:lang w:bidi="ar-DZ"/>
        </w:rPr>
        <w:t>Le virus de l'hépatite C (VHC), un pathogène humain responsable de maladies hépatiques aiguës et chroniques, présente des variantes classées en huit génotypes et chroniques. On pense actuellement que le VHC provoque des altérations métaboliques en plus d'une simple infection virale hépatique, car il affecte la signalisation de l'insuline et une grande partie de son cycle de vie est étroitement associée</w:t>
      </w:r>
      <w:r w:rsidR="00514EA0">
        <w:rPr>
          <w:lang w:bidi="ar-DZ"/>
        </w:rPr>
        <w:t xml:space="preserve"> au métabolisme des lipides</w:t>
      </w:r>
      <w:r w:rsidRPr="005B519E">
        <w:rPr>
          <w:lang w:bidi="ar-DZ"/>
        </w:rPr>
        <w:t xml:space="preserve">. Étudier les altérations métaboliques et les effets associés de la clairance du VHC en comparant les profils des adipokines avant et après le traitement anti-VHC (Chang </w:t>
      </w:r>
      <w:r w:rsidRPr="00B30DDC">
        <w:rPr>
          <w:i/>
          <w:iCs/>
          <w:lang w:bidi="ar-DZ"/>
        </w:rPr>
        <w:t>et al.,</w:t>
      </w:r>
      <w:r w:rsidRPr="005B519E">
        <w:rPr>
          <w:lang w:bidi="ar-DZ"/>
        </w:rPr>
        <w:t xml:space="preserve"> 2020).</w:t>
      </w:r>
    </w:p>
    <w:p w14:paraId="722302D5" w14:textId="3873CE62" w:rsidR="00B45526" w:rsidRDefault="00CE3E71" w:rsidP="00514EA0">
      <w:pPr>
        <w:rPr>
          <w:lang w:bidi="ar-DZ"/>
        </w:rPr>
      </w:pPr>
      <w:r>
        <w:rPr>
          <w:lang w:bidi="ar-DZ"/>
        </w:rPr>
        <w:t>L</w:t>
      </w:r>
      <w:r w:rsidR="00B30DDC">
        <w:rPr>
          <w:lang w:bidi="ar-DZ"/>
        </w:rPr>
        <w:t>es taux sériques de chéme</w:t>
      </w:r>
      <w:r w:rsidR="00B45526" w:rsidRPr="00B45526">
        <w:rPr>
          <w:lang w:bidi="ar-DZ"/>
        </w:rPr>
        <w:t xml:space="preserve">rine étaient significativement plus élevés chez les patients infectés par le VHC que chez les témoins, bien que les taux de </w:t>
      </w:r>
      <w:r w:rsidR="00B30DDC" w:rsidRPr="00B45526">
        <w:rPr>
          <w:lang w:bidi="ar-DZ"/>
        </w:rPr>
        <w:t>chémerine</w:t>
      </w:r>
      <w:r w:rsidR="00B45526" w:rsidRPr="00B45526">
        <w:rPr>
          <w:lang w:bidi="ar-DZ"/>
        </w:rPr>
        <w:t xml:space="preserve"> aient été associés négativement au stade nécro-inflammatoire. D’autre part, il y avait une association négative entre la </w:t>
      </w:r>
      <w:r w:rsidR="00B30DDC" w:rsidRPr="00B45526">
        <w:rPr>
          <w:lang w:bidi="ar-DZ"/>
        </w:rPr>
        <w:t>chémerine</w:t>
      </w:r>
      <w:r w:rsidR="00B45526" w:rsidRPr="00B45526">
        <w:rPr>
          <w:lang w:bidi="ar-DZ"/>
        </w:rPr>
        <w:t xml:space="preserve"> sérique et l’expression de la </w:t>
      </w:r>
      <w:r w:rsidR="00B30DDC" w:rsidRPr="00B45526">
        <w:rPr>
          <w:lang w:bidi="ar-DZ"/>
        </w:rPr>
        <w:t>chémerine</w:t>
      </w:r>
      <w:r w:rsidR="00B45526" w:rsidRPr="00B45526">
        <w:rPr>
          <w:lang w:bidi="ar-DZ"/>
        </w:rPr>
        <w:t xml:space="preserve"> hépatique, qui n’était pas associée à l’activité nécro-inflammatoire, au grade de stéatose, au stade de fibrose ou aux anomalies métaboliques chez les patients infectés par le VHC (Chang </w:t>
      </w:r>
      <w:r w:rsidR="00B45526" w:rsidRPr="00B45526">
        <w:rPr>
          <w:i/>
          <w:iCs/>
          <w:lang w:bidi="ar-DZ"/>
        </w:rPr>
        <w:t>et al.,</w:t>
      </w:r>
      <w:r w:rsidR="00B45526" w:rsidRPr="00B45526">
        <w:rPr>
          <w:lang w:bidi="ar-DZ"/>
        </w:rPr>
        <w:t xml:space="preserve"> 2020).</w:t>
      </w:r>
    </w:p>
    <w:p w14:paraId="12379104" w14:textId="3C40FC1A" w:rsidR="00B45526" w:rsidRDefault="00CE3E71" w:rsidP="00B30DDC">
      <w:pPr>
        <w:rPr>
          <w:lang w:bidi="ar-DZ"/>
        </w:rPr>
      </w:pPr>
      <w:r>
        <w:rPr>
          <w:lang w:bidi="ar-DZ"/>
        </w:rPr>
        <w:t>L</w:t>
      </w:r>
      <w:r w:rsidR="00B45526" w:rsidRPr="00B45526">
        <w:rPr>
          <w:lang w:bidi="ar-DZ"/>
        </w:rPr>
        <w:t xml:space="preserve">a concentration sérique de visfatine augmentait de manière significative chez les patients atteints d’une infection chronique par le VHC par rapport aux témoins et était étroitement liée au taux de cholestérol à lipoprotéines de basse densité et au score de fibrose. Chez les patients présentant différents stades d’infection par le VHC, le taux plasmatique de visfatine était associé à la présence de CHC. Conformément à ce résultat, les taux sériques de visfatine différaient significativement entre les groupes CHC, VHC et témoins normaux, et le taux de visfatine était associé à la cirrhose du foie chez les patients infectés par le VHC. D’autre part, aucune corrélation entre la visfatine et le génotype du VHC, la charge virale ou la réponse au traitement à base d’IFN n’a été démontrée (Chang </w:t>
      </w:r>
      <w:r w:rsidR="00B45526" w:rsidRPr="00B45526">
        <w:rPr>
          <w:i/>
          <w:iCs/>
          <w:lang w:bidi="ar-DZ"/>
        </w:rPr>
        <w:t>et al.,</w:t>
      </w:r>
      <w:r w:rsidR="00B45526" w:rsidRPr="00B45526">
        <w:rPr>
          <w:lang w:bidi="ar-DZ"/>
        </w:rPr>
        <w:t xml:space="preserve"> 2020).</w:t>
      </w:r>
    </w:p>
    <w:p w14:paraId="1C56508C" w14:textId="3694415D" w:rsidR="00B45526" w:rsidRDefault="00B45526" w:rsidP="00B30DDC">
      <w:pPr>
        <w:rPr>
          <w:lang w:bidi="ar-DZ"/>
        </w:rPr>
      </w:pPr>
      <w:r w:rsidRPr="00B45526">
        <w:rPr>
          <w:lang w:bidi="ar-DZ"/>
        </w:rPr>
        <w:t xml:space="preserve">une augmentation ou une instabilité des taux sériques de leptine </w:t>
      </w:r>
      <w:r w:rsidR="00514EA0">
        <w:rPr>
          <w:lang w:bidi="ar-DZ"/>
        </w:rPr>
        <w:t xml:space="preserve">a été noté </w:t>
      </w:r>
      <w:r w:rsidRPr="00B45526">
        <w:rPr>
          <w:lang w:bidi="ar-DZ"/>
        </w:rPr>
        <w:t>chez les patients atteints d’une infection chronique par le VHC par rapport aux témoins. En ce qui concerne les caractéristiques spécifiques au génotype, le lien entre la stéatose et la leptine chez les patients i</w:t>
      </w:r>
      <w:r w:rsidR="00B30DDC">
        <w:rPr>
          <w:lang w:bidi="ar-DZ"/>
        </w:rPr>
        <w:t xml:space="preserve">nfectés par le VHC de génotype </w:t>
      </w:r>
      <w:r w:rsidRPr="00B45526">
        <w:rPr>
          <w:lang w:bidi="ar-DZ"/>
        </w:rPr>
        <w:t xml:space="preserve">G1 ou G2 a été rapporté. De plus, des taux élevés de leptine au départ ont été signalés comme étant des prédicteurs négatifs d’une réponse virologique soutenue (RVS) au traitement à base d’IFN. De plus, on a constaté que les taux de leptine restaient inchangés après le traitement par IFN chez les patients atteints d’une infection chronique par le VHC qui ont obtenu des RVS ; La leptine et le composant 3 du complément (C3) peuvent maintenir l’homéostasie immunitaire et métabolique en association avec le C4 et le cholestérol total (Chang </w:t>
      </w:r>
      <w:r w:rsidRPr="00B45526">
        <w:rPr>
          <w:i/>
          <w:iCs/>
          <w:lang w:bidi="ar-DZ"/>
        </w:rPr>
        <w:t>et al.,</w:t>
      </w:r>
      <w:r w:rsidRPr="00B45526">
        <w:rPr>
          <w:lang w:bidi="ar-DZ"/>
        </w:rPr>
        <w:t xml:space="preserve"> 2020).</w:t>
      </w:r>
    </w:p>
    <w:p w14:paraId="393E5701" w14:textId="0AA4896E" w:rsidR="00B45526" w:rsidRPr="007E6869" w:rsidRDefault="00B35448" w:rsidP="00B35448">
      <w:pPr>
        <w:pStyle w:val="Titre3"/>
        <w:rPr>
          <w:b/>
          <w:bCs/>
          <w:lang w:bidi="ar-DZ"/>
        </w:rPr>
      </w:pPr>
      <w:bookmarkStart w:id="188" w:name="_Toc167472791"/>
      <w:bookmarkStart w:id="189" w:name="_Toc168302261"/>
      <w:bookmarkStart w:id="190" w:name="_Toc170226701"/>
      <w:r w:rsidRPr="007E6869">
        <w:rPr>
          <w:b/>
          <w:bCs/>
          <w:lang w:bidi="ar-DZ"/>
        </w:rPr>
        <w:lastRenderedPageBreak/>
        <w:t>Les adipokines et les maladies mentales et le syndrome métabolique</w:t>
      </w:r>
      <w:bookmarkEnd w:id="188"/>
      <w:bookmarkEnd w:id="189"/>
      <w:bookmarkEnd w:id="190"/>
    </w:p>
    <w:p w14:paraId="1B6E1AC8" w14:textId="5DC438F4" w:rsidR="00B35448" w:rsidRDefault="005B519E" w:rsidP="006C5156">
      <w:pPr>
        <w:rPr>
          <w:lang w:bidi="ar-DZ"/>
        </w:rPr>
      </w:pPr>
      <w:r w:rsidRPr="005B519E">
        <w:rPr>
          <w:lang w:bidi="ar-DZ"/>
        </w:rPr>
        <w:t xml:space="preserve">Le syndrome métabolique (SM) ou syndrome X est également connu sous le nom de syndrome cardiométabolique. Le SM est un ensemble de symptômes métaboliques et cardiovasculaires fortement associés au diabète2 et très fréquemment associés à l'hypertension, à la dyslipidémie, à l'athérosclérose et surtout à l'obésité. En outre, le SM est défini par la présence d'une hyperglycémie, d'une obésité centrale, d'un faible taux de lipoprotéines de haute densité (HDL) et d'un taux élevé de triglycérides totaux (Samarghandian </w:t>
      </w:r>
      <w:r w:rsidRPr="00F302BB">
        <w:rPr>
          <w:i/>
          <w:iCs/>
          <w:lang w:bidi="ar-DZ"/>
        </w:rPr>
        <w:t>et al.,</w:t>
      </w:r>
      <w:r w:rsidRPr="005B519E">
        <w:rPr>
          <w:lang w:bidi="ar-DZ"/>
        </w:rPr>
        <w:t xml:space="preserve"> 2017). Dans ce contexte, le rôle des facteurs dérivés du tissu adipeux dans l'étiologie du syndrome métabolique et les mécanismes associés supposés </w:t>
      </w:r>
      <w:r w:rsidR="00F302BB">
        <w:rPr>
          <w:lang w:bidi="ar-DZ"/>
        </w:rPr>
        <w:t>sont discutés dans le t</w:t>
      </w:r>
      <w:r w:rsidR="00067719">
        <w:rPr>
          <w:lang w:bidi="ar-DZ"/>
        </w:rPr>
        <w:t>ableau</w:t>
      </w:r>
      <w:r w:rsidR="006C5156">
        <w:rPr>
          <w:lang w:bidi="ar-DZ"/>
        </w:rPr>
        <w:t xml:space="preserve"> 4</w:t>
      </w:r>
      <w:r w:rsidRPr="005B519E">
        <w:rPr>
          <w:lang w:bidi="ar-DZ"/>
        </w:rPr>
        <w:t>:</w:t>
      </w:r>
    </w:p>
    <w:p w14:paraId="712C6595" w14:textId="6C6B34C8" w:rsidR="005B519E" w:rsidRPr="000E613A" w:rsidRDefault="000E613A" w:rsidP="00F302BB">
      <w:pPr>
        <w:pStyle w:val="Lgende"/>
        <w:rPr>
          <w:sz w:val="24"/>
          <w:szCs w:val="24"/>
          <w:lang w:bidi="ar-DZ"/>
        </w:rPr>
      </w:pPr>
      <w:bookmarkStart w:id="191" w:name="_Toc168305020"/>
      <w:r w:rsidRPr="007E6869">
        <w:rPr>
          <w:b/>
          <w:bCs/>
          <w:i w:val="0"/>
          <w:iCs w:val="0"/>
          <w:color w:val="000000" w:themeColor="text1"/>
          <w:sz w:val="24"/>
          <w:szCs w:val="24"/>
        </w:rPr>
        <w:t xml:space="preserve">Tableau </w:t>
      </w:r>
      <w:r w:rsidRPr="007E6869">
        <w:rPr>
          <w:b/>
          <w:bCs/>
          <w:i w:val="0"/>
          <w:iCs w:val="0"/>
          <w:color w:val="000000" w:themeColor="text1"/>
          <w:sz w:val="24"/>
          <w:szCs w:val="24"/>
        </w:rPr>
        <w:fldChar w:fldCharType="begin"/>
      </w:r>
      <w:r w:rsidRPr="007E6869">
        <w:rPr>
          <w:b/>
          <w:bCs/>
          <w:i w:val="0"/>
          <w:iCs w:val="0"/>
          <w:color w:val="000000" w:themeColor="text1"/>
          <w:sz w:val="24"/>
          <w:szCs w:val="24"/>
        </w:rPr>
        <w:instrText xml:space="preserve"> SEQ Tableau \* ARABIC </w:instrText>
      </w:r>
      <w:r w:rsidRPr="007E6869">
        <w:rPr>
          <w:b/>
          <w:bCs/>
          <w:i w:val="0"/>
          <w:iCs w:val="0"/>
          <w:color w:val="000000" w:themeColor="text1"/>
          <w:sz w:val="24"/>
          <w:szCs w:val="24"/>
        </w:rPr>
        <w:fldChar w:fldCharType="separate"/>
      </w:r>
      <w:r w:rsidR="00B5205A">
        <w:rPr>
          <w:b/>
          <w:bCs/>
          <w:i w:val="0"/>
          <w:iCs w:val="0"/>
          <w:noProof/>
          <w:color w:val="000000" w:themeColor="text1"/>
          <w:sz w:val="24"/>
          <w:szCs w:val="24"/>
        </w:rPr>
        <w:t>4</w:t>
      </w:r>
      <w:r w:rsidRPr="007E6869">
        <w:rPr>
          <w:b/>
          <w:bCs/>
          <w:i w:val="0"/>
          <w:iCs w:val="0"/>
          <w:color w:val="000000" w:themeColor="text1"/>
          <w:sz w:val="24"/>
          <w:szCs w:val="24"/>
        </w:rPr>
        <w:fldChar w:fldCharType="end"/>
      </w:r>
      <w:r w:rsidR="00F302BB">
        <w:rPr>
          <w:b/>
          <w:bCs/>
          <w:i w:val="0"/>
          <w:iCs w:val="0"/>
          <w:color w:val="000000" w:themeColor="text1"/>
          <w:sz w:val="24"/>
          <w:szCs w:val="24"/>
        </w:rPr>
        <w:t>.</w:t>
      </w:r>
      <w:r w:rsidRPr="000E613A">
        <w:rPr>
          <w:color w:val="000000" w:themeColor="text1"/>
          <w:sz w:val="24"/>
          <w:szCs w:val="24"/>
        </w:rPr>
        <w:t xml:space="preserve"> </w:t>
      </w:r>
      <w:r w:rsidRPr="000E613A">
        <w:rPr>
          <w:i w:val="0"/>
          <w:iCs w:val="0"/>
          <w:color w:val="000000" w:themeColor="text1"/>
          <w:sz w:val="24"/>
          <w:szCs w:val="24"/>
        </w:rPr>
        <w:t>Résumé de l'effet de chaque adipokines su</w:t>
      </w:r>
      <w:r w:rsidR="00F302BB">
        <w:rPr>
          <w:i w:val="0"/>
          <w:iCs w:val="0"/>
          <w:color w:val="000000" w:themeColor="text1"/>
          <w:sz w:val="24"/>
          <w:szCs w:val="24"/>
        </w:rPr>
        <w:t>r</w:t>
      </w:r>
      <w:r w:rsidRPr="000E613A">
        <w:rPr>
          <w:i w:val="0"/>
          <w:iCs w:val="0"/>
          <w:color w:val="000000" w:themeColor="text1"/>
          <w:sz w:val="24"/>
          <w:szCs w:val="24"/>
        </w:rPr>
        <w:t xml:space="preserve">e le développement du syndrome métabolique (Kim </w:t>
      </w:r>
      <w:r w:rsidRPr="000E613A">
        <w:rPr>
          <w:color w:val="000000" w:themeColor="text1"/>
          <w:sz w:val="24"/>
          <w:szCs w:val="24"/>
        </w:rPr>
        <w:t>et al.,</w:t>
      </w:r>
      <w:r w:rsidRPr="000E613A">
        <w:rPr>
          <w:i w:val="0"/>
          <w:iCs w:val="0"/>
          <w:color w:val="000000" w:themeColor="text1"/>
          <w:sz w:val="24"/>
          <w:szCs w:val="24"/>
        </w:rPr>
        <w:t xml:space="preserve"> 2022).</w:t>
      </w:r>
      <w:bookmarkEnd w:id="191"/>
    </w:p>
    <w:tbl>
      <w:tblPr>
        <w:tblStyle w:val="Grilledutableau"/>
        <w:tblW w:w="0" w:type="auto"/>
        <w:tblLook w:val="04A0" w:firstRow="1" w:lastRow="0" w:firstColumn="1" w:lastColumn="0" w:noHBand="0" w:noVBand="1"/>
      </w:tblPr>
      <w:tblGrid>
        <w:gridCol w:w="3227"/>
        <w:gridCol w:w="5985"/>
      </w:tblGrid>
      <w:tr w:rsidR="005B519E" w:rsidRPr="005B519E" w14:paraId="69538919" w14:textId="77777777" w:rsidTr="00F302BB">
        <w:tc>
          <w:tcPr>
            <w:tcW w:w="3227" w:type="dxa"/>
          </w:tcPr>
          <w:p w14:paraId="3F3585E8" w14:textId="77777777" w:rsidR="005B519E" w:rsidRPr="00F302BB" w:rsidRDefault="005B519E" w:rsidP="005B519E">
            <w:pPr>
              <w:spacing w:before="0" w:after="200"/>
              <w:jc w:val="left"/>
              <w:rPr>
                <w:rFonts w:eastAsia="Calibri"/>
                <w:b/>
                <w:bCs/>
                <w:lang w:bidi="ar-DZ"/>
              </w:rPr>
            </w:pPr>
            <w:r w:rsidRPr="00F302BB">
              <w:rPr>
                <w:rFonts w:eastAsia="Calibri"/>
                <w:b/>
                <w:bCs/>
                <w:lang w:bidi="ar-DZ"/>
              </w:rPr>
              <w:t>Adipokines</w:t>
            </w:r>
          </w:p>
        </w:tc>
        <w:tc>
          <w:tcPr>
            <w:tcW w:w="5985" w:type="dxa"/>
          </w:tcPr>
          <w:p w14:paraId="035EDD11" w14:textId="2F351551" w:rsidR="005B519E" w:rsidRPr="00F302BB" w:rsidRDefault="005B519E" w:rsidP="005B519E">
            <w:pPr>
              <w:spacing w:before="0" w:after="200"/>
              <w:jc w:val="left"/>
              <w:rPr>
                <w:rFonts w:eastAsia="Calibri"/>
                <w:b/>
                <w:bCs/>
                <w:lang w:bidi="ar-DZ"/>
              </w:rPr>
            </w:pPr>
            <w:r w:rsidRPr="00F302BB">
              <w:rPr>
                <w:rFonts w:eastAsia="Calibri"/>
                <w:b/>
                <w:bCs/>
                <w:lang w:bidi="ar-DZ"/>
              </w:rPr>
              <w:t>Rôle da</w:t>
            </w:r>
            <w:r w:rsidR="00F302BB">
              <w:rPr>
                <w:rFonts w:eastAsia="Calibri"/>
                <w:b/>
                <w:bCs/>
                <w:lang w:bidi="ar-DZ"/>
              </w:rPr>
              <w:t xml:space="preserve">ns le développement du syndrome </w:t>
            </w:r>
            <w:r w:rsidRPr="00F302BB">
              <w:rPr>
                <w:rFonts w:eastAsia="Calibri"/>
                <w:b/>
                <w:bCs/>
                <w:lang w:bidi="ar-DZ"/>
              </w:rPr>
              <w:t>métabolique</w:t>
            </w:r>
          </w:p>
        </w:tc>
      </w:tr>
      <w:tr w:rsidR="005B519E" w:rsidRPr="005B519E" w14:paraId="4AFBCDAB" w14:textId="77777777" w:rsidTr="00F302BB">
        <w:tc>
          <w:tcPr>
            <w:tcW w:w="3227" w:type="dxa"/>
          </w:tcPr>
          <w:p w14:paraId="44BF7F90" w14:textId="77777777" w:rsidR="005B519E" w:rsidRPr="005B519E" w:rsidRDefault="005B519E" w:rsidP="005B519E">
            <w:pPr>
              <w:spacing w:before="0" w:after="200"/>
              <w:jc w:val="left"/>
              <w:rPr>
                <w:rFonts w:eastAsia="Calibri"/>
                <w:lang w:bidi="ar-DZ"/>
              </w:rPr>
            </w:pPr>
            <w:r w:rsidRPr="005B519E">
              <w:rPr>
                <w:rFonts w:eastAsia="Calibri"/>
                <w:lang w:bidi="ar-DZ"/>
              </w:rPr>
              <w:t>Leptine</w:t>
            </w:r>
          </w:p>
        </w:tc>
        <w:tc>
          <w:tcPr>
            <w:tcW w:w="5985" w:type="dxa"/>
          </w:tcPr>
          <w:p w14:paraId="018D9E58" w14:textId="77777777" w:rsidR="005B519E" w:rsidRPr="005B519E" w:rsidRDefault="005B519E" w:rsidP="00F302BB">
            <w:pPr>
              <w:spacing w:before="0" w:after="0"/>
              <w:rPr>
                <w:rFonts w:eastAsia="Calibri"/>
                <w:lang w:bidi="ar-DZ"/>
              </w:rPr>
            </w:pPr>
            <w:r w:rsidRPr="005B519E">
              <w:rPr>
                <w:rFonts w:eastAsia="Calibri"/>
                <w:lang w:bidi="ar-DZ"/>
              </w:rPr>
              <w:t>Augmentation ou diminution de l'adipogenèse en fonction du dosage</w:t>
            </w:r>
          </w:p>
          <w:p w14:paraId="31004014" w14:textId="77777777" w:rsidR="005B519E" w:rsidRPr="005B519E" w:rsidRDefault="005B519E" w:rsidP="00F302BB">
            <w:pPr>
              <w:spacing w:before="0" w:after="0"/>
              <w:rPr>
                <w:rFonts w:eastAsia="Calibri"/>
                <w:lang w:bidi="ar-DZ"/>
              </w:rPr>
            </w:pPr>
            <w:r w:rsidRPr="005B519E">
              <w:rPr>
                <w:rFonts w:eastAsia="Calibri"/>
                <w:lang w:bidi="ar-DZ"/>
              </w:rPr>
              <w:t>Inhibition de la sécrétion d'insuline, amélioration de la sensibilité à l'insuline</w:t>
            </w:r>
          </w:p>
          <w:p w14:paraId="71A71C40" w14:textId="77777777" w:rsidR="005B519E" w:rsidRPr="005B519E" w:rsidRDefault="005B519E" w:rsidP="00F302BB">
            <w:pPr>
              <w:spacing w:before="0" w:after="0"/>
              <w:rPr>
                <w:rFonts w:eastAsia="Calibri"/>
                <w:lang w:bidi="ar-DZ"/>
              </w:rPr>
            </w:pPr>
            <w:r w:rsidRPr="005B519E">
              <w:rPr>
                <w:rFonts w:eastAsia="Calibri"/>
                <w:lang w:bidi="ar-DZ"/>
              </w:rPr>
              <w:t>Augmentation de l'oxydation des acides gras, diminution du taux de triglycérides circulants</w:t>
            </w:r>
          </w:p>
          <w:p w14:paraId="32F3B88D" w14:textId="77777777" w:rsidR="005B519E" w:rsidRPr="005B519E" w:rsidRDefault="005B519E" w:rsidP="00F302BB">
            <w:pPr>
              <w:spacing w:before="0" w:after="200"/>
              <w:rPr>
                <w:rFonts w:eastAsia="Calibri"/>
                <w:lang w:bidi="ar-DZ"/>
              </w:rPr>
            </w:pPr>
            <w:r w:rsidRPr="005B519E">
              <w:rPr>
                <w:rFonts w:eastAsia="Calibri"/>
                <w:lang w:bidi="ar-DZ"/>
              </w:rPr>
              <w:t>Augmentation de la pression artérielle par activation sympathique</w:t>
            </w:r>
          </w:p>
        </w:tc>
      </w:tr>
      <w:tr w:rsidR="005B519E" w:rsidRPr="005B519E" w14:paraId="5F9B498D" w14:textId="77777777" w:rsidTr="00F302BB">
        <w:tc>
          <w:tcPr>
            <w:tcW w:w="3227" w:type="dxa"/>
          </w:tcPr>
          <w:p w14:paraId="390DE7CC" w14:textId="77777777" w:rsidR="005B519E" w:rsidRPr="005B519E" w:rsidRDefault="005B519E" w:rsidP="005B519E">
            <w:pPr>
              <w:spacing w:before="0" w:after="200"/>
              <w:jc w:val="left"/>
              <w:rPr>
                <w:rFonts w:eastAsia="Calibri"/>
                <w:lang w:bidi="ar-DZ"/>
              </w:rPr>
            </w:pPr>
            <w:r w:rsidRPr="005B519E">
              <w:rPr>
                <w:rFonts w:eastAsia="Calibri"/>
                <w:lang w:bidi="ar-DZ"/>
              </w:rPr>
              <w:t>Adiponectine</w:t>
            </w:r>
          </w:p>
        </w:tc>
        <w:tc>
          <w:tcPr>
            <w:tcW w:w="5985" w:type="dxa"/>
          </w:tcPr>
          <w:p w14:paraId="65824C4E" w14:textId="77777777" w:rsidR="005B519E" w:rsidRPr="005B519E" w:rsidRDefault="005B519E" w:rsidP="00F302BB">
            <w:pPr>
              <w:spacing w:before="0" w:after="0"/>
              <w:rPr>
                <w:rFonts w:eastAsia="Calibri"/>
                <w:lang w:bidi="ar-DZ"/>
              </w:rPr>
            </w:pPr>
            <w:r w:rsidRPr="005B519E">
              <w:rPr>
                <w:rFonts w:eastAsia="Calibri"/>
                <w:lang w:bidi="ar-DZ"/>
              </w:rPr>
              <w:t>Augmentation ou diminution de la différenciation des adipocytes</w:t>
            </w:r>
          </w:p>
          <w:p w14:paraId="52B64C50" w14:textId="77777777" w:rsidR="005B519E" w:rsidRPr="005B519E" w:rsidRDefault="005B519E" w:rsidP="00F302BB">
            <w:pPr>
              <w:spacing w:before="0" w:after="0"/>
              <w:rPr>
                <w:rFonts w:eastAsia="Calibri"/>
                <w:lang w:bidi="ar-DZ"/>
              </w:rPr>
            </w:pPr>
            <w:r w:rsidRPr="005B519E">
              <w:rPr>
                <w:rFonts w:eastAsia="Calibri"/>
                <w:lang w:bidi="ar-DZ"/>
              </w:rPr>
              <w:t>Amélioration de la sensibilité à l'insuline</w:t>
            </w:r>
          </w:p>
          <w:p w14:paraId="369A7C32" w14:textId="77777777" w:rsidR="005B519E" w:rsidRPr="005B519E" w:rsidRDefault="005B519E" w:rsidP="00F302BB">
            <w:pPr>
              <w:spacing w:before="0" w:after="200"/>
              <w:rPr>
                <w:rFonts w:eastAsia="Calibri"/>
                <w:lang w:bidi="ar-DZ"/>
              </w:rPr>
            </w:pPr>
            <w:r w:rsidRPr="005B519E">
              <w:rPr>
                <w:rFonts w:eastAsia="Calibri"/>
                <w:lang w:bidi="ar-DZ"/>
              </w:rPr>
              <w:t>Diminution de la formation de cellules spumeuses, inhibition de la prolifération des cellules musculaires lisses intimales</w:t>
            </w:r>
          </w:p>
        </w:tc>
      </w:tr>
      <w:tr w:rsidR="005B519E" w:rsidRPr="005B519E" w14:paraId="625403F4" w14:textId="77777777" w:rsidTr="00F302BB">
        <w:tc>
          <w:tcPr>
            <w:tcW w:w="3227" w:type="dxa"/>
          </w:tcPr>
          <w:p w14:paraId="636199AF" w14:textId="77777777" w:rsidR="005B519E" w:rsidRPr="005B519E" w:rsidRDefault="005B519E" w:rsidP="005B519E">
            <w:pPr>
              <w:spacing w:before="0" w:after="200"/>
              <w:jc w:val="left"/>
              <w:rPr>
                <w:rFonts w:eastAsia="Calibri"/>
                <w:lang w:bidi="ar-DZ"/>
              </w:rPr>
            </w:pPr>
            <w:r w:rsidRPr="005B519E">
              <w:rPr>
                <w:rFonts w:eastAsia="Calibri"/>
                <w:lang w:bidi="ar-DZ"/>
              </w:rPr>
              <w:t>Résistine</w:t>
            </w:r>
          </w:p>
        </w:tc>
        <w:tc>
          <w:tcPr>
            <w:tcW w:w="5985" w:type="dxa"/>
          </w:tcPr>
          <w:p w14:paraId="3251CB42" w14:textId="77777777" w:rsidR="005B519E" w:rsidRPr="005B519E" w:rsidRDefault="005B519E" w:rsidP="00F302BB">
            <w:pPr>
              <w:spacing w:before="0" w:after="0"/>
              <w:rPr>
                <w:rFonts w:eastAsia="Calibri"/>
                <w:lang w:bidi="ar-DZ"/>
              </w:rPr>
            </w:pPr>
            <w:r w:rsidRPr="005B519E">
              <w:rPr>
                <w:rFonts w:eastAsia="Calibri"/>
                <w:lang w:bidi="ar-DZ"/>
              </w:rPr>
              <w:t>Diminution de la sensibilité à l'insuline, augmentation de la gluconéogenèse hépatique</w:t>
            </w:r>
          </w:p>
          <w:p w14:paraId="06EF600C" w14:textId="77777777" w:rsidR="005B519E" w:rsidRPr="005B519E" w:rsidRDefault="005B519E" w:rsidP="00F302BB">
            <w:pPr>
              <w:spacing w:before="0" w:after="0"/>
              <w:rPr>
                <w:rFonts w:eastAsia="Calibri"/>
                <w:lang w:bidi="ar-DZ"/>
              </w:rPr>
            </w:pPr>
            <w:r w:rsidRPr="005B519E">
              <w:rPr>
                <w:rFonts w:eastAsia="Calibri"/>
                <w:lang w:bidi="ar-DZ"/>
              </w:rPr>
              <w:t>Augmentation de la lipolyse avec augmentation des acides gras libres et du glycérol dans le sérum</w:t>
            </w:r>
          </w:p>
          <w:p w14:paraId="28446143" w14:textId="77777777" w:rsidR="005B519E" w:rsidRPr="005B519E" w:rsidRDefault="005B519E" w:rsidP="00F302BB">
            <w:pPr>
              <w:spacing w:before="0" w:after="200"/>
              <w:rPr>
                <w:rFonts w:eastAsia="Calibri"/>
                <w:lang w:bidi="ar-DZ"/>
              </w:rPr>
            </w:pPr>
            <w:r w:rsidRPr="005B519E">
              <w:rPr>
                <w:rFonts w:eastAsia="Calibri"/>
                <w:lang w:bidi="ar-DZ"/>
              </w:rPr>
              <w:t xml:space="preserve">Augmentation de la formation de cellules spumeuses, promotion de l'apoptose des cellules musculaires lisses </w:t>
            </w:r>
            <w:r w:rsidRPr="005B519E">
              <w:rPr>
                <w:rFonts w:eastAsia="Calibri"/>
                <w:lang w:bidi="ar-DZ"/>
              </w:rPr>
              <w:lastRenderedPageBreak/>
              <w:t>vasculaires.</w:t>
            </w:r>
          </w:p>
        </w:tc>
      </w:tr>
      <w:tr w:rsidR="005B519E" w:rsidRPr="005B519E" w14:paraId="1D168728" w14:textId="77777777" w:rsidTr="00F302BB">
        <w:tc>
          <w:tcPr>
            <w:tcW w:w="3227" w:type="dxa"/>
          </w:tcPr>
          <w:p w14:paraId="4C28A5D2" w14:textId="0CCBBCAA" w:rsidR="005B519E" w:rsidRPr="005B519E" w:rsidRDefault="005B519E" w:rsidP="005B519E">
            <w:pPr>
              <w:spacing w:before="0" w:after="200"/>
              <w:jc w:val="left"/>
              <w:rPr>
                <w:rFonts w:eastAsia="Calibri"/>
                <w:lang w:bidi="ar-DZ"/>
              </w:rPr>
            </w:pPr>
            <w:r w:rsidRPr="005B519E">
              <w:rPr>
                <w:rFonts w:eastAsia="Calibri"/>
                <w:lang w:bidi="ar-DZ"/>
              </w:rPr>
              <w:lastRenderedPageBreak/>
              <w:t>Visfatin</w:t>
            </w:r>
            <w:r w:rsidR="00B30DDC">
              <w:rPr>
                <w:rFonts w:eastAsia="Calibri"/>
                <w:lang w:bidi="ar-DZ"/>
              </w:rPr>
              <w:t>e</w:t>
            </w:r>
          </w:p>
        </w:tc>
        <w:tc>
          <w:tcPr>
            <w:tcW w:w="5985" w:type="dxa"/>
          </w:tcPr>
          <w:p w14:paraId="4E6E3EA2" w14:textId="77777777" w:rsidR="005B519E" w:rsidRPr="005B519E" w:rsidRDefault="005B519E" w:rsidP="006C5156">
            <w:pPr>
              <w:spacing w:before="0" w:after="0"/>
              <w:jc w:val="left"/>
              <w:rPr>
                <w:rFonts w:eastAsia="Calibri"/>
                <w:lang w:bidi="ar-DZ"/>
              </w:rPr>
            </w:pPr>
            <w:r w:rsidRPr="005B519E">
              <w:rPr>
                <w:rFonts w:eastAsia="Calibri"/>
                <w:lang w:bidi="ar-DZ"/>
              </w:rPr>
              <w:t>Diminution de la sensibilité à l'insuline</w:t>
            </w:r>
          </w:p>
          <w:p w14:paraId="7665A26B" w14:textId="77777777" w:rsidR="005B519E" w:rsidRPr="005B519E" w:rsidRDefault="005B519E" w:rsidP="006C5156">
            <w:pPr>
              <w:spacing w:before="0" w:after="0"/>
              <w:jc w:val="left"/>
              <w:rPr>
                <w:rFonts w:eastAsia="Calibri"/>
                <w:lang w:bidi="ar-DZ"/>
              </w:rPr>
            </w:pPr>
            <w:r w:rsidRPr="005B519E">
              <w:rPr>
                <w:rFonts w:eastAsia="Calibri"/>
                <w:lang w:bidi="ar-DZ"/>
              </w:rPr>
              <w:t>Augmentation de l'accumulation de cholestérol dans les macrophages, induction d'un dysfonctionnement endothélial,</w:t>
            </w:r>
          </w:p>
          <w:p w14:paraId="3414CD58" w14:textId="77777777" w:rsidR="005B519E" w:rsidRPr="005B519E" w:rsidRDefault="005B519E" w:rsidP="006C5156">
            <w:pPr>
              <w:spacing w:before="0" w:after="200"/>
              <w:jc w:val="left"/>
              <w:rPr>
                <w:rFonts w:eastAsia="Calibri"/>
                <w:lang w:bidi="ar-DZ"/>
              </w:rPr>
            </w:pPr>
            <w:r w:rsidRPr="005B519E">
              <w:rPr>
                <w:rFonts w:eastAsia="Calibri"/>
                <w:lang w:bidi="ar-DZ"/>
              </w:rPr>
              <w:t>promotion de la prolifération des cellules musculaires lisses vasculaires.</w:t>
            </w:r>
          </w:p>
        </w:tc>
      </w:tr>
      <w:tr w:rsidR="005B519E" w:rsidRPr="005B519E" w14:paraId="32203B37" w14:textId="77777777" w:rsidTr="00F302BB">
        <w:tc>
          <w:tcPr>
            <w:tcW w:w="3227" w:type="dxa"/>
          </w:tcPr>
          <w:p w14:paraId="044BC960" w14:textId="77777777" w:rsidR="005B519E" w:rsidRPr="005B519E" w:rsidRDefault="005B519E" w:rsidP="005B519E">
            <w:pPr>
              <w:spacing w:before="0" w:after="200"/>
              <w:jc w:val="left"/>
              <w:rPr>
                <w:rFonts w:eastAsia="Calibri"/>
                <w:lang w:bidi="ar-DZ"/>
              </w:rPr>
            </w:pPr>
            <w:r w:rsidRPr="005B519E">
              <w:rPr>
                <w:rFonts w:eastAsia="Calibri"/>
                <w:lang w:bidi="ar-DZ"/>
              </w:rPr>
              <w:t>Omentine-1</w:t>
            </w:r>
          </w:p>
        </w:tc>
        <w:tc>
          <w:tcPr>
            <w:tcW w:w="5985" w:type="dxa"/>
          </w:tcPr>
          <w:p w14:paraId="6A79120F" w14:textId="77777777" w:rsidR="005B519E" w:rsidRPr="005B519E" w:rsidRDefault="005B519E" w:rsidP="00F302BB">
            <w:pPr>
              <w:spacing w:before="0" w:after="0"/>
              <w:rPr>
                <w:rFonts w:eastAsia="Calibri"/>
                <w:lang w:bidi="ar-DZ"/>
              </w:rPr>
            </w:pPr>
            <w:r w:rsidRPr="005B519E">
              <w:rPr>
                <w:rFonts w:eastAsia="Calibri"/>
                <w:lang w:bidi="ar-DZ"/>
              </w:rPr>
              <w:t>Amélioration de la sensibilité à l'insuline</w:t>
            </w:r>
          </w:p>
          <w:p w14:paraId="41B6AD67" w14:textId="77777777" w:rsidR="005B519E" w:rsidRPr="005B519E" w:rsidRDefault="005B519E" w:rsidP="00F302BB">
            <w:pPr>
              <w:spacing w:before="0" w:after="0"/>
              <w:rPr>
                <w:rFonts w:eastAsia="Calibri"/>
                <w:lang w:bidi="ar-DZ"/>
              </w:rPr>
            </w:pPr>
            <w:r w:rsidRPr="005B519E">
              <w:rPr>
                <w:rFonts w:eastAsia="Calibri"/>
                <w:lang w:bidi="ar-DZ"/>
              </w:rPr>
              <w:t>Amélioration du métabolisme énergétique</w:t>
            </w:r>
          </w:p>
          <w:p w14:paraId="18272E19" w14:textId="77777777" w:rsidR="005B519E" w:rsidRPr="005B519E" w:rsidRDefault="005B519E" w:rsidP="00F302BB">
            <w:pPr>
              <w:spacing w:before="0" w:after="200"/>
              <w:rPr>
                <w:rFonts w:eastAsia="Calibri"/>
                <w:lang w:bidi="ar-DZ"/>
              </w:rPr>
            </w:pPr>
            <w:r w:rsidRPr="005B519E">
              <w:rPr>
                <w:rFonts w:eastAsia="Calibri"/>
                <w:lang w:bidi="ar-DZ"/>
              </w:rPr>
              <w:t>Diminution de la formation de cellules spumeuses, de la taille de la plaque d'athérome et de l'infiltration de macrophages</w:t>
            </w:r>
          </w:p>
        </w:tc>
      </w:tr>
    </w:tbl>
    <w:p w14:paraId="62B7963C" w14:textId="1D646677" w:rsidR="005B519E" w:rsidRPr="007E6869" w:rsidRDefault="000E613A" w:rsidP="000E613A">
      <w:pPr>
        <w:pStyle w:val="Titre3"/>
        <w:rPr>
          <w:b/>
          <w:bCs/>
          <w:lang w:bidi="ar-DZ"/>
        </w:rPr>
      </w:pPr>
      <w:bookmarkStart w:id="192" w:name="_Toc167472792"/>
      <w:bookmarkStart w:id="193" w:name="_Toc168302262"/>
      <w:bookmarkStart w:id="194" w:name="_Toc170226702"/>
      <w:r w:rsidRPr="007E6869">
        <w:rPr>
          <w:b/>
          <w:bCs/>
          <w:lang w:bidi="ar-DZ"/>
        </w:rPr>
        <w:t>Les adipokines favorisent l’insuffisance rénale chronique</w:t>
      </w:r>
      <w:bookmarkEnd w:id="192"/>
      <w:bookmarkEnd w:id="193"/>
      <w:bookmarkEnd w:id="194"/>
    </w:p>
    <w:p w14:paraId="33DDE813" w14:textId="77777777" w:rsidR="000E613A" w:rsidRDefault="000E613A" w:rsidP="00B30DDC">
      <w:pPr>
        <w:rPr>
          <w:lang w:bidi="ar-DZ"/>
        </w:rPr>
      </w:pPr>
      <w:r>
        <w:rPr>
          <w:lang w:bidi="ar-DZ"/>
        </w:rPr>
        <w:t>Semblable au TNF-alpha, l’IL-6 est une adipokine pro-inflammatoire qui est en corrélation avec le poids corporel et la résistance à l’insuline. Dans une étude transversale sur des sujets caucasiens, des taux systémiques d’IL-6 plus élevés et une CRP très sensible étaient corrélés à la microalbuminurie mais pas à la fonction rénale dans l’analyse de régression linéaire indiquant le lien entre l’inflammation et la microalbuminurie. Dans une vaste étude portant sur des patients américains avec un suivi de 15 ans, le récepteur 2 du TNF-alpha, le nombre de globules blancs et les taux d’IL-6 étaient positivement associés à l’IRC incidente. Ainsi, les élévations de la plupart des marqueurs de l’inflammation prédisent le risque de développer une IRC. Le blocage du récepteur de l’IL-6 empêche la progression de la protéinurie et du dépôt lipidique rénal ainsi que la prolifération des cellules mésangiales associée à une hyperlipoprotéinémie sévère (Rüster et Wolf, 2013).</w:t>
      </w:r>
    </w:p>
    <w:p w14:paraId="67B574BF" w14:textId="77777777" w:rsidR="000E613A" w:rsidRDefault="000E613A" w:rsidP="00B30DDC">
      <w:pPr>
        <w:rPr>
          <w:lang w:bidi="ar-DZ"/>
        </w:rPr>
      </w:pPr>
      <w:r>
        <w:rPr>
          <w:lang w:bidi="ar-DZ"/>
        </w:rPr>
        <w:t xml:space="preserve">La résistine contribue à la résistance à l’insuline et au risque cardiovasculaire et athérosclérotique. Chez les sujets hypertendus essentiels, des niveaux plus élevés de résistine sont associés à une diminution du taux de filtration glomérulaire. De plus, l’association indépendante du taux de filtration glomérulaire de la résistine suggère une implication de la résistine dans la progression des lésions rénales dans les premiers stades de l’hypertension. La résistine plasmatique est également positivement corrélée avec le nombre de leucocytes, la CRP hautement sensible et l’ET-1. La résistine est capable d’induire l’expression des molécules d’adhésion VCAM-1 et ICAM-1, un effet qui est inhibé par l’adiponectine. Chez les patients </w:t>
      </w:r>
      <w:r>
        <w:rPr>
          <w:lang w:bidi="ar-DZ"/>
        </w:rPr>
        <w:lastRenderedPageBreak/>
        <w:t>atteints d’IRC, les taux de résistine sont nettement élevés et significativement corrélés avec des marqueurs inflammatoires tels que la CRP hautement sensible, l’IL-6 VCAM-1 et l’ICAM-1. Des niveaux élevés de résistine dans l’IRC sont associés à une diminution du taux de filtration glomérulaire et à une inflammation. Les taux plasmatiques de résistine sont élevés dans les modèles animaux d’obésité génétiques et induits par l’alimentation. Tant chez les patients atteints d’IRC que chez les patients transplantés rénaux, la résistine est corrélée à l’inflammation par l’augmentation systémique de l’IL-6, du TNF-α, de la CRP hautement sensible, du VCAM-1 et de l’ICAM. La résistine régule fortement à la hausse l’IL-6 et le TNF-alpha dans les cellules mononuclées du sang périphérique humain via la voie NFκB contribuent à des lésions rénales à un stade ultérieur de l’insuffisance rénale dans l’obésité (Rüster et Wolf, 2013).</w:t>
      </w:r>
    </w:p>
    <w:p w14:paraId="7DAF2E1F" w14:textId="16CA4B99" w:rsidR="000E613A" w:rsidRDefault="000E613A" w:rsidP="00B30DDC">
      <w:pPr>
        <w:rPr>
          <w:lang w:bidi="ar-DZ"/>
        </w:rPr>
      </w:pPr>
      <w:r>
        <w:rPr>
          <w:lang w:bidi="ar-DZ"/>
        </w:rPr>
        <w:t xml:space="preserve">La visfatine est principalement, mais pas exclusivement, sécrétée par les adipocytes et est fortement enrichie en TVA, mais elle est également produite par les macrophages, les cellules dendritiques et les cellules épithéliales du côlon. Il est impliqué intracellulairement dans la biosynthèse du nicotinamide adénine dinucléotide (NAD+) et influence ainsi le métabolisme énergétique cellulaire et les enzymes dépendantes du NAD+ ; Extracellulairement, il induit à la fois des cytokines pro-inflammatoires et anti-inflammatoires (Tanaka </w:t>
      </w:r>
      <w:r w:rsidRPr="00E20913">
        <w:rPr>
          <w:i/>
          <w:iCs/>
          <w:lang w:bidi="ar-DZ"/>
        </w:rPr>
        <w:t>et al.,</w:t>
      </w:r>
      <w:r>
        <w:rPr>
          <w:lang w:bidi="ar-DZ"/>
        </w:rPr>
        <w:t xml:space="preserve"> 2010). Les taux circulants de visfatine sont significativement augmentés chez les patients atteints d’IRC et sont corrélés à la fonction rénale et sont associés indépendamment au niveau de molécule d’adhésion cellulaire vasculaire soluble-1 (sVCAM-1), un marqueur des lésions endothéliales. Les taux plasmatiques de visfatine sont élevés chez les patients et les animaux atteints de néphropathie diabétique de type 2. In vitro, la visfatine est synthétisée dans les cellules mésangiales glomérulaires rénales et régulée à la hausse par une stimulation à haute teneur en glucose (Moschen </w:t>
      </w:r>
      <w:r w:rsidRPr="006C5156">
        <w:rPr>
          <w:i/>
          <w:iCs/>
          <w:lang w:bidi="ar-DZ"/>
        </w:rPr>
        <w:t>et al.,</w:t>
      </w:r>
      <w:r>
        <w:rPr>
          <w:lang w:bidi="ar-DZ"/>
        </w:rPr>
        <w:t xml:space="preserve"> 2007). De plus, la stimulation exogène de la visfatine dans les cellules rénales a régulé à la hausse la synthèse de molécules profibrotiques, notamment le TGF-bêta1, le PAI-1 et le collagène de type I. Ainsi, la pertinence physiopathologique de la visfatine semble être en tant qu’adipokine pro-inflammatoire dans le diabète de type 2 et le syndrome métabolique.</w:t>
      </w:r>
    </w:p>
    <w:p w14:paraId="0E15E197" w14:textId="77777777" w:rsidR="000E613A" w:rsidRPr="00645DA6" w:rsidRDefault="000E613A" w:rsidP="00645DA6">
      <w:pPr>
        <w:pStyle w:val="Titre3"/>
        <w:rPr>
          <w:b/>
          <w:bCs/>
          <w:lang w:bidi="ar-DZ"/>
        </w:rPr>
      </w:pPr>
      <w:bookmarkStart w:id="195" w:name="_Toc168302263"/>
      <w:bookmarkStart w:id="196" w:name="_Toc170226703"/>
      <w:r w:rsidRPr="00645DA6">
        <w:rPr>
          <w:b/>
          <w:bCs/>
          <w:lang w:bidi="ar-DZ"/>
        </w:rPr>
        <w:t>L'adiponectine dans les myopathies</w:t>
      </w:r>
      <w:bookmarkEnd w:id="195"/>
      <w:bookmarkEnd w:id="196"/>
    </w:p>
    <w:p w14:paraId="787C0710" w14:textId="77777777" w:rsidR="000E613A" w:rsidRDefault="000E613A" w:rsidP="00B813C0">
      <w:pPr>
        <w:rPr>
          <w:lang w:bidi="ar-DZ"/>
        </w:rPr>
      </w:pPr>
      <w:r w:rsidRPr="000E613A">
        <w:rPr>
          <w:lang w:bidi="ar-DZ"/>
        </w:rPr>
        <w:t xml:space="preserve">Bien que le rôle clé de l'adiponectine dans les muscles squelettiques sains ait été bien établi, l'étude de l'hormone dans les myopathies ne fait que commencer. Les myopathies désignent les troubles neuromusculaires des muscles squelettiques caractérisés par une dégénérescence et une faiblesse musculaires. Les myopathies peuvent être classées en deux catégories principales : les myopathies héréditaires et les myopathies non héréditaires/acquises. Les myopathies héréditaires comprennent les dystrophies musculaires, les myopathies congénitales, les myopathies </w:t>
      </w:r>
      <w:r w:rsidRPr="000E613A">
        <w:rPr>
          <w:lang w:bidi="ar-DZ"/>
        </w:rPr>
        <w:lastRenderedPageBreak/>
        <w:t xml:space="preserve">mitochondriales et les myopathies métaboliques. Les myopathies non héritées/acquises comprennent les myopathies inflammatoires, les myopathies toxiques et les myopathies associées à des maladies systémiques (Gamberi </w:t>
      </w:r>
      <w:r w:rsidRPr="000E613A">
        <w:rPr>
          <w:i/>
          <w:iCs/>
          <w:lang w:bidi="ar-DZ"/>
        </w:rPr>
        <w:t>et al.,</w:t>
      </w:r>
      <w:r w:rsidRPr="000E613A">
        <w:rPr>
          <w:lang w:bidi="ar-DZ"/>
        </w:rPr>
        <w:t xml:space="preserve"> 2019).</w:t>
      </w:r>
    </w:p>
    <w:p w14:paraId="23B4CBC2" w14:textId="57ADD447" w:rsidR="000E613A" w:rsidRPr="007E6869" w:rsidRDefault="000E613A" w:rsidP="000E613A">
      <w:pPr>
        <w:pStyle w:val="Titre3"/>
        <w:rPr>
          <w:b/>
          <w:bCs/>
          <w:lang w:bidi="ar-DZ"/>
        </w:rPr>
      </w:pPr>
      <w:bookmarkStart w:id="197" w:name="_Toc167472793"/>
      <w:bookmarkStart w:id="198" w:name="_Toc168302264"/>
      <w:bookmarkStart w:id="199" w:name="_Toc170226704"/>
      <w:r w:rsidRPr="007E6869">
        <w:rPr>
          <w:b/>
          <w:bCs/>
          <w:lang w:bidi="ar-DZ"/>
        </w:rPr>
        <w:t>Les adipokines dans le système nerveux central</w:t>
      </w:r>
      <w:bookmarkEnd w:id="197"/>
      <w:bookmarkEnd w:id="198"/>
      <w:bookmarkEnd w:id="199"/>
    </w:p>
    <w:p w14:paraId="3B6F3B19" w14:textId="70E79F79" w:rsidR="000E613A" w:rsidRDefault="000E613A" w:rsidP="00B813C0">
      <w:pPr>
        <w:rPr>
          <w:lang w:bidi="ar-DZ"/>
        </w:rPr>
      </w:pPr>
      <w:r>
        <w:rPr>
          <w:lang w:bidi="ar-DZ"/>
        </w:rPr>
        <w:t xml:space="preserve">Malgré l'expression minimale de la </w:t>
      </w:r>
      <w:r w:rsidR="00B813C0">
        <w:rPr>
          <w:lang w:bidi="ar-DZ"/>
        </w:rPr>
        <w:t>chémerine</w:t>
      </w:r>
      <w:r>
        <w:rPr>
          <w:lang w:bidi="ar-DZ"/>
        </w:rPr>
        <w:t xml:space="preserve"> dans les tissus cérébraux</w:t>
      </w:r>
      <w:r w:rsidR="00F302BB">
        <w:rPr>
          <w:lang w:bidi="ar-DZ"/>
        </w:rPr>
        <w:t xml:space="preserve"> sains du SNC, elle a</w:t>
      </w:r>
      <w:r>
        <w:rPr>
          <w:lang w:bidi="ar-DZ"/>
        </w:rPr>
        <w:t xml:space="preserve"> associée à l'infiltration du SNC par les leucocytes ChemR23+, ce qui contribue au développement de maladies démyélinisantes auto-immunes telles que la sclérose en plaques (SEP). Chez les patients atteints de SEP, l'augmentation de l'expression de la </w:t>
      </w:r>
      <w:r w:rsidR="00B813C0">
        <w:rPr>
          <w:lang w:bidi="ar-DZ"/>
        </w:rPr>
        <w:t>chémerine</w:t>
      </w:r>
      <w:r>
        <w:rPr>
          <w:lang w:bidi="ar-DZ"/>
        </w:rPr>
        <w:t xml:space="preserve"> est liée à l'entrée des leucocytes dans le SNC et au récepteur ChemR23, qui est responsable du recrutement de ces leucocytes dans le SNC. En outre, l'accumulation de </w:t>
      </w:r>
      <w:r w:rsidR="00B813C0">
        <w:rPr>
          <w:lang w:bidi="ar-DZ"/>
        </w:rPr>
        <w:t>chémerine</w:t>
      </w:r>
      <w:r>
        <w:rPr>
          <w:lang w:bidi="ar-DZ"/>
        </w:rPr>
        <w:t xml:space="preserve"> dans le tissu cérébral fœtal des mères atteintes de diabète gestationnel peut être associée à l'activation de la pyroptose, qui libère des cytokines inflammatoires, réduit le nombre de neurones et altère les fonctions cognitives (Huber </w:t>
      </w:r>
      <w:r w:rsidRPr="000E613A">
        <w:rPr>
          <w:i/>
          <w:iCs/>
          <w:lang w:bidi="ar-DZ"/>
        </w:rPr>
        <w:t>et al.,</w:t>
      </w:r>
      <w:r>
        <w:rPr>
          <w:lang w:bidi="ar-DZ"/>
        </w:rPr>
        <w:t xml:space="preserve"> 2023).</w:t>
      </w:r>
    </w:p>
    <w:p w14:paraId="51041446" w14:textId="40818D8E" w:rsidR="000E613A" w:rsidRPr="00645DA6" w:rsidRDefault="00FF387B" w:rsidP="00645DA6">
      <w:pPr>
        <w:pStyle w:val="Titre3"/>
        <w:rPr>
          <w:b/>
          <w:bCs/>
          <w:lang w:bidi="ar-DZ"/>
        </w:rPr>
      </w:pPr>
      <w:bookmarkStart w:id="200" w:name="_Toc168302265"/>
      <w:bookmarkStart w:id="201" w:name="_Toc170226705"/>
      <w:r w:rsidRPr="00645DA6">
        <w:rPr>
          <w:b/>
          <w:bCs/>
          <w:lang w:bidi="ar-DZ"/>
        </w:rPr>
        <w:t>Troubles psychiatriques</w:t>
      </w:r>
      <w:bookmarkEnd w:id="200"/>
      <w:bookmarkEnd w:id="201"/>
    </w:p>
    <w:p w14:paraId="0B59FBA3" w14:textId="00DDD8A7" w:rsidR="00001940" w:rsidRPr="007E6869" w:rsidRDefault="00FF387B" w:rsidP="00F302BB">
      <w:pPr>
        <w:rPr>
          <w:lang w:bidi="ar-DZ"/>
        </w:rPr>
      </w:pPr>
      <w:r>
        <w:rPr>
          <w:lang w:bidi="ar-DZ"/>
        </w:rPr>
        <w:t xml:space="preserve">L'adiponectine a été associée aux troubles psychiatriques, tels que l'anxiété et la dépression. Des études ont montré que les patients souffrant de ces troubles présentaient un taux d'adiponectine inférieur à celui des patients qui n'en souffraient pas. Cela pourrait être dû à la capacité de la protéine à supprimer les cytokines pro-inflammatoires, telles que le TNF-a, qui interagit avec  hypothalamo-hypophyso-surrénalien (HPA) et influe sur les hormones thyroïdiennes. Il est intéressant de noter que la signalisation de l'adiponectine par l'intermédiaire de l'AdipoR2 peut contribuer au traitement de troubles tels que le syndrome de stress post-traumatique (SSPT) en raison de sa capacité à favoriser l'extinction de la mémoire de la peur </w:t>
      </w:r>
      <w:r w:rsidR="00391503">
        <w:rPr>
          <w:lang w:bidi="ar-DZ"/>
        </w:rPr>
        <w:t xml:space="preserve">(Huber </w:t>
      </w:r>
      <w:r w:rsidR="00391503">
        <w:rPr>
          <w:i/>
          <w:iCs/>
          <w:lang w:bidi="ar-DZ"/>
        </w:rPr>
        <w:t xml:space="preserve">et </w:t>
      </w:r>
      <w:r w:rsidR="00391503" w:rsidRPr="00FF387B">
        <w:rPr>
          <w:i/>
          <w:iCs/>
          <w:lang w:bidi="ar-DZ"/>
        </w:rPr>
        <w:t>al.,</w:t>
      </w:r>
      <w:r w:rsidR="00391503">
        <w:rPr>
          <w:lang w:bidi="ar-DZ"/>
        </w:rPr>
        <w:t xml:space="preserve"> 20</w:t>
      </w:r>
      <w:r w:rsidR="00001940">
        <w:rPr>
          <w:lang w:bidi="ar-DZ"/>
        </w:rPr>
        <w:t>23).</w:t>
      </w:r>
    </w:p>
    <w:p w14:paraId="17D78549" w14:textId="4220FF09" w:rsidR="00001940" w:rsidRDefault="00001940" w:rsidP="00001940">
      <w:pPr>
        <w:rPr>
          <w:rFonts w:asciiTheme="majorBidi" w:hAnsiTheme="majorBidi" w:cstheme="majorBidi"/>
          <w:sz w:val="72"/>
          <w:szCs w:val="72"/>
        </w:rPr>
      </w:pPr>
    </w:p>
    <w:p w14:paraId="75EE358B" w14:textId="77777777" w:rsidR="00001940" w:rsidRDefault="00001940" w:rsidP="00001940">
      <w:pPr>
        <w:jc w:val="center"/>
        <w:rPr>
          <w:rFonts w:asciiTheme="majorBidi" w:hAnsiTheme="majorBidi" w:cstheme="majorBidi"/>
          <w:b/>
          <w:bCs/>
          <w:sz w:val="72"/>
          <w:szCs w:val="72"/>
        </w:rPr>
      </w:pPr>
    </w:p>
    <w:p w14:paraId="5F7ECE91" w14:textId="77777777" w:rsidR="009F4854" w:rsidRDefault="009F4854" w:rsidP="00001940">
      <w:pPr>
        <w:jc w:val="center"/>
        <w:rPr>
          <w:rFonts w:asciiTheme="majorBidi" w:hAnsiTheme="majorBidi" w:cstheme="majorBidi"/>
          <w:b/>
          <w:bCs/>
          <w:sz w:val="72"/>
          <w:szCs w:val="72"/>
        </w:rPr>
        <w:sectPr w:rsidR="009F4854" w:rsidSect="009F4854">
          <w:headerReference w:type="default" r:id="rId42"/>
          <w:footerReference w:type="default" r:id="rId43"/>
          <w:pgSz w:w="11906" w:h="16838" w:code="9"/>
          <w:pgMar w:top="1134" w:right="1134" w:bottom="1134" w:left="1418" w:header="567" w:footer="567" w:gutter="0"/>
          <w:pgNumType w:start="22"/>
          <w:cols w:space="720"/>
          <w:docGrid w:linePitch="360"/>
        </w:sectPr>
      </w:pPr>
    </w:p>
    <w:p w14:paraId="1F889D58" w14:textId="6C7F020E" w:rsidR="00001940" w:rsidRDefault="00001940" w:rsidP="00001940">
      <w:pPr>
        <w:jc w:val="center"/>
        <w:rPr>
          <w:rFonts w:asciiTheme="majorBidi" w:hAnsiTheme="majorBidi" w:cstheme="majorBidi"/>
          <w:b/>
          <w:bCs/>
          <w:sz w:val="72"/>
          <w:szCs w:val="72"/>
        </w:rPr>
      </w:pPr>
    </w:p>
    <w:p w14:paraId="2397537A" w14:textId="77777777" w:rsidR="00AB7188" w:rsidRDefault="00AB7188" w:rsidP="00001940">
      <w:pPr>
        <w:jc w:val="center"/>
        <w:rPr>
          <w:rFonts w:asciiTheme="majorBidi" w:hAnsiTheme="majorBidi" w:cstheme="majorBidi"/>
          <w:b/>
          <w:bCs/>
          <w:sz w:val="72"/>
          <w:szCs w:val="72"/>
        </w:rPr>
      </w:pPr>
    </w:p>
    <w:p w14:paraId="2B02B174" w14:textId="77777777" w:rsidR="00AB7188" w:rsidRDefault="00AB7188" w:rsidP="00001940">
      <w:pPr>
        <w:jc w:val="center"/>
        <w:rPr>
          <w:rFonts w:asciiTheme="majorBidi" w:hAnsiTheme="majorBidi" w:cstheme="majorBidi"/>
          <w:b/>
          <w:bCs/>
          <w:sz w:val="72"/>
          <w:szCs w:val="72"/>
        </w:rPr>
      </w:pPr>
    </w:p>
    <w:p w14:paraId="5708FD87" w14:textId="77777777" w:rsidR="00001940" w:rsidRDefault="00001940" w:rsidP="00001940">
      <w:pPr>
        <w:jc w:val="center"/>
        <w:rPr>
          <w:rFonts w:asciiTheme="majorBidi" w:hAnsiTheme="majorBidi" w:cstheme="majorBidi"/>
          <w:b/>
          <w:bCs/>
          <w:sz w:val="72"/>
          <w:szCs w:val="72"/>
        </w:rPr>
      </w:pPr>
    </w:p>
    <w:p w14:paraId="0EF3059A" w14:textId="77777777" w:rsidR="00001940" w:rsidRDefault="00001940" w:rsidP="00001940">
      <w:pPr>
        <w:jc w:val="center"/>
        <w:rPr>
          <w:rFonts w:asciiTheme="majorBidi" w:hAnsiTheme="majorBidi" w:cstheme="majorBidi"/>
          <w:b/>
          <w:bCs/>
          <w:sz w:val="72"/>
          <w:szCs w:val="72"/>
        </w:rPr>
      </w:pPr>
    </w:p>
    <w:p w14:paraId="5FA5319A" w14:textId="77777777" w:rsidR="00001940" w:rsidRDefault="00001940" w:rsidP="00001940">
      <w:pPr>
        <w:jc w:val="center"/>
        <w:rPr>
          <w:rFonts w:asciiTheme="majorBidi" w:hAnsiTheme="majorBidi" w:cstheme="majorBidi"/>
          <w:b/>
          <w:bCs/>
          <w:sz w:val="72"/>
          <w:szCs w:val="72"/>
        </w:rPr>
      </w:pPr>
      <w:r w:rsidRPr="009F6C9A">
        <w:rPr>
          <w:rFonts w:asciiTheme="majorBidi" w:hAnsiTheme="majorBidi" w:cstheme="majorBidi"/>
          <w:b/>
          <w:bCs/>
          <w:sz w:val="72"/>
          <w:szCs w:val="72"/>
        </w:rPr>
        <w:t>Conclusion</w:t>
      </w:r>
    </w:p>
    <w:p w14:paraId="57213B9E" w14:textId="77777777" w:rsidR="009F6C9A" w:rsidRDefault="009F6C9A" w:rsidP="00001940">
      <w:pPr>
        <w:rPr>
          <w:rFonts w:asciiTheme="majorBidi" w:hAnsiTheme="majorBidi" w:cstheme="majorBidi"/>
          <w:b/>
          <w:bCs/>
          <w:sz w:val="72"/>
          <w:szCs w:val="72"/>
        </w:rPr>
      </w:pPr>
    </w:p>
    <w:p w14:paraId="5F6CD0D0" w14:textId="77777777" w:rsidR="00001940" w:rsidRDefault="00001940" w:rsidP="00001940">
      <w:pPr>
        <w:rPr>
          <w:rFonts w:asciiTheme="majorBidi" w:hAnsiTheme="majorBidi" w:cstheme="majorBidi"/>
          <w:b/>
          <w:bCs/>
          <w:sz w:val="72"/>
          <w:szCs w:val="72"/>
        </w:rPr>
      </w:pPr>
    </w:p>
    <w:p w14:paraId="6C939CAB" w14:textId="77777777" w:rsidR="00001940" w:rsidRDefault="00001940" w:rsidP="00001940">
      <w:pPr>
        <w:rPr>
          <w:rFonts w:asciiTheme="majorBidi" w:hAnsiTheme="majorBidi" w:cstheme="majorBidi"/>
          <w:b/>
          <w:bCs/>
          <w:sz w:val="72"/>
          <w:szCs w:val="72"/>
        </w:rPr>
        <w:sectPr w:rsidR="00001940" w:rsidSect="003D0FEA">
          <w:headerReference w:type="default" r:id="rId44"/>
          <w:footerReference w:type="default" r:id="rId45"/>
          <w:pgSz w:w="11906" w:h="16838" w:code="9"/>
          <w:pgMar w:top="1134" w:right="1134" w:bottom="1134" w:left="1418" w:header="567" w:footer="567" w:gutter="0"/>
          <w:pgNumType w:start="44"/>
          <w:cols w:space="720"/>
          <w:docGrid w:linePitch="360"/>
        </w:sectPr>
      </w:pPr>
    </w:p>
    <w:p w14:paraId="66C2B832" w14:textId="577FF7E7" w:rsidR="009F6C9A" w:rsidRDefault="009F6C9A" w:rsidP="009F6C9A">
      <w:pPr>
        <w:pStyle w:val="Titre1"/>
        <w:numPr>
          <w:ilvl w:val="0"/>
          <w:numId w:val="0"/>
        </w:numPr>
      </w:pPr>
      <w:bookmarkStart w:id="202" w:name="_Toc157139426"/>
      <w:bookmarkStart w:id="203" w:name="_Toc157377876"/>
      <w:bookmarkStart w:id="204" w:name="_Toc167472794"/>
      <w:bookmarkStart w:id="205" w:name="_Toc168302266"/>
      <w:bookmarkStart w:id="206" w:name="_Toc170226706"/>
      <w:r>
        <w:lastRenderedPageBreak/>
        <w:t>Conclusion</w:t>
      </w:r>
      <w:bookmarkEnd w:id="202"/>
      <w:bookmarkEnd w:id="203"/>
      <w:bookmarkEnd w:id="204"/>
      <w:bookmarkEnd w:id="205"/>
      <w:bookmarkEnd w:id="206"/>
    </w:p>
    <w:p w14:paraId="47FE519D" w14:textId="77777777" w:rsidR="00EA3084" w:rsidRPr="00EA3084" w:rsidRDefault="00EA3084" w:rsidP="00694E5A">
      <w:r w:rsidRPr="00EA3084">
        <w:t>La première notion importante est que le tissu adipeux ne doit pas être considéré comme un simple dépôt d'énergie, car il sécrète un grand nombre d'adipokines et plusieurs d'entre elles jouent un rôle important dans la physiopathologie des maladies commentées dans cet article. En fait, il est possible qu'à l'avenir, la connaissance des niveaux de sécrétion de certaines adipokines ou même de l'expression de certaines d'entre elles, soit utile pour prédire le risque de certaines maladies. Plus spectaculaire est l'impact thérapeutique potentiel, étant donné la possibilité d'interférer avec le processus de sécrétion, ou d'agir sur les adipokines elles-mêmes ou sur les voies de signalisation dans lesquelles elles sont impliquées. Cela pourrait conduire à des types de traitement complètement nouveaux pour des maladies comme l'asthme, le psoriasis, l'arthrose, l'insuffisance rénale chronique, la dysfonction érectile ou le cancer du sein, pour lesquelles les thérapies actuelles sont souvent insatisfaisantes. Enfin, l'étude de l'implication des adipokines peut ajouter des pièces importantes au puzzle des pathogénies d'un certain nombre de maladies et peut, dans certains cas, dévoiler des relations inattendues entre les maladies. Cela pourrait contribuer à changer le paradigme actuel de la classification des maladies basée sur l'organe affecté et sur les symptômes, en une classification basée sur les mécanismes sous-jacents des maladies. Cela pourrait favoriser le développement de nouvelles stratégies rationnelles et ciblées pour la prévention et le traitement de nombreuses maladies. Tout cela fait du rôle des adipokines dans la physiopathologie des maladies un domaine d'intérêt majeur.</w:t>
      </w:r>
    </w:p>
    <w:p w14:paraId="41E9201D" w14:textId="77777777" w:rsidR="009F6C9A" w:rsidRDefault="009F6C9A" w:rsidP="009F6C9A"/>
    <w:p w14:paraId="299ADD98" w14:textId="77777777" w:rsidR="00EA3084" w:rsidRDefault="00EA3084" w:rsidP="009F6C9A">
      <w:pPr>
        <w:sectPr w:rsidR="00EA3084" w:rsidSect="003D0FEA">
          <w:headerReference w:type="default" r:id="rId46"/>
          <w:footerReference w:type="default" r:id="rId47"/>
          <w:pgSz w:w="11906" w:h="16838" w:code="9"/>
          <w:pgMar w:top="1134" w:right="1134" w:bottom="1134" w:left="1418" w:header="567" w:footer="567" w:gutter="0"/>
          <w:pgNumType w:start="44"/>
          <w:cols w:space="720"/>
          <w:docGrid w:linePitch="360"/>
        </w:sectPr>
      </w:pPr>
    </w:p>
    <w:p w14:paraId="589AEBA3" w14:textId="77777777" w:rsidR="009F6C9A" w:rsidRDefault="009F6C9A" w:rsidP="009F6C9A">
      <w:pPr>
        <w:jc w:val="center"/>
        <w:rPr>
          <w:rFonts w:asciiTheme="majorBidi" w:hAnsiTheme="majorBidi" w:cstheme="majorBidi"/>
          <w:b/>
          <w:bCs/>
          <w:sz w:val="72"/>
          <w:szCs w:val="72"/>
        </w:rPr>
      </w:pPr>
    </w:p>
    <w:p w14:paraId="485900D5" w14:textId="77777777" w:rsidR="009F6C9A" w:rsidRDefault="009F6C9A" w:rsidP="009F6C9A">
      <w:pPr>
        <w:jc w:val="center"/>
        <w:rPr>
          <w:rFonts w:asciiTheme="majorBidi" w:hAnsiTheme="majorBidi" w:cstheme="majorBidi"/>
          <w:b/>
          <w:bCs/>
          <w:sz w:val="72"/>
          <w:szCs w:val="72"/>
        </w:rPr>
      </w:pPr>
    </w:p>
    <w:p w14:paraId="23215F63" w14:textId="77777777" w:rsidR="009F6C9A" w:rsidRDefault="009F6C9A" w:rsidP="009F6C9A">
      <w:pPr>
        <w:jc w:val="center"/>
        <w:rPr>
          <w:rFonts w:asciiTheme="majorBidi" w:hAnsiTheme="majorBidi" w:cstheme="majorBidi"/>
          <w:b/>
          <w:bCs/>
          <w:sz w:val="72"/>
          <w:szCs w:val="72"/>
        </w:rPr>
      </w:pPr>
    </w:p>
    <w:p w14:paraId="278851A9" w14:textId="77777777" w:rsidR="009F6C9A" w:rsidRDefault="009F6C9A" w:rsidP="009F6C9A">
      <w:pPr>
        <w:jc w:val="center"/>
        <w:rPr>
          <w:rFonts w:asciiTheme="majorBidi" w:hAnsiTheme="majorBidi" w:cstheme="majorBidi"/>
          <w:b/>
          <w:bCs/>
          <w:sz w:val="72"/>
          <w:szCs w:val="72"/>
        </w:rPr>
      </w:pPr>
    </w:p>
    <w:p w14:paraId="0D9D13D5" w14:textId="77777777" w:rsidR="009F6C9A" w:rsidRDefault="009F6C9A" w:rsidP="009F6C9A">
      <w:pPr>
        <w:jc w:val="center"/>
        <w:rPr>
          <w:rFonts w:asciiTheme="majorBidi" w:hAnsiTheme="majorBidi" w:cstheme="majorBidi"/>
          <w:b/>
          <w:bCs/>
          <w:sz w:val="72"/>
          <w:szCs w:val="72"/>
        </w:rPr>
        <w:sectPr w:rsidR="009F6C9A" w:rsidSect="003D0FEA">
          <w:headerReference w:type="default" r:id="rId48"/>
          <w:footerReference w:type="default" r:id="rId49"/>
          <w:pgSz w:w="11906" w:h="16838" w:code="9"/>
          <w:pgMar w:top="1134" w:right="1134" w:bottom="1134" w:left="1418" w:header="567" w:footer="567" w:gutter="0"/>
          <w:pgNumType w:start="45"/>
          <w:cols w:space="720"/>
          <w:docGrid w:linePitch="360"/>
        </w:sectPr>
      </w:pPr>
      <w:r w:rsidRPr="009F6C9A">
        <w:rPr>
          <w:rFonts w:asciiTheme="majorBidi" w:hAnsiTheme="majorBidi" w:cstheme="majorBidi"/>
          <w:b/>
          <w:bCs/>
          <w:sz w:val="72"/>
          <w:szCs w:val="72"/>
        </w:rPr>
        <w:t>Références Bibliographiques</w:t>
      </w:r>
    </w:p>
    <w:p w14:paraId="077AC432" w14:textId="4823E297" w:rsidR="009F6C9A" w:rsidRDefault="009F6C9A" w:rsidP="00EB2955">
      <w:pPr>
        <w:pStyle w:val="Titre1"/>
        <w:numPr>
          <w:ilvl w:val="0"/>
          <w:numId w:val="0"/>
        </w:numPr>
      </w:pPr>
      <w:bookmarkStart w:id="207" w:name="_Toc157139427"/>
      <w:bookmarkStart w:id="208" w:name="_Toc157377877"/>
      <w:bookmarkStart w:id="209" w:name="_Toc167472795"/>
      <w:bookmarkStart w:id="210" w:name="_Toc168302267"/>
      <w:bookmarkStart w:id="211" w:name="_Toc170226707"/>
      <w:r>
        <w:lastRenderedPageBreak/>
        <w:t>Références bibliographiques</w:t>
      </w:r>
      <w:bookmarkEnd w:id="207"/>
      <w:bookmarkEnd w:id="208"/>
      <w:bookmarkEnd w:id="209"/>
      <w:bookmarkEnd w:id="210"/>
      <w:bookmarkEnd w:id="211"/>
    </w:p>
    <w:p w14:paraId="3AC3643A" w14:textId="77777777" w:rsidR="00B1458C" w:rsidRPr="005D4197" w:rsidRDefault="00B1458C" w:rsidP="00B1458C">
      <w:pPr>
        <w:spacing w:before="0" w:after="200" w:line="276" w:lineRule="auto"/>
        <w:jc w:val="left"/>
        <w:rPr>
          <w:rFonts w:eastAsia="Calibri"/>
          <w:sz w:val="20"/>
          <w:szCs w:val="20"/>
          <w:lang w:val="en-US"/>
        </w:rPr>
      </w:pPr>
      <w:r w:rsidRPr="008E30C5">
        <w:rPr>
          <w:rFonts w:eastAsia="Calibri"/>
          <w:sz w:val="20"/>
          <w:szCs w:val="20"/>
          <w:lang w:val="en-US"/>
        </w:rPr>
        <w:t xml:space="preserve">Abdalla, M. M. I. (2021). </w:t>
      </w:r>
      <w:r w:rsidRPr="005D4197">
        <w:rPr>
          <w:rFonts w:eastAsia="Calibri"/>
          <w:sz w:val="20"/>
          <w:szCs w:val="20"/>
          <w:lang w:val="en-US"/>
        </w:rPr>
        <w:t>Salivary resistin level and its association with insulin resistance in obese individuals. World Journal of Diabetes, 12(9), 1507.</w:t>
      </w:r>
    </w:p>
    <w:p w14:paraId="74E8D4CB"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Abdalla, M. M. I. (2022). Role of visfatin in obesity-induced insulin resistance. World journal of clinical cases, 10(30), 10840.</w:t>
      </w:r>
    </w:p>
    <w:p w14:paraId="233853C7" w14:textId="6ECFA021" w:rsidR="00B1458C" w:rsidRPr="00CD7479"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 xml:space="preserve">Aggarwal, B. B. (2003). </w:t>
      </w:r>
      <w:r w:rsidR="007E6869" w:rsidRPr="005D4197">
        <w:rPr>
          <w:rFonts w:eastAsia="Calibri"/>
          <w:sz w:val="20"/>
          <w:szCs w:val="20"/>
          <w:lang w:val="en-US" w:bidi="ar-DZ"/>
        </w:rPr>
        <w:t>Signaling</w:t>
      </w:r>
      <w:r w:rsidRPr="005D4197">
        <w:rPr>
          <w:rFonts w:eastAsia="Calibri"/>
          <w:sz w:val="20"/>
          <w:szCs w:val="20"/>
          <w:lang w:val="en-US" w:bidi="ar-DZ"/>
        </w:rPr>
        <w:t xml:space="preserve"> pathways of the TNF superfamily: a double-edged sword. </w:t>
      </w:r>
      <w:r w:rsidRPr="00CD7479">
        <w:rPr>
          <w:rFonts w:eastAsia="Calibri"/>
          <w:sz w:val="20"/>
          <w:szCs w:val="20"/>
          <w:lang w:val="en-US" w:bidi="ar-DZ"/>
        </w:rPr>
        <w:t>Nature reviews immunology, 3(9), 745-756.</w:t>
      </w:r>
    </w:p>
    <w:p w14:paraId="42F2BFA7" w14:textId="77777777" w:rsidR="00B1458C" w:rsidRPr="00E90E64" w:rsidRDefault="00B1458C" w:rsidP="00B1458C">
      <w:pPr>
        <w:spacing w:before="0" w:after="200" w:line="276" w:lineRule="auto"/>
        <w:jc w:val="left"/>
        <w:rPr>
          <w:rFonts w:eastAsia="Calibri"/>
          <w:sz w:val="20"/>
          <w:szCs w:val="20"/>
          <w:lang w:bidi="ar-DZ"/>
        </w:rPr>
      </w:pPr>
      <w:r w:rsidRPr="00CD7479">
        <w:rPr>
          <w:rFonts w:eastAsia="Calibri"/>
          <w:sz w:val="20"/>
          <w:szCs w:val="20"/>
          <w:lang w:val="en-US" w:bidi="ar-DZ"/>
        </w:rPr>
        <w:t xml:space="preserve"> Albanesi C., Scarponi C., Pallotta S., Daniele R., Bosisio D., Madonna S., Fortugno P., Gonzalvo-Feo S., Franssen J.D., Parmentier M., et al. </w:t>
      </w:r>
      <w:r w:rsidRPr="005D4197">
        <w:rPr>
          <w:rFonts w:eastAsia="Calibri"/>
          <w:sz w:val="20"/>
          <w:szCs w:val="20"/>
          <w:lang w:val="en-US" w:bidi="ar-DZ"/>
        </w:rPr>
        <w:t xml:space="preserve">Chemerin expression marks early psoriatic skin lesions and correlates with plasmacytoid dendritic cell recruitment. </w:t>
      </w:r>
      <w:r w:rsidRPr="00E90E64">
        <w:rPr>
          <w:rFonts w:eastAsia="Calibri"/>
          <w:sz w:val="20"/>
          <w:szCs w:val="20"/>
          <w:lang w:bidi="ar-DZ"/>
        </w:rPr>
        <w:t>J. Exp. Med. 2009;206:249–258. doi: 10.1084/jem.20080129</w:t>
      </w:r>
    </w:p>
    <w:p w14:paraId="75AF32A5" w14:textId="77777777" w:rsidR="00B1458C" w:rsidRPr="00B1458C" w:rsidRDefault="00B1458C" w:rsidP="00B1458C">
      <w:pPr>
        <w:spacing w:before="0" w:after="200" w:line="276" w:lineRule="auto"/>
        <w:jc w:val="left"/>
        <w:rPr>
          <w:rFonts w:eastAsia="Calibri"/>
          <w:sz w:val="20"/>
          <w:szCs w:val="20"/>
        </w:rPr>
      </w:pPr>
      <w:r w:rsidRPr="00B1458C">
        <w:rPr>
          <w:rFonts w:eastAsia="Calibri"/>
          <w:sz w:val="20"/>
          <w:szCs w:val="20"/>
        </w:rPr>
        <w:t>Albert, Q. (2017). Bactériologie et cancers: vers de nouvelles stratégies thérapeutiques</w:t>
      </w:r>
    </w:p>
    <w:p w14:paraId="5D36E0FF" w14:textId="77777777" w:rsidR="00B1458C" w:rsidRPr="005D4197" w:rsidRDefault="00B1458C" w:rsidP="00B1458C">
      <w:pPr>
        <w:spacing w:before="0" w:after="200" w:line="276" w:lineRule="auto"/>
        <w:jc w:val="left"/>
        <w:rPr>
          <w:rFonts w:eastAsia="Calibri"/>
          <w:sz w:val="20"/>
          <w:szCs w:val="20"/>
          <w:lang w:val="en-US" w:bidi="ar-DZ"/>
        </w:rPr>
      </w:pPr>
      <w:r w:rsidRPr="00B1458C">
        <w:rPr>
          <w:rFonts w:eastAsia="Calibri"/>
          <w:sz w:val="20"/>
          <w:szCs w:val="20"/>
          <w:lang w:bidi="ar-DZ"/>
        </w:rPr>
        <w:t xml:space="preserve">Andrade-Oliveira, V., Câmara, N. O., &amp; Moraes-Vieira, P. M. (2015). </w:t>
      </w:r>
      <w:r w:rsidRPr="005D4197">
        <w:rPr>
          <w:rFonts w:eastAsia="Calibri"/>
          <w:sz w:val="20"/>
          <w:szCs w:val="20"/>
          <w:lang w:val="en-US" w:bidi="ar-DZ"/>
        </w:rPr>
        <w:t>Adipokines as drug targets in diabetes and underlying disturbances. Journal of diabetes research, 2015.</w:t>
      </w:r>
    </w:p>
    <w:p w14:paraId="1D62769F" w14:textId="77777777" w:rsidR="00B1458C" w:rsidRPr="005D4197" w:rsidRDefault="00B1458C" w:rsidP="00B1458C">
      <w:pPr>
        <w:spacing w:before="0" w:after="200" w:line="276" w:lineRule="auto"/>
        <w:jc w:val="left"/>
        <w:rPr>
          <w:rFonts w:eastAsia="Calibri"/>
          <w:sz w:val="20"/>
          <w:szCs w:val="20"/>
          <w:lang w:val="en-US"/>
        </w:rPr>
      </w:pPr>
      <w:r w:rsidRPr="005D4197">
        <w:rPr>
          <w:rFonts w:eastAsia="Calibri"/>
          <w:sz w:val="20"/>
          <w:szCs w:val="20"/>
          <w:lang w:val="en-US"/>
        </w:rPr>
        <w:t>Bilski, J., Mazur-Bialy, A., Wojcik, D., Surmiak, M., Magierowski, M., Sliwowski, Z., ... &amp; Brzozowski, T. (2019). Role of obesity, mesenteric adipose tissue, and adipokines in inflammatory bowel diseases. Biomolecules, 9(12), 780</w:t>
      </w:r>
    </w:p>
    <w:p w14:paraId="656D7F63"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Brocco, D.; Florio, R.; De Lellis, L.; Veschi, S.; Grassadonia, A.; Tinari, N.; Cama, A. The Role of Dysfunctional Adipose Tissue in Pancreatic Cancer: A Molecular Perspective. Cancers 2020, 12, 1849</w:t>
      </w:r>
    </w:p>
    <w:p w14:paraId="34BCD9B3"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Carrión, M., Frommer, K. W., Pérez-García, S., Müller-Ladner, U., Gomariz, R. P., &amp; Neumann, E. (2019). The adipokine network in rheumatic joint diseases. International journal of molecular sciences, 20(17), 4091.</w:t>
      </w:r>
    </w:p>
    <w:p w14:paraId="4BF86E9C"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Chang, M. L., Yang, Z., &amp; Yang, S. S. (2020). Roles of adipokines in digestive diseases: markers of inflammation, metabolic alteration and disease progression. International journal of molecular sciences, 21(21), 8308.</w:t>
      </w:r>
    </w:p>
    <w:p w14:paraId="14B8348F"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Chang, M. L., Yang, Z., &amp; Yang, S. S. (2020). Roles of adipokines in digestive diseases: markers of inflammation, metabolic alteration and disease progression. International journal of molecular sciences, 21(21), 8308.</w:t>
      </w:r>
    </w:p>
    <w:p w14:paraId="79C51C46"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Chang, M.-L.; Hsu, C.-M.; Tseng, J.-H.; Tsou, Y.-H.; Chen, S.-C.; Shiau, S.-S.; Yeh, C.-T.; Chiu, C.-T. Plasminogen activator inhibitor-1 is independently associated with non-alcoholic fatty liver disease whereas leptin and adiponectin vary between genders. J. Gastroenterol. Hepatol. 2015, 30, 329–336.</w:t>
      </w:r>
    </w:p>
    <w:p w14:paraId="19DAB0D4"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Chang, S.-S., Eisenberg, D., Zhao, L., Adams, C., Leib, R., Morser, J., and Leung, L. (2016). Chemerin activation in human obesity. Obesity 24: 1522–1529.</w:t>
      </w:r>
    </w:p>
    <w:p w14:paraId="75BE712E"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Childs, G. V., Odle, A. K., MacNicol, M. C., &amp; MacNicol, A. M. (2021). The importance of leptin to reproduction. Endocrinology, 162(2), bqaa204.</w:t>
      </w:r>
    </w:p>
    <w:p w14:paraId="2608EC72"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Choi, H. M., Doss, H. M., &amp; Kim, K. S. (2020). Multifaceted physiological roles of adiponectin in inflammation and diseases. International journal of molecular sciences, 21(4), 1219.</w:t>
      </w:r>
    </w:p>
    <w:p w14:paraId="3F639945"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Clemente-Suárez, V. J., Redondo-Flórez, L., Beltrán-Velasco, A. I., Martín-Rodríguez, A., Martínez-Guardado, I., Navarro-Jiménez, E., ... &amp; Tornero-Aguilera, J. F. (2023). The role of adipokines in health and disease. Biomedicines, 11(5), 1290.</w:t>
      </w:r>
    </w:p>
    <w:p w14:paraId="6AFBCD52" w14:textId="77777777" w:rsidR="00B1458C" w:rsidRPr="005D4197" w:rsidRDefault="00B1458C" w:rsidP="00B1458C">
      <w:pPr>
        <w:spacing w:before="0" w:after="200" w:line="276" w:lineRule="auto"/>
        <w:jc w:val="left"/>
        <w:rPr>
          <w:rFonts w:eastAsia="Calibri"/>
          <w:sz w:val="20"/>
          <w:szCs w:val="20"/>
          <w:lang w:val="en-US"/>
        </w:rPr>
      </w:pPr>
      <w:r w:rsidRPr="005D4197">
        <w:rPr>
          <w:rFonts w:eastAsia="Calibri"/>
          <w:sz w:val="20"/>
          <w:szCs w:val="20"/>
          <w:lang w:val="en-US"/>
        </w:rPr>
        <w:t>Cole, J. B., &amp; Florez, J. C. (2020). Genetics of diabetes mellitus and diabetes complications. </w:t>
      </w:r>
      <w:r w:rsidRPr="005D4197">
        <w:rPr>
          <w:rFonts w:eastAsia="Calibri"/>
          <w:i/>
          <w:iCs/>
          <w:sz w:val="20"/>
          <w:szCs w:val="20"/>
          <w:lang w:val="en-US"/>
        </w:rPr>
        <w:t>Nature reviews nephrology</w:t>
      </w:r>
      <w:r w:rsidRPr="005D4197">
        <w:rPr>
          <w:rFonts w:eastAsia="Calibri"/>
          <w:sz w:val="20"/>
          <w:szCs w:val="20"/>
          <w:lang w:val="en-US"/>
        </w:rPr>
        <w:t>, </w:t>
      </w:r>
      <w:r w:rsidRPr="005D4197">
        <w:rPr>
          <w:rFonts w:eastAsia="Calibri"/>
          <w:i/>
          <w:iCs/>
          <w:sz w:val="20"/>
          <w:szCs w:val="20"/>
          <w:lang w:val="en-US"/>
        </w:rPr>
        <w:t>16</w:t>
      </w:r>
      <w:r w:rsidRPr="005D4197">
        <w:rPr>
          <w:rFonts w:eastAsia="Calibri"/>
          <w:sz w:val="20"/>
          <w:szCs w:val="20"/>
          <w:lang w:val="en-US"/>
        </w:rPr>
        <w:t>(7), 377-390.</w:t>
      </w:r>
    </w:p>
    <w:p w14:paraId="5900BA26" w14:textId="77777777" w:rsidR="00B1458C" w:rsidRPr="005D4197" w:rsidRDefault="00B1458C" w:rsidP="00B1458C">
      <w:pPr>
        <w:spacing w:before="0" w:after="200" w:line="276" w:lineRule="auto"/>
        <w:jc w:val="left"/>
        <w:rPr>
          <w:rFonts w:eastAsia="Calibri"/>
          <w:sz w:val="20"/>
          <w:szCs w:val="20"/>
          <w:lang w:val="en-US"/>
        </w:rPr>
      </w:pPr>
      <w:r w:rsidRPr="005D4197">
        <w:rPr>
          <w:rFonts w:eastAsia="Calibri"/>
          <w:sz w:val="20"/>
          <w:szCs w:val="20"/>
          <w:lang w:val="en-US"/>
        </w:rPr>
        <w:lastRenderedPageBreak/>
        <w:t xml:space="preserve"> Considine, R.V.; Sinha, M.K.; Heiman, M.L.; Kriauciunas, A.; Stephens, T.W.; Nyce, M.R.; </w:t>
      </w:r>
      <w:r w:rsidRPr="00B1458C">
        <w:rPr>
          <w:rFonts w:eastAsia="Calibri"/>
          <w:sz w:val="20"/>
          <w:szCs w:val="20"/>
          <w:rtl/>
        </w:rPr>
        <w:t xml:space="preserve"> </w:t>
      </w:r>
      <w:r w:rsidRPr="005D4197">
        <w:rPr>
          <w:rFonts w:eastAsia="Calibri"/>
          <w:sz w:val="20"/>
          <w:szCs w:val="20"/>
          <w:lang w:val="en-US"/>
        </w:rPr>
        <w:t>Ohannesian, J.P.; Marco, C.C.; McKee, L.J.; Bauer, T.L.; et al. Serum immunoreactive-leptin concentrations in normal-weight and obese humans. N. Engl. J. Med. 1996, 334, 292–295.</w:t>
      </w:r>
    </w:p>
    <w:p w14:paraId="0BF22B49" w14:textId="77777777" w:rsidR="00B1458C" w:rsidRPr="008E30C5" w:rsidRDefault="00B1458C" w:rsidP="00B1458C">
      <w:pPr>
        <w:spacing w:before="0" w:after="200" w:line="276" w:lineRule="auto"/>
        <w:jc w:val="left"/>
        <w:rPr>
          <w:rFonts w:eastAsia="Calibri"/>
          <w:sz w:val="20"/>
          <w:szCs w:val="20"/>
          <w:lang w:bidi="ar-DZ"/>
        </w:rPr>
      </w:pPr>
      <w:r w:rsidRPr="005D4197">
        <w:rPr>
          <w:rFonts w:eastAsia="Calibri"/>
          <w:sz w:val="20"/>
          <w:szCs w:val="20"/>
          <w:lang w:val="en-US" w:bidi="ar-DZ"/>
        </w:rPr>
        <w:t xml:space="preserve">Dec, P., Poniewierska-Baran, A., Modrzejewski, A., &amp; Pawlik, A. (2023). The Role of Omentin-1 in Cancers Development and Progression. </w:t>
      </w:r>
      <w:r w:rsidRPr="008E30C5">
        <w:rPr>
          <w:rFonts w:eastAsia="Calibri"/>
          <w:sz w:val="20"/>
          <w:szCs w:val="20"/>
          <w:lang w:bidi="ar-DZ"/>
        </w:rPr>
        <w:t>Cancers, 15(15), 3797.</w:t>
      </w:r>
    </w:p>
    <w:p w14:paraId="64733D13" w14:textId="77777777" w:rsidR="00B1458C" w:rsidRPr="005D4197" w:rsidRDefault="00B1458C" w:rsidP="00B1458C">
      <w:pPr>
        <w:spacing w:before="0" w:after="200" w:line="276" w:lineRule="auto"/>
        <w:jc w:val="left"/>
        <w:rPr>
          <w:rFonts w:eastAsia="Calibri"/>
          <w:sz w:val="20"/>
          <w:szCs w:val="20"/>
          <w:lang w:val="en-US" w:bidi="ar-DZ"/>
        </w:rPr>
      </w:pPr>
      <w:r w:rsidRPr="00B1458C">
        <w:rPr>
          <w:rFonts w:eastAsia="Calibri"/>
          <w:sz w:val="20"/>
          <w:szCs w:val="20"/>
          <w:lang w:bidi="ar-DZ"/>
        </w:rPr>
        <w:t xml:space="preserve">Estienne, A., Bongrani, A., Reverchon, M., Ramé, C., Ducluzeau, P. H., Froment, P., &amp; Dupont, J. (2019). </w:t>
      </w:r>
      <w:r w:rsidRPr="005D4197">
        <w:rPr>
          <w:rFonts w:eastAsia="Calibri"/>
          <w:sz w:val="20"/>
          <w:szCs w:val="20"/>
          <w:lang w:val="en-US" w:bidi="ar-DZ"/>
        </w:rPr>
        <w:t>Involvement of novel adipokines, chemerin, visfatin, resistin and apelin in reproductive functions in normal and pathological conditions in humans and animal models. International journal of molecular sciences, 20(18), 4431.</w:t>
      </w:r>
    </w:p>
    <w:p w14:paraId="33FAEC87"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Feijóo-Bandín, S., Aragón-Herrera, A., Moraña-Fernández, S., Anido-Varela, L., Tarazón, E., Roselló-Lletí, E., ... &amp; Lago, F. (2020). Adipokines and inflammation: focus on cardiovascular diseases. International Journal of Molecular Sciences, 21(20), 7711.</w:t>
      </w:r>
    </w:p>
    <w:p w14:paraId="3C50BCBA" w14:textId="77777777" w:rsidR="00B1458C" w:rsidRPr="00B1458C" w:rsidRDefault="00B1458C" w:rsidP="00B1458C">
      <w:pPr>
        <w:spacing w:before="0" w:after="200" w:line="276" w:lineRule="auto"/>
        <w:jc w:val="left"/>
        <w:rPr>
          <w:rFonts w:eastAsia="Calibri"/>
          <w:sz w:val="20"/>
          <w:szCs w:val="20"/>
          <w:lang w:bidi="ar-DZ"/>
        </w:rPr>
      </w:pPr>
      <w:r w:rsidRPr="005D4197">
        <w:rPr>
          <w:rFonts w:eastAsia="Calibri"/>
          <w:sz w:val="20"/>
          <w:szCs w:val="20"/>
          <w:lang w:val="en-US" w:bidi="ar-DZ"/>
        </w:rPr>
        <w:t xml:space="preserve">Fischer, T. F., &amp; Beck-Sickinger, A. G. (2022). Chemerin–exploring a versatile adipokine. </w:t>
      </w:r>
      <w:r w:rsidRPr="00B1458C">
        <w:rPr>
          <w:rFonts w:eastAsia="Calibri"/>
          <w:sz w:val="20"/>
          <w:szCs w:val="20"/>
          <w:lang w:bidi="ar-DZ"/>
        </w:rPr>
        <w:t>Biological Chemistry, 403(7), 625-642</w:t>
      </w:r>
    </w:p>
    <w:p w14:paraId="00650291" w14:textId="77777777" w:rsidR="00B1458C" w:rsidRPr="00B1458C" w:rsidRDefault="00B1458C" w:rsidP="00B1458C">
      <w:pPr>
        <w:spacing w:before="0" w:after="200" w:line="276" w:lineRule="auto"/>
        <w:jc w:val="left"/>
        <w:rPr>
          <w:rFonts w:eastAsia="Calibri"/>
          <w:sz w:val="20"/>
          <w:szCs w:val="20"/>
          <w:lang w:bidi="ar-DZ"/>
        </w:rPr>
      </w:pPr>
      <w:r w:rsidRPr="00B1458C">
        <w:rPr>
          <w:rFonts w:eastAsia="Calibri"/>
          <w:sz w:val="20"/>
          <w:szCs w:val="20"/>
          <w:lang w:bidi="ar-DZ"/>
        </w:rPr>
        <w:t>Francin, P. J. (2010). Rôle des adipokines dans la physiopathologie de l'arthrose: exemple de la leptine et de l'adiponectine (Doctoral dissertation, Université Henri Poincaré-Nancy 1).</w:t>
      </w:r>
    </w:p>
    <w:p w14:paraId="3E2023BB" w14:textId="77777777" w:rsidR="00B1458C" w:rsidRPr="005D4197" w:rsidRDefault="00B1458C" w:rsidP="00B1458C">
      <w:pPr>
        <w:spacing w:before="0" w:after="200" w:line="276" w:lineRule="auto"/>
        <w:jc w:val="left"/>
        <w:rPr>
          <w:rFonts w:eastAsia="Calibri"/>
          <w:sz w:val="20"/>
          <w:szCs w:val="20"/>
          <w:lang w:val="en-US"/>
        </w:rPr>
      </w:pPr>
      <w:r w:rsidRPr="005D4197">
        <w:rPr>
          <w:rFonts w:eastAsia="Calibri"/>
          <w:sz w:val="20"/>
          <w:szCs w:val="20"/>
          <w:lang w:val="en-US"/>
        </w:rPr>
        <w:t xml:space="preserve">Fruebis, J.; Tsao, T.S.; Javorschi, S.; Ebbets-Reed, D.; Erickson, M.R.S.; Yen, F.T.; Bihain, B.E.; Lodish, H.F. Proteolytic cleavage product of 30-kDa adipocyte complement-related protein increases fatty acid oxidation in muscle and causes weight loss in mice. Proc. Natl. Acad. Sci. USA 2001, 98, 2005–2010. </w:t>
      </w:r>
    </w:p>
    <w:p w14:paraId="72079978"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Gamberi, T., Magherini, F., &amp; Fiaschi, T. (2019). Adiponectin in myopathies. International Journal of Molecular Sciences, 20(7), 1544.</w:t>
      </w:r>
    </w:p>
    <w:p w14:paraId="28978555"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García-Miranda, A., Garcia-Hernandez, A., Castañeda-Saucedo, E., Navarro-Tito, N., &amp; Maycotte, P. (2022). Adipokines as regulators of autophagy in obesity-linked cancer. Cells, 11(20), 3230.</w:t>
      </w:r>
    </w:p>
    <w:p w14:paraId="57E2E7B7" w14:textId="77777777" w:rsidR="00B1458C" w:rsidRPr="00CD7479"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 xml:space="preserve">Guven-Maiorov, E., Acuner-Ozbabacan, S. E., Keskin, O., Gursoy, A., &amp; Nussinov, R. (2014). Structural pathways of cytokines may illuminate their roles in regulation of cancer development and immunotherapy. </w:t>
      </w:r>
      <w:r w:rsidRPr="00CD7479">
        <w:rPr>
          <w:rFonts w:eastAsia="Calibri"/>
          <w:sz w:val="20"/>
          <w:szCs w:val="20"/>
          <w:lang w:val="en-US" w:bidi="ar-DZ"/>
        </w:rPr>
        <w:t>Cancers, 6(2), 663-683.</w:t>
      </w:r>
    </w:p>
    <w:p w14:paraId="36E04F84"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 xml:space="preserve">Hau C.S., Kanda N., Noda S., Tatsuta A., Kamata M., Shibata S., Asano Y., Sato S., Watanabe S., Tada Y. Visfatin enhances the production of cathelicidin antimicrobial peptide, human </w:t>
      </w:r>
      <w:r w:rsidRPr="00B1458C">
        <w:rPr>
          <w:rFonts w:eastAsia="Calibri"/>
          <w:sz w:val="20"/>
          <w:szCs w:val="20"/>
          <w:lang w:bidi="ar-DZ"/>
        </w:rPr>
        <w:t>β</w:t>
      </w:r>
      <w:r w:rsidRPr="005D4197">
        <w:rPr>
          <w:rFonts w:eastAsia="Calibri"/>
          <w:sz w:val="20"/>
          <w:szCs w:val="20"/>
          <w:lang w:val="en-US" w:bidi="ar-DZ"/>
        </w:rPr>
        <w:t xml:space="preserve">-defensin-2, human </w:t>
      </w:r>
      <w:r w:rsidRPr="00B1458C">
        <w:rPr>
          <w:rFonts w:eastAsia="Calibri"/>
          <w:sz w:val="20"/>
          <w:szCs w:val="20"/>
          <w:lang w:bidi="ar-DZ"/>
        </w:rPr>
        <w:t>β</w:t>
      </w:r>
      <w:r w:rsidRPr="005D4197">
        <w:rPr>
          <w:rFonts w:eastAsia="Calibri"/>
          <w:sz w:val="20"/>
          <w:szCs w:val="20"/>
          <w:lang w:val="en-US" w:bidi="ar-DZ"/>
        </w:rPr>
        <w:t>-defensin-3, and S100A7 in human keratinocytes and their orthologs in murine imiquimod-induced psoriatic skin. Am. J. Pathol. 2013;182:1705–1717. doi: 10.1016/j.ajpath.2013.01.044</w:t>
      </w:r>
    </w:p>
    <w:p w14:paraId="56575457" w14:textId="77777777" w:rsidR="00B1458C" w:rsidRPr="00CD7479"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 xml:space="preserve">Huber, K., Szerenos, E., Lewandowski, D., Toczylowski, K., &amp; Sulik, A. (2023). The Role of Adipokines in the Pathologies of the Central Nervous System. </w:t>
      </w:r>
      <w:r w:rsidRPr="00CD7479">
        <w:rPr>
          <w:rFonts w:eastAsia="Calibri"/>
          <w:sz w:val="20"/>
          <w:szCs w:val="20"/>
          <w:lang w:val="en-US" w:bidi="ar-DZ"/>
        </w:rPr>
        <w:t>International Journal of Molecular Sciences, 24(19), 14684.</w:t>
      </w:r>
    </w:p>
    <w:p w14:paraId="6F4B8231"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Kanda N., Hau C.S., Tada Y., Tatsuta A., Sato S., Watanabe S. Visfatin enhances CXCL8, CXCL10, and CCL20 production in human keratinocytes. Endocrinology. 2011;152:3155–3164. doi: 10.1210/en.2010-1481.</w:t>
      </w:r>
    </w:p>
    <w:p w14:paraId="3ECE83EB"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Khoramipour, K., Chamari, K., Hekmatikar, A. A., Ziyaiyan, A., Taherkhani, S., Elguindy, N. M., &amp; Bragazzi, N. L. (2021). Adiponectin: Structure, physiological functions, role in diseases, and effects of nutrition. Nutrients, 13(4), 1180.</w:t>
      </w:r>
    </w:p>
    <w:p w14:paraId="13A79A6D"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Kiełbowski, K., Bakinowska, E., Ostrowski, P., Pala, B., Gromowska, E., Gurazda, K., ... &amp; Pawlik, A. (2023). The role of adipokines in the pathogenesis of psoriasis. International Journal of Molecular Sciences, 24(7), 6390.</w:t>
      </w:r>
    </w:p>
    <w:p w14:paraId="1FDC0916"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Kim, J. E., Kim, J. S., Jo, M. J., Cho, E., Ahn, S. Y., Kwon, Y. J., &amp; Ko, G. J. (2022). The roles and associated mechanisms of adipokines in development of metabolic syndrome. Molecules, 27(2), 334.</w:t>
      </w:r>
    </w:p>
    <w:p w14:paraId="57556164"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Kurowska, P., Mlyczyńska, E., Dawid, M., Jurek, M., Klimczyk, D., Dupont, J., &amp; Rak, A. (2021). Vaspin (SERPINA12) expression and function in endocrine cells. Cells, 10(7), 1710.</w:t>
      </w:r>
    </w:p>
    <w:p w14:paraId="0F0790E4"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lastRenderedPageBreak/>
        <w:t>Mlyczyńska, E., Kieżun, M., Kurowska, P., Dawid, M., Pich, K., Respekta, N., ... &amp; Rak, A. (2022). New aspects of corpus luteum regulation in physiological and pathological conditions: involvement of adipokines and neuropeptides. Cells, 11(6), 957.</w:t>
      </w:r>
    </w:p>
    <w:p w14:paraId="4502449A" w14:textId="65A2DBA4" w:rsidR="00B1458C" w:rsidRPr="00B1458C" w:rsidRDefault="00B1458C" w:rsidP="0002587F">
      <w:pPr>
        <w:spacing w:before="0" w:after="200" w:line="276" w:lineRule="auto"/>
        <w:jc w:val="left"/>
        <w:rPr>
          <w:rFonts w:eastAsia="Calibri"/>
          <w:sz w:val="20"/>
          <w:szCs w:val="20"/>
          <w:lang w:bidi="ar-DZ"/>
        </w:rPr>
      </w:pPr>
      <w:r w:rsidRPr="005D4197">
        <w:rPr>
          <w:rFonts w:eastAsia="Calibri"/>
          <w:sz w:val="20"/>
          <w:szCs w:val="20"/>
          <w:lang w:val="en-US" w:bidi="ar-DZ"/>
        </w:rPr>
        <w:t xml:space="preserve">Moschen AR, Kaser A, Enrich B et al. Visfatin, an adipocytokine with proinflammatory and immunomodulating properties. </w:t>
      </w:r>
      <w:r w:rsidR="0002587F">
        <w:rPr>
          <w:rFonts w:eastAsia="Calibri"/>
          <w:sz w:val="20"/>
          <w:szCs w:val="20"/>
          <w:lang w:bidi="ar-DZ"/>
        </w:rPr>
        <w:t xml:space="preserve">J Immunol 2007; 178: 1748–1758 </w:t>
      </w:r>
    </w:p>
    <w:p w14:paraId="030E9623" w14:textId="77777777" w:rsidR="00B1458C" w:rsidRPr="005D4197" w:rsidRDefault="00B1458C" w:rsidP="00B1458C">
      <w:pPr>
        <w:spacing w:before="0" w:after="200" w:line="276" w:lineRule="auto"/>
        <w:jc w:val="left"/>
        <w:rPr>
          <w:rFonts w:eastAsia="Calibri"/>
          <w:sz w:val="20"/>
          <w:szCs w:val="20"/>
          <w:lang w:val="en-US" w:bidi="ar-DZ"/>
        </w:rPr>
      </w:pPr>
      <w:r w:rsidRPr="00B1458C">
        <w:rPr>
          <w:rFonts w:eastAsia="Calibri"/>
          <w:sz w:val="20"/>
          <w:szCs w:val="20"/>
          <w:lang w:bidi="ar-DZ"/>
        </w:rPr>
        <w:t xml:space="preserve">Papadopoulos DP, Makris TK, Perrea D, et al. </w:t>
      </w:r>
      <w:r w:rsidRPr="005D4197">
        <w:rPr>
          <w:rFonts w:eastAsia="Calibri"/>
          <w:sz w:val="20"/>
          <w:szCs w:val="20"/>
          <w:lang w:val="en-US" w:bidi="ar-DZ"/>
        </w:rPr>
        <w:t>Adiponectin: insulin and resistin plasma levels in young healthy offspring of patients with essential hypertension. Blood Press 2008;17:50-54.</w:t>
      </w:r>
    </w:p>
    <w:p w14:paraId="61A271C3"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Parameswaran, N., &amp; Patial, S. (2010). Tumor necrosis factor-</w:t>
      </w:r>
      <w:r w:rsidRPr="00B1458C">
        <w:rPr>
          <w:rFonts w:eastAsia="Calibri"/>
          <w:sz w:val="20"/>
          <w:szCs w:val="20"/>
          <w:lang w:bidi="ar-DZ"/>
        </w:rPr>
        <w:t>α</w:t>
      </w:r>
      <w:r w:rsidRPr="005D4197">
        <w:rPr>
          <w:rFonts w:eastAsia="Calibri"/>
          <w:sz w:val="20"/>
          <w:szCs w:val="20"/>
          <w:lang w:val="en-US" w:bidi="ar-DZ"/>
        </w:rPr>
        <w:t xml:space="preserve"> signaling in macrophages. Critical Reviews™ in Eukaryotic Gene Expression, 20(2).</w:t>
      </w:r>
    </w:p>
    <w:p w14:paraId="2FF336C3" w14:textId="77777777" w:rsidR="00B1458C" w:rsidRPr="005D4197" w:rsidRDefault="00B1458C" w:rsidP="00B1458C">
      <w:pPr>
        <w:spacing w:before="0" w:after="200" w:line="276" w:lineRule="auto"/>
        <w:jc w:val="left"/>
        <w:rPr>
          <w:rFonts w:eastAsia="Calibri"/>
          <w:b/>
          <w:bCs/>
          <w:sz w:val="20"/>
          <w:szCs w:val="20"/>
          <w:lang w:val="en-US"/>
        </w:rPr>
      </w:pPr>
      <w:r w:rsidRPr="005D4197">
        <w:rPr>
          <w:rFonts w:eastAsia="Calibri"/>
          <w:color w:val="222222"/>
          <w:sz w:val="20"/>
          <w:szCs w:val="20"/>
          <w:shd w:val="clear" w:color="auto" w:fill="FFFFFF"/>
          <w:lang w:val="en-US"/>
        </w:rPr>
        <w:t>Parida, S., Siddharth, S., &amp; Sharma, D. (2019). Adiponectin, obesity, and cancer: clash of the bigwigs in health and disease. </w:t>
      </w:r>
      <w:r w:rsidRPr="005D4197">
        <w:rPr>
          <w:rFonts w:eastAsia="Calibri"/>
          <w:i/>
          <w:iCs/>
          <w:color w:val="222222"/>
          <w:sz w:val="20"/>
          <w:szCs w:val="20"/>
          <w:shd w:val="clear" w:color="auto" w:fill="FFFFFF"/>
          <w:lang w:val="en-US"/>
        </w:rPr>
        <w:t>International journal of molecular sciences</w:t>
      </w:r>
      <w:r w:rsidRPr="005D4197">
        <w:rPr>
          <w:rFonts w:eastAsia="Calibri"/>
          <w:color w:val="222222"/>
          <w:sz w:val="20"/>
          <w:szCs w:val="20"/>
          <w:shd w:val="clear" w:color="auto" w:fill="FFFFFF"/>
          <w:lang w:val="en-US"/>
        </w:rPr>
        <w:t>, </w:t>
      </w:r>
      <w:r w:rsidRPr="005D4197">
        <w:rPr>
          <w:rFonts w:eastAsia="Calibri"/>
          <w:i/>
          <w:iCs/>
          <w:color w:val="222222"/>
          <w:sz w:val="20"/>
          <w:szCs w:val="20"/>
          <w:shd w:val="clear" w:color="auto" w:fill="FFFFFF"/>
          <w:lang w:val="en-US"/>
        </w:rPr>
        <w:t>20</w:t>
      </w:r>
      <w:r w:rsidRPr="005D4197">
        <w:rPr>
          <w:rFonts w:eastAsia="Calibri"/>
          <w:color w:val="222222"/>
          <w:sz w:val="20"/>
          <w:szCs w:val="20"/>
          <w:shd w:val="clear" w:color="auto" w:fill="FFFFFF"/>
          <w:lang w:val="en-US"/>
        </w:rPr>
        <w:t>(10), 2519.</w:t>
      </w:r>
    </w:p>
    <w:p w14:paraId="2088970E"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Park, H. K., Kwak, M. K., Kim, H. J., &amp; Ahima, R. S. (2017). Linking resistin, inflammation, and cardiometabolic diseases. The Korean journal of internal medicine, 32(2), 239.</w:t>
      </w:r>
    </w:p>
    <w:p w14:paraId="3317C11D"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Pérez-Pérez, A., Vilariño-García, T., Guadix, P., Dueñas, J. L., &amp; Sánchez-Margalet, V. (2020). Leptin and nutrition in gestational diabetes. Nutrients, 12(7), 1970.</w:t>
      </w:r>
    </w:p>
    <w:p w14:paraId="315844E3" w14:textId="77777777" w:rsidR="00B1458C" w:rsidRPr="00B1458C" w:rsidRDefault="00B1458C" w:rsidP="00B1458C">
      <w:pPr>
        <w:spacing w:before="0" w:after="200" w:line="276" w:lineRule="auto"/>
        <w:jc w:val="left"/>
        <w:rPr>
          <w:rFonts w:eastAsia="Calibri"/>
          <w:sz w:val="20"/>
          <w:szCs w:val="20"/>
          <w:rtl/>
          <w:lang w:bidi="ar-DZ"/>
        </w:rPr>
      </w:pPr>
      <w:r w:rsidRPr="005D4197">
        <w:rPr>
          <w:rFonts w:eastAsia="Calibri"/>
          <w:sz w:val="20"/>
          <w:szCs w:val="20"/>
          <w:lang w:val="en-US" w:bidi="ar-DZ"/>
        </w:rPr>
        <w:t>Polyzos, S.A.; Kountouras, J.; Mantzoros, C.S. Adipokines in nonalcoholic fatty liver disease. Metabolism 2016, 65, 1062–1079.</w:t>
      </w:r>
    </w:p>
    <w:p w14:paraId="225779A8"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Radzik-Zając, J., Wytrychowski, K., Wiśniewski, A., &amp; Barg, W. (2023). The role of the novel adipokines vaspin and omentin in chronic inflammatory diseases. Pediatric Endocrinology Diabetes and Metabolism, 29(1), 48-52.</w:t>
      </w:r>
    </w:p>
    <w:p w14:paraId="10E2D68F"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Radzik-Zając, J., Wytrychowski, K., Wiśniewski, A., &amp; Barg, W. (2023). The role of the novel adipokines vaspin and omentin in chronic inflammatory diseases. Pediatric Endocrinology Diabetes and Metabolism, 29(1), 48-52.</w:t>
      </w:r>
    </w:p>
    <w:p w14:paraId="694DEC16" w14:textId="77777777" w:rsidR="00B1458C" w:rsidRPr="005D4197" w:rsidRDefault="00B1458C" w:rsidP="00B1458C">
      <w:pPr>
        <w:spacing w:before="0" w:after="200" w:line="276" w:lineRule="auto"/>
        <w:jc w:val="left"/>
        <w:rPr>
          <w:rFonts w:eastAsia="Calibri"/>
          <w:sz w:val="20"/>
          <w:szCs w:val="20"/>
          <w:lang w:val="en-US"/>
        </w:rPr>
      </w:pPr>
      <w:r w:rsidRPr="005D4197">
        <w:rPr>
          <w:rFonts w:eastAsia="Calibri"/>
          <w:sz w:val="20"/>
          <w:szCs w:val="20"/>
          <w:lang w:val="en-US"/>
        </w:rPr>
        <w:t>Rangwala SM, Rich AS, Rhoades B, Shapiro JS, Obici S, Rossetti L, Lazar MA. Abnormal glucose homeostasis due to chronic hyperresistinemia. Diabetes. 2004;53:1937–194</w:t>
      </w:r>
    </w:p>
    <w:p w14:paraId="6D66F469"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Roh, S. G., Suzuki, Y., Gotoh, T., Tatsumi, R., &amp; Katoh, K. (2016). Physiological roles of adipokines, hepatokines, and myokines in ruminants. Asian-Australasian journal of animal sciences, 29(1), 1</w:t>
      </w:r>
    </w:p>
    <w:p w14:paraId="21BB59FB"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Rüster, C., &amp; Wolf, G. (2013). Adipokines promote chronic kidney disease. Nephrology Dialysis Transplantation, 28(suppl_4), iv8-iv14.</w:t>
      </w:r>
    </w:p>
    <w:p w14:paraId="2B77B326" w14:textId="77777777" w:rsidR="00B1458C" w:rsidRPr="00B1458C" w:rsidRDefault="00B1458C" w:rsidP="00B1458C">
      <w:pPr>
        <w:spacing w:before="0" w:after="200" w:line="276" w:lineRule="auto"/>
        <w:jc w:val="left"/>
        <w:rPr>
          <w:rFonts w:eastAsia="Calibri"/>
          <w:sz w:val="20"/>
          <w:szCs w:val="20"/>
          <w:lang w:bidi="ar-DZ"/>
        </w:rPr>
      </w:pPr>
      <w:r w:rsidRPr="005D4197">
        <w:rPr>
          <w:rFonts w:eastAsia="Calibri"/>
          <w:sz w:val="20"/>
          <w:szCs w:val="20"/>
          <w:lang w:val="en-US" w:bidi="ar-DZ"/>
        </w:rPr>
        <w:t xml:space="preserve">Saddi-Rosa, P., Oliveira, C. S., Giuffrida, F. M., &amp; Reis, A. F. (2010). Visfatin, glucose metabolism and vascular disease: a review of evidence. </w:t>
      </w:r>
      <w:r w:rsidRPr="00B1458C">
        <w:rPr>
          <w:rFonts w:eastAsia="Calibri"/>
          <w:sz w:val="20"/>
          <w:szCs w:val="20"/>
          <w:lang w:bidi="ar-DZ"/>
        </w:rPr>
        <w:t>Diabetology &amp; metabolic syndrome, 2, 1-6.</w:t>
      </w:r>
    </w:p>
    <w:p w14:paraId="2A207ECA" w14:textId="77777777" w:rsidR="00B1458C" w:rsidRPr="00B1458C" w:rsidRDefault="00B1458C" w:rsidP="00B1458C">
      <w:pPr>
        <w:spacing w:before="0" w:after="200" w:line="276" w:lineRule="auto"/>
        <w:jc w:val="left"/>
        <w:rPr>
          <w:rFonts w:eastAsia="Calibri"/>
          <w:sz w:val="20"/>
          <w:szCs w:val="20"/>
          <w:lang w:bidi="ar-DZ"/>
        </w:rPr>
      </w:pPr>
      <w:r w:rsidRPr="00B1458C">
        <w:rPr>
          <w:rFonts w:eastAsia="Calibri"/>
          <w:sz w:val="20"/>
          <w:szCs w:val="20"/>
          <w:lang w:bidi="ar-DZ"/>
        </w:rPr>
        <w:t>Samara, A. (2008). Etude des adipokines en relation avec le syndrome métabolique et l'inflammation (Doctoral dissertation, Université Henri Poincaré-Nancy 1).</w:t>
      </w:r>
    </w:p>
    <w:p w14:paraId="3BACD7E3" w14:textId="77777777" w:rsidR="00B1458C" w:rsidRPr="00B1458C" w:rsidRDefault="00B1458C" w:rsidP="00B1458C">
      <w:pPr>
        <w:spacing w:before="0" w:after="200" w:line="276" w:lineRule="auto"/>
        <w:jc w:val="left"/>
        <w:rPr>
          <w:rFonts w:eastAsia="Calibri"/>
          <w:sz w:val="20"/>
          <w:szCs w:val="20"/>
          <w:rtl/>
          <w:lang w:bidi="ar-DZ"/>
        </w:rPr>
      </w:pPr>
      <w:r w:rsidRPr="005D4197">
        <w:rPr>
          <w:rFonts w:eastAsia="Calibri"/>
          <w:sz w:val="20"/>
          <w:szCs w:val="20"/>
          <w:lang w:val="en-US"/>
        </w:rPr>
        <w:t>Samarghandian, S.; Borji, A.; Farkhondeh, T. Evaluation of antidiabetic activity of carnosol (phenolic diterpene in rosemary) in streptozotocin-induced diabetic rats. Cardiovasc Haematol Disord Drug Targets 2017, 17, 11–17</w:t>
      </w:r>
    </w:p>
    <w:p w14:paraId="4B60FB17"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Shin, E., &amp; Koo, J. S. (2020). The role of adipokines and bone marrow adipocytes in breast cancer bone metastasis. International journal of molecular sciences, 21(14), 4967.</w:t>
      </w:r>
    </w:p>
    <w:p w14:paraId="628D79B2" w14:textId="77777777" w:rsidR="00B1458C" w:rsidRPr="005D4197" w:rsidRDefault="00B1458C" w:rsidP="00B1458C">
      <w:pPr>
        <w:spacing w:before="0" w:after="200" w:line="276" w:lineRule="auto"/>
        <w:jc w:val="left"/>
        <w:rPr>
          <w:rFonts w:eastAsia="Calibri"/>
          <w:sz w:val="20"/>
          <w:szCs w:val="20"/>
          <w:lang w:val="en-US"/>
        </w:rPr>
      </w:pPr>
      <w:r w:rsidRPr="005D4197">
        <w:rPr>
          <w:rFonts w:eastAsia="Calibri"/>
          <w:sz w:val="20"/>
          <w:szCs w:val="20"/>
          <w:lang w:val="en-US"/>
        </w:rPr>
        <w:t>Sonoli, S. S., Shivprasad, S., Prasad, C. V. B., Patil, A. B., Desai, P. B., &amp; Somannavar, M. S. (2011). Visfatin-a review. European Review for Medical &amp; Pharmacological Sciences, 15(1).</w:t>
      </w:r>
    </w:p>
    <w:p w14:paraId="6882816C"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Stefan, N., &amp; Stumvoll, M. (2002). Adiponectin-its role in metabolism and beyond. Hormone and Metabolic Research, 34(09), 469-474.</w:t>
      </w:r>
    </w:p>
    <w:p w14:paraId="71ABEB51" w14:textId="77777777" w:rsidR="00B1458C" w:rsidRPr="005D4197" w:rsidRDefault="00B1458C" w:rsidP="00B1458C">
      <w:pPr>
        <w:spacing w:before="0" w:after="200" w:line="276" w:lineRule="auto"/>
        <w:jc w:val="left"/>
        <w:rPr>
          <w:rFonts w:eastAsia="Calibri"/>
          <w:sz w:val="20"/>
          <w:szCs w:val="20"/>
          <w:lang w:val="en-US"/>
        </w:rPr>
      </w:pPr>
      <w:r w:rsidRPr="005D4197">
        <w:rPr>
          <w:rFonts w:eastAsia="Calibri"/>
          <w:sz w:val="20"/>
          <w:szCs w:val="20"/>
          <w:lang w:val="en-US"/>
        </w:rPr>
        <w:lastRenderedPageBreak/>
        <w:t>Steppan, C. M., Wang, J., Whiteman, E. L., Birnbaum, M. J., &amp; Lazar, M. A. (2005). Activation of SOCS-3 by resistin. Molecular and cellular biology, 25(4), 1569-1575</w:t>
      </w:r>
    </w:p>
    <w:p w14:paraId="6B6F6F85" w14:textId="77777777" w:rsidR="00B1458C" w:rsidRPr="00B1458C" w:rsidRDefault="00B1458C" w:rsidP="00B1458C">
      <w:pPr>
        <w:spacing w:before="0" w:after="200" w:line="276" w:lineRule="auto"/>
        <w:jc w:val="left"/>
        <w:rPr>
          <w:rFonts w:eastAsia="Calibri"/>
          <w:sz w:val="20"/>
          <w:szCs w:val="20"/>
          <w:lang w:bidi="ar-DZ"/>
        </w:rPr>
      </w:pPr>
      <w:r w:rsidRPr="005D4197">
        <w:rPr>
          <w:rFonts w:eastAsia="Calibri"/>
          <w:sz w:val="20"/>
          <w:szCs w:val="20"/>
          <w:lang w:val="en-US" w:bidi="ar-DZ"/>
        </w:rPr>
        <w:t xml:space="preserve">Takahashi, M.; Hori, M.; Ishigamori, R.; Mutoh, M.; Imai, T.; Nakagama, H. Fatty pancreas: A possible risk factor for pancreatic cancer in animals and humans. </w:t>
      </w:r>
      <w:r w:rsidRPr="00B1458C">
        <w:rPr>
          <w:rFonts w:eastAsia="Calibri"/>
          <w:sz w:val="20"/>
          <w:szCs w:val="20"/>
          <w:lang w:bidi="ar-DZ"/>
        </w:rPr>
        <w:t>Cancer Sci. 2018, 109, 3013–3023.</w:t>
      </w:r>
    </w:p>
    <w:p w14:paraId="2D162D24" w14:textId="77777777" w:rsidR="00B1458C" w:rsidRPr="00B1458C" w:rsidRDefault="00B1458C" w:rsidP="00B1458C">
      <w:pPr>
        <w:spacing w:before="0" w:after="200" w:line="276" w:lineRule="auto"/>
        <w:jc w:val="left"/>
        <w:rPr>
          <w:rFonts w:eastAsia="Calibri"/>
          <w:sz w:val="20"/>
          <w:szCs w:val="20"/>
          <w:lang w:bidi="ar-DZ"/>
        </w:rPr>
      </w:pPr>
      <w:r w:rsidRPr="00B1458C">
        <w:rPr>
          <w:rFonts w:eastAsia="Calibri"/>
          <w:sz w:val="20"/>
          <w:szCs w:val="20"/>
          <w:lang w:bidi="ar-DZ"/>
        </w:rPr>
        <w:t xml:space="preserve">Tanaka M, Suganami T, Sugita S et al. </w:t>
      </w:r>
      <w:r w:rsidRPr="005D4197">
        <w:rPr>
          <w:rFonts w:eastAsia="Calibri"/>
          <w:sz w:val="20"/>
          <w:szCs w:val="20"/>
          <w:lang w:val="en-US" w:bidi="ar-DZ"/>
        </w:rPr>
        <w:t xml:space="preserve">Role of central leptin signaling in renal macrophage infiltration. </w:t>
      </w:r>
      <w:r w:rsidRPr="00B1458C">
        <w:rPr>
          <w:rFonts w:eastAsia="Calibri"/>
          <w:sz w:val="20"/>
          <w:szCs w:val="20"/>
          <w:lang w:bidi="ar-DZ"/>
        </w:rPr>
        <w:t>Endocr J 2010; 57: 61–72</w:t>
      </w:r>
    </w:p>
    <w:p w14:paraId="46CE803D" w14:textId="77777777" w:rsidR="00B1458C" w:rsidRPr="005D4197" w:rsidRDefault="00B1458C" w:rsidP="00B1458C">
      <w:pPr>
        <w:spacing w:before="0" w:after="200" w:line="276" w:lineRule="auto"/>
        <w:jc w:val="left"/>
        <w:rPr>
          <w:rFonts w:eastAsia="Calibri"/>
          <w:sz w:val="20"/>
          <w:szCs w:val="20"/>
          <w:lang w:val="en-US" w:bidi="ar-DZ"/>
        </w:rPr>
      </w:pPr>
      <w:r w:rsidRPr="00B1458C">
        <w:rPr>
          <w:rFonts w:eastAsia="Calibri"/>
          <w:sz w:val="20"/>
          <w:szCs w:val="20"/>
          <w:lang w:bidi="ar-DZ"/>
        </w:rPr>
        <w:t xml:space="preserve">Thomopoulos C, Daskalaki M, Papazachou O, et al. </w:t>
      </w:r>
      <w:r w:rsidRPr="005D4197">
        <w:rPr>
          <w:rFonts w:eastAsia="Calibri"/>
          <w:sz w:val="20"/>
          <w:szCs w:val="20"/>
          <w:lang w:val="en-US" w:bidi="ar-DZ"/>
        </w:rPr>
        <w:t>Association of resistin and adiponectin with different clinical blood pressure phenotypes. J Hum Hypertens 2011;25:38-46.</w:t>
      </w:r>
    </w:p>
    <w:p w14:paraId="7B1A8CE8" w14:textId="77777777" w:rsidR="00B1458C" w:rsidRPr="00B1458C" w:rsidRDefault="00B1458C" w:rsidP="00B1458C">
      <w:pPr>
        <w:spacing w:before="0" w:after="200" w:line="276" w:lineRule="auto"/>
        <w:jc w:val="left"/>
        <w:rPr>
          <w:rFonts w:eastAsia="Calibri"/>
          <w:sz w:val="20"/>
          <w:szCs w:val="20"/>
        </w:rPr>
      </w:pPr>
      <w:r w:rsidRPr="005D4197">
        <w:rPr>
          <w:rFonts w:eastAsia="Calibri"/>
          <w:sz w:val="20"/>
          <w:szCs w:val="20"/>
          <w:lang w:val="en-US"/>
        </w:rPr>
        <w:t xml:space="preserve">Vilariño-García, T., Polonio-González, M. L., Pérez-Pérez, A., Ribalta, J., Arrieta, F., Aguilar, M., ... &amp; Sánchez-Margalet, V. (2024). Role of Leptin in Obesity, Cardiovascular Disease, and Type 2 Diabetes. </w:t>
      </w:r>
      <w:r w:rsidRPr="00B1458C">
        <w:rPr>
          <w:rFonts w:eastAsia="Calibri"/>
          <w:sz w:val="20"/>
          <w:szCs w:val="20"/>
        </w:rPr>
        <w:t>International Journal of Molecular Sciences, 25(4), 2338.</w:t>
      </w:r>
    </w:p>
    <w:p w14:paraId="449C9DF0" w14:textId="77777777" w:rsidR="00B1458C" w:rsidRPr="005D4197" w:rsidRDefault="00B1458C" w:rsidP="00B1458C">
      <w:pPr>
        <w:spacing w:before="0" w:after="200" w:line="276" w:lineRule="auto"/>
        <w:jc w:val="left"/>
        <w:rPr>
          <w:rFonts w:eastAsia="Calibri"/>
          <w:sz w:val="20"/>
          <w:szCs w:val="20"/>
          <w:lang w:val="en-US" w:bidi="ar-DZ"/>
        </w:rPr>
      </w:pPr>
      <w:r w:rsidRPr="00B1458C">
        <w:rPr>
          <w:rFonts w:eastAsia="Calibri"/>
          <w:sz w:val="20"/>
          <w:szCs w:val="20"/>
          <w:lang w:bidi="ar-DZ"/>
        </w:rPr>
        <w:t xml:space="preserve">Vrachnis, N., Belitsos, P., Sifakis, S., Dafopoulos, K., Siristatidis, C., Pappa, K. I., &amp; Iliodromiti, Z. (2012). </w:t>
      </w:r>
      <w:r w:rsidRPr="005D4197">
        <w:rPr>
          <w:rFonts w:eastAsia="Calibri"/>
          <w:sz w:val="20"/>
          <w:szCs w:val="20"/>
          <w:lang w:val="en-US" w:bidi="ar-DZ"/>
        </w:rPr>
        <w:t>Role of adipokines and other inflammatory mediators in gestational diabetes mellitus and previous gestational diabetes mellitus. International journal of endocrinology, 2012.</w:t>
      </w:r>
      <w:r w:rsidRPr="005D4197">
        <w:rPr>
          <w:rFonts w:eastAsia="Calibri"/>
          <w:sz w:val="20"/>
          <w:szCs w:val="20"/>
          <w:lang w:val="en-US"/>
        </w:rPr>
        <w:t xml:space="preserve"> </w:t>
      </w:r>
      <w:r w:rsidRPr="005D4197">
        <w:rPr>
          <w:rFonts w:eastAsia="Calibri"/>
          <w:sz w:val="20"/>
          <w:szCs w:val="20"/>
          <w:lang w:val="en-US" w:bidi="ar-DZ"/>
        </w:rPr>
        <w:t>diabetes. Hypertension 2008;51:534-539.</w:t>
      </w:r>
    </w:p>
    <w:p w14:paraId="5A76E9D2"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Wang, Y., Che, M., Xin, J., Zheng, Z., Li, J., &amp; Zhang, S. (2020). The role of IL-1</w:t>
      </w:r>
      <w:r w:rsidRPr="00B1458C">
        <w:rPr>
          <w:rFonts w:eastAsia="Calibri"/>
          <w:sz w:val="20"/>
          <w:szCs w:val="20"/>
          <w:lang w:bidi="ar-DZ"/>
        </w:rPr>
        <w:t>β</w:t>
      </w:r>
      <w:r w:rsidRPr="005D4197">
        <w:rPr>
          <w:rFonts w:eastAsia="Calibri"/>
          <w:sz w:val="20"/>
          <w:szCs w:val="20"/>
          <w:lang w:val="en-US" w:bidi="ar-DZ"/>
        </w:rPr>
        <w:t xml:space="preserve"> and TNF-</w:t>
      </w:r>
      <w:r w:rsidRPr="00B1458C">
        <w:rPr>
          <w:rFonts w:eastAsia="Calibri"/>
          <w:sz w:val="20"/>
          <w:szCs w:val="20"/>
          <w:lang w:bidi="ar-DZ"/>
        </w:rPr>
        <w:t>α</w:t>
      </w:r>
      <w:r w:rsidRPr="005D4197">
        <w:rPr>
          <w:rFonts w:eastAsia="Calibri"/>
          <w:sz w:val="20"/>
          <w:szCs w:val="20"/>
          <w:lang w:val="en-US" w:bidi="ar-DZ"/>
        </w:rPr>
        <w:t xml:space="preserve"> in intervertebral disc degeneration. Biomedicine &amp; Pharmacotherapy, 131, 110660.</w:t>
      </w:r>
    </w:p>
    <w:p w14:paraId="1EF50105" w14:textId="77777777" w:rsidR="00B1458C" w:rsidRPr="005D4197" w:rsidRDefault="00B1458C" w:rsidP="00B1458C">
      <w:pPr>
        <w:spacing w:before="0" w:after="200" w:line="276" w:lineRule="auto"/>
        <w:jc w:val="left"/>
        <w:rPr>
          <w:rFonts w:eastAsia="Calibri"/>
          <w:sz w:val="20"/>
          <w:szCs w:val="20"/>
          <w:lang w:val="en-US"/>
        </w:rPr>
      </w:pPr>
      <w:r w:rsidRPr="005D4197">
        <w:rPr>
          <w:rFonts w:eastAsia="Calibri"/>
          <w:sz w:val="20"/>
          <w:szCs w:val="20"/>
          <w:lang w:val="en-US"/>
        </w:rPr>
        <w:t>Yamauchi, T.; Kamon, J.; Waki, H.; Terauchi, Y.; Kubota, N.; Hara, K.; Mori, Y.; Ide, T.; Murakami, K.; Tsuboyama-Kasaoka, N.; et al. The fat-derived hormone adiponectin reverses insulin resistance associated with both lipoatrophy and obesity. Nat. Med. 2001, 7, 941–946.</w:t>
      </w:r>
    </w:p>
    <w:p w14:paraId="3834ED97"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Yu, M., Yang, Y., Huang, C., Ge, L., Xue, L., Xiao, Z., ... &amp; Zhang, J. V. (2022). Chemerin: a functional adipokine in reproductive health and diseases. Biomedicines, 10(8), 1910.</w:t>
      </w:r>
    </w:p>
    <w:p w14:paraId="618B8C5A" w14:textId="77777777" w:rsidR="00B1458C" w:rsidRPr="00C01659"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 xml:space="preserve">Yu, M., Yang, Y., Huang, C., Ge, L., Xue, L., Xiao, Z., ... &amp; Zhang, J. V. (2022). Chemerin: a functional adipokine in reproductive health and diseases. </w:t>
      </w:r>
      <w:r w:rsidRPr="00C01659">
        <w:rPr>
          <w:rFonts w:eastAsia="Calibri"/>
          <w:sz w:val="20"/>
          <w:szCs w:val="20"/>
          <w:lang w:val="en-US" w:bidi="ar-DZ"/>
        </w:rPr>
        <w:t>Biomedicines, 10(8), 1910.</w:t>
      </w:r>
      <w:r w:rsidRPr="00B1458C">
        <w:rPr>
          <w:rFonts w:eastAsia="Calibri"/>
          <w:sz w:val="20"/>
          <w:szCs w:val="20"/>
          <w:rtl/>
          <w:lang w:bidi="ar-DZ"/>
        </w:rPr>
        <w:t>‏</w:t>
      </w:r>
    </w:p>
    <w:p w14:paraId="41943203" w14:textId="77777777" w:rsidR="00B1458C" w:rsidRPr="005D4197" w:rsidRDefault="00B1458C" w:rsidP="00B1458C">
      <w:pPr>
        <w:spacing w:before="0" w:after="200" w:line="276" w:lineRule="auto"/>
        <w:jc w:val="left"/>
        <w:rPr>
          <w:rFonts w:eastAsia="Calibri"/>
          <w:sz w:val="20"/>
          <w:szCs w:val="20"/>
          <w:lang w:val="en-US" w:bidi="ar-DZ"/>
        </w:rPr>
      </w:pPr>
      <w:r w:rsidRPr="005D4197">
        <w:rPr>
          <w:rFonts w:eastAsia="Calibri"/>
          <w:sz w:val="20"/>
          <w:szCs w:val="20"/>
          <w:lang w:val="en-US" w:bidi="ar-DZ"/>
        </w:rPr>
        <w:t>Zabel B.A., Silverio A.M., Butcher E.C. Chemokine-like receptor 1 expression and chemerin-directed chemotaxis distinguish plasmacytoid from myeloid dendritic cells in human blood. J. Immunol. 2005;174:244–251. doi: 10.4049/jimmunol.174.1.244.</w:t>
      </w:r>
    </w:p>
    <w:p w14:paraId="2409DA85" w14:textId="77777777" w:rsidR="009F4854" w:rsidRDefault="00B1458C" w:rsidP="009F4854">
      <w:pPr>
        <w:spacing w:line="276" w:lineRule="auto"/>
        <w:rPr>
          <w:rFonts w:asciiTheme="majorBidi" w:hAnsiTheme="majorBidi" w:cstheme="majorBidi"/>
          <w:color w:val="000000" w:themeColor="text1"/>
          <w:sz w:val="20"/>
          <w:szCs w:val="20"/>
          <w:lang w:val="en-US" w:eastAsia="fr-FR"/>
        </w:rPr>
      </w:pPr>
      <w:r w:rsidRPr="005D4197">
        <w:rPr>
          <w:rFonts w:eastAsia="Calibri"/>
          <w:sz w:val="20"/>
          <w:szCs w:val="20"/>
          <w:lang w:val="en-US" w:bidi="ar-DZ"/>
        </w:rPr>
        <w:t xml:space="preserve">Zhang L, Curhan GC, Forman JP. Plasma resistin levels associate with risk for hypertension among nondiabetic  </w:t>
      </w:r>
      <w:r w:rsidR="009F4854" w:rsidRPr="00AA2CEF">
        <w:rPr>
          <w:rFonts w:asciiTheme="majorBidi" w:hAnsiTheme="majorBidi" w:cstheme="majorBidi"/>
          <w:color w:val="000000" w:themeColor="text1"/>
          <w:sz w:val="20"/>
          <w:szCs w:val="20"/>
          <w:shd w:val="clear" w:color="auto" w:fill="FFFFFF"/>
          <w:lang w:val="en-US"/>
        </w:rPr>
        <w:t>Ahima, R. S., &amp; Flier, J. S. (2000). Adipose tissue as an endocrine organ. Trends in Endocrinology &amp; Metabolism, 11(8), 327-332.</w:t>
      </w:r>
    </w:p>
    <w:p w14:paraId="2910EB9F" w14:textId="77777777" w:rsidR="009F4854" w:rsidRDefault="009F4854" w:rsidP="009F4854">
      <w:pPr>
        <w:spacing w:line="276" w:lineRule="auto"/>
        <w:rPr>
          <w:rFonts w:asciiTheme="majorBidi" w:hAnsiTheme="majorBidi" w:cstheme="majorBidi"/>
          <w:color w:val="000000" w:themeColor="text1"/>
          <w:sz w:val="20"/>
          <w:szCs w:val="20"/>
          <w:lang w:val="en-US" w:eastAsia="fr-FR"/>
        </w:rPr>
      </w:pPr>
      <w:r w:rsidRPr="00AA2CEF">
        <w:rPr>
          <w:rFonts w:asciiTheme="majorBidi" w:hAnsiTheme="majorBidi" w:cstheme="majorBidi"/>
          <w:color w:val="000000" w:themeColor="text1"/>
          <w:sz w:val="20"/>
          <w:szCs w:val="20"/>
          <w:lang w:val="en-US" w:eastAsia="fr-FR"/>
        </w:rPr>
        <w:t>Choe, S. S., Huh, J. Y., Hwang, I. J., Kim, J. I., &amp; Kim, J. B. (2016). Adipose tissue remodeling: its role in energy metabolism and metabolic disorders. </w:t>
      </w:r>
      <w:r w:rsidRPr="00AA2CEF">
        <w:rPr>
          <w:rFonts w:asciiTheme="majorBidi" w:hAnsiTheme="majorBidi" w:cstheme="majorBidi"/>
          <w:i/>
          <w:iCs/>
          <w:color w:val="000000" w:themeColor="text1"/>
          <w:sz w:val="20"/>
          <w:szCs w:val="20"/>
          <w:lang w:val="en-US" w:eastAsia="fr-FR"/>
        </w:rPr>
        <w:t>Frontiers in endocrinology</w:t>
      </w:r>
      <w:r w:rsidRPr="00AA2CEF">
        <w:rPr>
          <w:rFonts w:asciiTheme="majorBidi" w:hAnsiTheme="majorBidi" w:cstheme="majorBidi"/>
          <w:color w:val="000000" w:themeColor="text1"/>
          <w:sz w:val="20"/>
          <w:szCs w:val="20"/>
          <w:lang w:val="en-US" w:eastAsia="fr-FR"/>
        </w:rPr>
        <w:t>, </w:t>
      </w:r>
      <w:r w:rsidRPr="00AA2CEF">
        <w:rPr>
          <w:rFonts w:asciiTheme="majorBidi" w:hAnsiTheme="majorBidi" w:cstheme="majorBidi"/>
          <w:i/>
          <w:iCs/>
          <w:color w:val="000000" w:themeColor="text1"/>
          <w:sz w:val="20"/>
          <w:szCs w:val="20"/>
          <w:lang w:val="en-US" w:eastAsia="fr-FR"/>
        </w:rPr>
        <w:t>7</w:t>
      </w:r>
      <w:r w:rsidRPr="00AA2CEF">
        <w:rPr>
          <w:rFonts w:asciiTheme="majorBidi" w:hAnsiTheme="majorBidi" w:cstheme="majorBidi"/>
          <w:color w:val="000000" w:themeColor="text1"/>
          <w:sz w:val="20"/>
          <w:szCs w:val="20"/>
          <w:lang w:val="en-US" w:eastAsia="fr-FR"/>
        </w:rPr>
        <w:t>, 30</w:t>
      </w:r>
      <w:r w:rsidRPr="00AA2CEF">
        <w:rPr>
          <w:rFonts w:asciiTheme="majorBidi" w:hAnsiTheme="majorBidi" w:cstheme="majorBidi"/>
          <w:b/>
          <w:bCs/>
          <w:color w:val="000000" w:themeColor="text1"/>
          <w:sz w:val="20"/>
          <w:szCs w:val="20"/>
          <w:lang w:val="en-US"/>
        </w:rPr>
        <w:t xml:space="preserve"> </w:t>
      </w:r>
      <w:r w:rsidRPr="00AA2CEF">
        <w:rPr>
          <w:rFonts w:asciiTheme="majorBidi" w:hAnsiTheme="majorBidi" w:cstheme="majorBidi"/>
          <w:color w:val="000000" w:themeColor="text1"/>
          <w:sz w:val="20"/>
          <w:szCs w:val="20"/>
          <w:lang w:val="en-US" w:eastAsia="fr-FR"/>
        </w:rPr>
        <w:tab/>
      </w:r>
    </w:p>
    <w:p w14:paraId="092BFB4C" w14:textId="77777777" w:rsidR="009F4854" w:rsidRPr="00AA2CEF" w:rsidRDefault="009F4854" w:rsidP="009F4854">
      <w:pPr>
        <w:spacing w:line="276" w:lineRule="auto"/>
        <w:rPr>
          <w:rFonts w:asciiTheme="majorBidi" w:hAnsiTheme="majorBidi" w:cstheme="majorBidi"/>
          <w:color w:val="000000" w:themeColor="text1"/>
          <w:sz w:val="20"/>
          <w:szCs w:val="20"/>
          <w:lang w:val="en-US" w:eastAsia="fr-FR"/>
        </w:rPr>
      </w:pPr>
      <w:r w:rsidRPr="00770ADD">
        <w:rPr>
          <w:rFonts w:asciiTheme="majorBidi" w:hAnsiTheme="majorBidi" w:cstheme="majorBidi"/>
          <w:color w:val="000000" w:themeColor="text1"/>
          <w:sz w:val="20"/>
          <w:szCs w:val="20"/>
          <w:shd w:val="clear" w:color="auto" w:fill="FFFFFF"/>
          <w:lang w:val="en-US"/>
        </w:rPr>
        <w:t xml:space="preserve">Chait, A., &amp; Den Hartigh, L. J. (2020). Adipose tissue distribution, inflammation and its metabolic </w:t>
      </w:r>
    </w:p>
    <w:p w14:paraId="77543F7D" w14:textId="77777777" w:rsidR="009F4854" w:rsidRDefault="009F4854" w:rsidP="009F4854">
      <w:pPr>
        <w:pStyle w:val="Paragraphedeliste"/>
        <w:ind w:left="0"/>
        <w:rPr>
          <w:rFonts w:asciiTheme="majorBidi" w:hAnsiTheme="majorBidi" w:cstheme="majorBidi"/>
          <w:color w:val="000000" w:themeColor="text1"/>
          <w:sz w:val="20"/>
          <w:szCs w:val="20"/>
          <w:shd w:val="clear" w:color="auto" w:fill="FFFFFF"/>
        </w:rPr>
      </w:pPr>
      <w:r w:rsidRPr="00770ADD">
        <w:rPr>
          <w:rFonts w:asciiTheme="majorBidi" w:hAnsiTheme="majorBidi" w:cstheme="majorBidi"/>
          <w:color w:val="000000" w:themeColor="text1"/>
          <w:sz w:val="20"/>
          <w:szCs w:val="20"/>
          <w:shd w:val="clear" w:color="auto" w:fill="FFFFFF"/>
          <w:lang w:val="en-US"/>
        </w:rPr>
        <w:t>consequences, including diabetes and cardiovascular disease. </w:t>
      </w:r>
      <w:r w:rsidRPr="00770ADD">
        <w:rPr>
          <w:rFonts w:asciiTheme="majorBidi" w:hAnsiTheme="majorBidi" w:cstheme="majorBidi"/>
          <w:i/>
          <w:iCs/>
          <w:color w:val="000000" w:themeColor="text1"/>
          <w:sz w:val="20"/>
          <w:szCs w:val="20"/>
          <w:shd w:val="clear" w:color="auto" w:fill="FFFFFF"/>
        </w:rPr>
        <w:t>Frontiers in cardiovascular medicine</w:t>
      </w:r>
      <w:r w:rsidRPr="00770ADD">
        <w:rPr>
          <w:rFonts w:asciiTheme="majorBidi" w:hAnsiTheme="majorBidi" w:cstheme="majorBidi"/>
          <w:color w:val="000000" w:themeColor="text1"/>
          <w:sz w:val="20"/>
          <w:szCs w:val="20"/>
          <w:shd w:val="clear" w:color="auto" w:fill="FFFFFF"/>
        </w:rPr>
        <w:t>, </w:t>
      </w:r>
      <w:r w:rsidRPr="00770ADD">
        <w:rPr>
          <w:rFonts w:asciiTheme="majorBidi" w:hAnsiTheme="majorBidi" w:cstheme="majorBidi"/>
          <w:i/>
          <w:iCs/>
          <w:color w:val="000000" w:themeColor="text1"/>
          <w:sz w:val="20"/>
          <w:szCs w:val="20"/>
          <w:shd w:val="clear" w:color="auto" w:fill="FFFFFF"/>
        </w:rPr>
        <w:t>7</w:t>
      </w:r>
      <w:r w:rsidRPr="00770ADD">
        <w:rPr>
          <w:rFonts w:asciiTheme="majorBidi" w:hAnsiTheme="majorBidi" w:cstheme="majorBidi"/>
          <w:color w:val="000000" w:themeColor="text1"/>
          <w:sz w:val="20"/>
          <w:szCs w:val="20"/>
          <w:shd w:val="clear" w:color="auto" w:fill="FFFFFF"/>
        </w:rPr>
        <w:t>, 522637.</w:t>
      </w:r>
    </w:p>
    <w:p w14:paraId="7614970B" w14:textId="77777777" w:rsidR="009F4854" w:rsidRPr="00AA2CEF" w:rsidRDefault="009F4854" w:rsidP="009F4854">
      <w:pPr>
        <w:pStyle w:val="Paragraphedeliste"/>
        <w:ind w:left="0"/>
        <w:rPr>
          <w:rFonts w:asciiTheme="majorBidi" w:hAnsiTheme="majorBidi" w:cstheme="majorBidi"/>
          <w:color w:val="000000" w:themeColor="text1"/>
          <w:sz w:val="20"/>
          <w:szCs w:val="20"/>
          <w:shd w:val="clear" w:color="auto" w:fill="FFFFFF"/>
        </w:rPr>
      </w:pPr>
      <w:r w:rsidRPr="00770ADD">
        <w:rPr>
          <w:rFonts w:asciiTheme="majorBidi" w:hAnsiTheme="majorBidi" w:cstheme="majorBidi"/>
          <w:color w:val="222222"/>
          <w:sz w:val="20"/>
          <w:szCs w:val="20"/>
          <w:shd w:val="clear" w:color="auto" w:fill="FFFFFF"/>
        </w:rPr>
        <w:t>Alligier, M., Seyssel, K., Disse, E., &amp; Laville, M. (2013). Le tissu adipeux: couleur, localisation, fonctions et autres données nouvelles. </w:t>
      </w:r>
      <w:r w:rsidRPr="00770ADD">
        <w:rPr>
          <w:rFonts w:asciiTheme="majorBidi" w:hAnsiTheme="majorBidi" w:cstheme="majorBidi"/>
          <w:i/>
          <w:iCs/>
          <w:color w:val="222222"/>
          <w:sz w:val="20"/>
          <w:szCs w:val="20"/>
          <w:shd w:val="clear" w:color="auto" w:fill="FFFFFF"/>
        </w:rPr>
        <w:t>Paris: LES ÉDITIONS DE MÉDECINE PRATIQUE</w:t>
      </w:r>
      <w:r w:rsidRPr="00770ADD">
        <w:rPr>
          <w:rFonts w:asciiTheme="majorBidi" w:hAnsiTheme="majorBidi" w:cstheme="majorBidi"/>
          <w:color w:val="222222"/>
          <w:sz w:val="20"/>
          <w:szCs w:val="20"/>
          <w:shd w:val="clear" w:color="auto" w:fill="FFFFFF"/>
        </w:rPr>
        <w:t>.</w:t>
      </w:r>
    </w:p>
    <w:p w14:paraId="0EF36BEC" w14:textId="77777777" w:rsidR="009F4854" w:rsidRPr="00AA2CEF" w:rsidRDefault="009F4854" w:rsidP="009F4854">
      <w:pPr>
        <w:pStyle w:val="Paragraphedeliste"/>
        <w:ind w:left="0"/>
        <w:rPr>
          <w:rFonts w:asciiTheme="majorBidi" w:hAnsiTheme="majorBidi" w:cstheme="majorBidi"/>
          <w:color w:val="000000" w:themeColor="text1"/>
          <w:sz w:val="20"/>
          <w:szCs w:val="20"/>
        </w:rPr>
      </w:pPr>
    </w:p>
    <w:p w14:paraId="2B7FF801" w14:textId="77777777" w:rsidR="009F4854" w:rsidRPr="00770ADD" w:rsidRDefault="009F4854" w:rsidP="009F4854">
      <w:pPr>
        <w:pStyle w:val="Paragraphedeliste"/>
        <w:ind w:left="0"/>
        <w:rPr>
          <w:rFonts w:asciiTheme="majorBidi" w:hAnsiTheme="majorBidi" w:cstheme="majorBidi"/>
          <w:color w:val="000000" w:themeColor="text1"/>
          <w:sz w:val="20"/>
          <w:szCs w:val="20"/>
          <w:shd w:val="clear" w:color="auto" w:fill="FFFFFF"/>
        </w:rPr>
      </w:pPr>
      <w:r w:rsidRPr="00AA2CEF">
        <w:rPr>
          <w:rFonts w:asciiTheme="majorBidi" w:hAnsiTheme="majorBidi" w:cstheme="majorBidi"/>
          <w:color w:val="000000" w:themeColor="text1"/>
          <w:sz w:val="20"/>
          <w:szCs w:val="20"/>
          <w:shd w:val="clear" w:color="auto" w:fill="FFFFFF"/>
        </w:rPr>
        <w:t xml:space="preserve">Carey, A. L., Formosa, M. F., Van Every, B., Bertovic, D., Eikelis, N., Lambert, G. W., ... </w:t>
      </w:r>
      <w:r w:rsidRPr="00770ADD">
        <w:rPr>
          <w:rFonts w:asciiTheme="majorBidi" w:hAnsiTheme="majorBidi" w:cstheme="majorBidi"/>
          <w:color w:val="000000" w:themeColor="text1"/>
          <w:sz w:val="20"/>
          <w:szCs w:val="20"/>
          <w:shd w:val="clear" w:color="auto" w:fill="FFFFFF"/>
          <w:lang w:val="en-US"/>
        </w:rPr>
        <w:t>&amp; Kingwell, B. A. (2013). Ephedrine activates brown adipose tissue in lean but not obese humans. </w:t>
      </w:r>
      <w:r w:rsidRPr="00770ADD">
        <w:rPr>
          <w:rFonts w:asciiTheme="majorBidi" w:hAnsiTheme="majorBidi" w:cstheme="majorBidi"/>
          <w:i/>
          <w:iCs/>
          <w:color w:val="000000" w:themeColor="text1"/>
          <w:sz w:val="20"/>
          <w:szCs w:val="20"/>
          <w:shd w:val="clear" w:color="auto" w:fill="FFFFFF"/>
        </w:rPr>
        <w:t>Diabetologia</w:t>
      </w:r>
      <w:r w:rsidRPr="00770ADD">
        <w:rPr>
          <w:rFonts w:asciiTheme="majorBidi" w:hAnsiTheme="majorBidi" w:cstheme="majorBidi"/>
          <w:color w:val="000000" w:themeColor="text1"/>
          <w:sz w:val="20"/>
          <w:szCs w:val="20"/>
          <w:shd w:val="clear" w:color="auto" w:fill="FFFFFF"/>
        </w:rPr>
        <w:t>, </w:t>
      </w:r>
      <w:r w:rsidRPr="00770ADD">
        <w:rPr>
          <w:rFonts w:asciiTheme="majorBidi" w:hAnsiTheme="majorBidi" w:cstheme="majorBidi"/>
          <w:i/>
          <w:iCs/>
          <w:color w:val="000000" w:themeColor="text1"/>
          <w:sz w:val="20"/>
          <w:szCs w:val="20"/>
          <w:shd w:val="clear" w:color="auto" w:fill="FFFFFF"/>
        </w:rPr>
        <w:t>56</w:t>
      </w:r>
      <w:r w:rsidRPr="00770ADD">
        <w:rPr>
          <w:rFonts w:asciiTheme="majorBidi" w:hAnsiTheme="majorBidi" w:cstheme="majorBidi"/>
          <w:color w:val="000000" w:themeColor="text1"/>
          <w:sz w:val="20"/>
          <w:szCs w:val="20"/>
          <w:shd w:val="clear" w:color="auto" w:fill="FFFFFF"/>
        </w:rPr>
        <w:t>, 147-155</w:t>
      </w:r>
    </w:p>
    <w:p w14:paraId="675A0BD6" w14:textId="77777777" w:rsidR="009F4854" w:rsidRPr="00AA2CEF" w:rsidRDefault="009F4854" w:rsidP="009F4854">
      <w:pPr>
        <w:spacing w:line="276" w:lineRule="auto"/>
        <w:rPr>
          <w:rFonts w:asciiTheme="majorBidi" w:hAnsiTheme="majorBidi" w:cstheme="majorBidi"/>
          <w:color w:val="000000" w:themeColor="text1"/>
          <w:sz w:val="20"/>
          <w:szCs w:val="20"/>
          <w:shd w:val="clear" w:color="auto" w:fill="FFFFFF"/>
          <w:lang w:val="en-US"/>
        </w:rPr>
      </w:pPr>
      <w:r w:rsidRPr="008E30C5">
        <w:rPr>
          <w:rFonts w:asciiTheme="majorBidi" w:hAnsiTheme="majorBidi" w:cstheme="majorBidi"/>
          <w:color w:val="000000" w:themeColor="text1"/>
          <w:sz w:val="20"/>
          <w:szCs w:val="20"/>
          <w:shd w:val="clear" w:color="auto" w:fill="FFFFFF"/>
          <w:lang w:val="en-US"/>
        </w:rPr>
        <w:t xml:space="preserve">Kuhn, E., Binart, N., &amp; Lombès, M. (2012, October). </w:t>
      </w:r>
      <w:r w:rsidRPr="00770ADD">
        <w:rPr>
          <w:rFonts w:asciiTheme="majorBidi" w:hAnsiTheme="majorBidi" w:cstheme="majorBidi"/>
          <w:color w:val="000000" w:themeColor="text1"/>
          <w:sz w:val="20"/>
          <w:szCs w:val="20"/>
          <w:shd w:val="clear" w:color="auto" w:fill="FFFFFF"/>
        </w:rPr>
        <w:t xml:space="preserve">Brun, blanc, beige: la couleur du gras et nouvelles perspectives thérapeutiques de l’obésité…. </w:t>
      </w:r>
      <w:r w:rsidRPr="00AA2CEF">
        <w:rPr>
          <w:rFonts w:asciiTheme="majorBidi" w:hAnsiTheme="majorBidi" w:cstheme="majorBidi"/>
          <w:color w:val="000000" w:themeColor="text1"/>
          <w:sz w:val="20"/>
          <w:szCs w:val="20"/>
          <w:shd w:val="clear" w:color="auto" w:fill="FFFFFF"/>
          <w:lang w:val="en-US"/>
        </w:rPr>
        <w:t>In </w:t>
      </w:r>
      <w:r w:rsidRPr="00AA2CEF">
        <w:rPr>
          <w:rFonts w:asciiTheme="majorBidi" w:hAnsiTheme="majorBidi" w:cstheme="majorBidi"/>
          <w:i/>
          <w:iCs/>
          <w:color w:val="000000" w:themeColor="text1"/>
          <w:sz w:val="20"/>
          <w:szCs w:val="20"/>
          <w:shd w:val="clear" w:color="auto" w:fill="FFFFFF"/>
          <w:lang w:val="en-US"/>
        </w:rPr>
        <w:t>Annales d'endocrinologie</w:t>
      </w:r>
      <w:r w:rsidRPr="00AA2CEF">
        <w:rPr>
          <w:rFonts w:asciiTheme="majorBidi" w:hAnsiTheme="majorBidi" w:cstheme="majorBidi"/>
          <w:color w:val="000000" w:themeColor="text1"/>
          <w:sz w:val="20"/>
          <w:szCs w:val="20"/>
          <w:shd w:val="clear" w:color="auto" w:fill="FFFFFF"/>
          <w:lang w:val="en-US"/>
        </w:rPr>
        <w:t> (Vol. 73, pp. S2-S8). Elsevier Masson.</w:t>
      </w:r>
      <w:r w:rsidRPr="00770ADD">
        <w:rPr>
          <w:rFonts w:asciiTheme="majorBidi" w:hAnsiTheme="majorBidi" w:cstheme="majorBidi"/>
          <w:color w:val="000000" w:themeColor="text1"/>
          <w:sz w:val="20"/>
          <w:szCs w:val="20"/>
          <w:shd w:val="clear" w:color="auto" w:fill="FFFFFF"/>
          <w:rtl/>
        </w:rPr>
        <w:t>‏</w:t>
      </w:r>
    </w:p>
    <w:p w14:paraId="048509E8" w14:textId="77777777" w:rsidR="009F4854" w:rsidRPr="00770ADD" w:rsidRDefault="009F4854" w:rsidP="009F4854">
      <w:pPr>
        <w:pStyle w:val="Paragraphedeliste"/>
        <w:ind w:left="0"/>
        <w:rPr>
          <w:rFonts w:asciiTheme="majorBidi" w:hAnsiTheme="majorBidi" w:cstheme="majorBidi"/>
          <w:color w:val="000000" w:themeColor="text1"/>
          <w:sz w:val="20"/>
          <w:szCs w:val="20"/>
          <w:shd w:val="clear" w:color="auto" w:fill="FFFFFF"/>
        </w:rPr>
      </w:pPr>
      <w:r w:rsidRPr="00770ADD">
        <w:rPr>
          <w:rFonts w:asciiTheme="majorBidi" w:hAnsiTheme="majorBidi" w:cstheme="majorBidi"/>
          <w:color w:val="000000" w:themeColor="text1"/>
          <w:sz w:val="20"/>
          <w:szCs w:val="20"/>
          <w:shd w:val="clear" w:color="auto" w:fill="FFFFFF"/>
          <w:lang w:val="en-US"/>
        </w:rPr>
        <w:t>Tordjman, J. (2013). Histology of normal and pathological white adipose tissue. </w:t>
      </w:r>
      <w:r w:rsidRPr="00770ADD">
        <w:rPr>
          <w:rFonts w:asciiTheme="majorBidi" w:hAnsiTheme="majorBidi" w:cstheme="majorBidi"/>
          <w:i/>
          <w:iCs/>
          <w:color w:val="000000" w:themeColor="text1"/>
          <w:sz w:val="20"/>
          <w:szCs w:val="20"/>
          <w:shd w:val="clear" w:color="auto" w:fill="FFFFFF"/>
        </w:rPr>
        <w:t>Obésité</w:t>
      </w:r>
      <w:r w:rsidRPr="00770ADD">
        <w:rPr>
          <w:rFonts w:asciiTheme="majorBidi" w:hAnsiTheme="majorBidi" w:cstheme="majorBidi"/>
          <w:color w:val="000000" w:themeColor="text1"/>
          <w:sz w:val="20"/>
          <w:szCs w:val="20"/>
          <w:shd w:val="clear" w:color="auto" w:fill="FFFFFF"/>
        </w:rPr>
        <w:t>, </w:t>
      </w:r>
      <w:r w:rsidRPr="00770ADD">
        <w:rPr>
          <w:rFonts w:asciiTheme="majorBidi" w:hAnsiTheme="majorBidi" w:cstheme="majorBidi"/>
          <w:i/>
          <w:iCs/>
          <w:color w:val="000000" w:themeColor="text1"/>
          <w:sz w:val="20"/>
          <w:szCs w:val="20"/>
          <w:shd w:val="clear" w:color="auto" w:fill="FFFFFF"/>
        </w:rPr>
        <w:t>8</w:t>
      </w:r>
      <w:r w:rsidRPr="00770ADD">
        <w:rPr>
          <w:rFonts w:asciiTheme="majorBidi" w:hAnsiTheme="majorBidi" w:cstheme="majorBidi"/>
          <w:color w:val="000000" w:themeColor="text1"/>
          <w:sz w:val="20"/>
          <w:szCs w:val="20"/>
          <w:shd w:val="clear" w:color="auto" w:fill="FFFFFF"/>
        </w:rPr>
        <w:t>, 228-233</w:t>
      </w:r>
    </w:p>
    <w:p w14:paraId="7ED9B1BD" w14:textId="77777777" w:rsidR="009F4854" w:rsidRPr="00770ADD" w:rsidRDefault="009F4854" w:rsidP="009F4854">
      <w:pPr>
        <w:spacing w:line="276" w:lineRule="auto"/>
        <w:rPr>
          <w:rFonts w:asciiTheme="majorBidi" w:hAnsiTheme="majorBidi" w:cstheme="majorBidi"/>
          <w:color w:val="000000" w:themeColor="text1"/>
          <w:sz w:val="20"/>
          <w:szCs w:val="20"/>
          <w:shd w:val="clear" w:color="auto" w:fill="FFFFFF"/>
        </w:rPr>
      </w:pPr>
      <w:r w:rsidRPr="008E30C5">
        <w:rPr>
          <w:rFonts w:asciiTheme="majorBidi" w:hAnsiTheme="majorBidi" w:cstheme="majorBidi"/>
          <w:color w:val="000000" w:themeColor="text1"/>
          <w:sz w:val="20"/>
          <w:szCs w:val="20"/>
          <w:shd w:val="clear" w:color="auto" w:fill="FFFFFF"/>
          <w:lang w:val="en-US"/>
        </w:rPr>
        <w:lastRenderedPageBreak/>
        <w:t xml:space="preserve">Ouchi, N., Parker, J. L., Lugus, J. J., &amp; Walsh, K. (2011). </w:t>
      </w:r>
      <w:r w:rsidRPr="00AA2CEF">
        <w:rPr>
          <w:rFonts w:asciiTheme="majorBidi" w:hAnsiTheme="majorBidi" w:cstheme="majorBidi"/>
          <w:color w:val="000000" w:themeColor="text1"/>
          <w:sz w:val="20"/>
          <w:szCs w:val="20"/>
          <w:shd w:val="clear" w:color="auto" w:fill="FFFFFF"/>
          <w:lang w:val="en-US"/>
        </w:rPr>
        <w:t>Adipokines in inflammation and metabolic disease. </w:t>
      </w:r>
      <w:r w:rsidRPr="00770ADD">
        <w:rPr>
          <w:rFonts w:asciiTheme="majorBidi" w:hAnsiTheme="majorBidi" w:cstheme="majorBidi"/>
          <w:i/>
          <w:iCs/>
          <w:color w:val="000000" w:themeColor="text1"/>
          <w:sz w:val="20"/>
          <w:szCs w:val="20"/>
          <w:shd w:val="clear" w:color="auto" w:fill="FFFFFF"/>
        </w:rPr>
        <w:t>Nature reviews immunology</w:t>
      </w:r>
      <w:r w:rsidRPr="00770ADD">
        <w:rPr>
          <w:rFonts w:asciiTheme="majorBidi" w:hAnsiTheme="majorBidi" w:cstheme="majorBidi"/>
          <w:color w:val="000000" w:themeColor="text1"/>
          <w:sz w:val="20"/>
          <w:szCs w:val="20"/>
          <w:shd w:val="clear" w:color="auto" w:fill="FFFFFF"/>
        </w:rPr>
        <w:t>, </w:t>
      </w:r>
      <w:r w:rsidRPr="00770ADD">
        <w:rPr>
          <w:rFonts w:asciiTheme="majorBidi" w:hAnsiTheme="majorBidi" w:cstheme="majorBidi"/>
          <w:i/>
          <w:iCs/>
          <w:color w:val="000000" w:themeColor="text1"/>
          <w:sz w:val="20"/>
          <w:szCs w:val="20"/>
          <w:shd w:val="clear" w:color="auto" w:fill="FFFFFF"/>
        </w:rPr>
        <w:t>11</w:t>
      </w:r>
      <w:r w:rsidRPr="00770ADD">
        <w:rPr>
          <w:rFonts w:asciiTheme="majorBidi" w:hAnsiTheme="majorBidi" w:cstheme="majorBidi"/>
          <w:color w:val="000000" w:themeColor="text1"/>
          <w:sz w:val="20"/>
          <w:szCs w:val="20"/>
          <w:shd w:val="clear" w:color="auto" w:fill="FFFFFF"/>
        </w:rPr>
        <w:t>(2), 85-97.</w:t>
      </w:r>
      <w:r w:rsidRPr="00770ADD">
        <w:rPr>
          <w:rFonts w:asciiTheme="majorBidi" w:hAnsiTheme="majorBidi" w:cstheme="majorBidi"/>
          <w:color w:val="000000" w:themeColor="text1"/>
          <w:sz w:val="20"/>
          <w:szCs w:val="20"/>
          <w:shd w:val="clear" w:color="auto" w:fill="FFFFFF"/>
          <w:rtl/>
        </w:rPr>
        <w:t>‏</w:t>
      </w:r>
    </w:p>
    <w:p w14:paraId="0084A32A" w14:textId="77777777" w:rsidR="009F4854" w:rsidRPr="001539BA" w:rsidRDefault="009F4854" w:rsidP="009F4854">
      <w:pPr>
        <w:spacing w:line="276" w:lineRule="auto"/>
        <w:rPr>
          <w:rFonts w:asciiTheme="majorBidi" w:hAnsiTheme="majorBidi" w:cstheme="majorBidi"/>
          <w:color w:val="000000" w:themeColor="text1"/>
          <w:sz w:val="20"/>
          <w:szCs w:val="20"/>
        </w:rPr>
      </w:pPr>
      <w:r w:rsidRPr="00770ADD">
        <w:rPr>
          <w:rFonts w:asciiTheme="majorBidi" w:hAnsiTheme="majorBidi" w:cstheme="majorBidi"/>
          <w:color w:val="000000" w:themeColor="text1"/>
          <w:sz w:val="20"/>
          <w:szCs w:val="20"/>
        </w:rPr>
        <w:t xml:space="preserve">Elaine N. Marieb, Biologie humaine : Principes d’anatomie et de physiologie, Canada, 8émé édition, 2008. </w:t>
      </w:r>
      <w:r w:rsidRPr="001539BA">
        <w:rPr>
          <w:rFonts w:asciiTheme="majorBidi" w:hAnsiTheme="majorBidi" w:cstheme="majorBidi"/>
          <w:color w:val="000000" w:themeColor="text1"/>
          <w:sz w:val="20"/>
          <w:szCs w:val="20"/>
        </w:rPr>
        <w:t>P 88,223-.229, 346</w:t>
      </w:r>
    </w:p>
    <w:p w14:paraId="32FC4D75" w14:textId="77777777" w:rsidR="009F4854" w:rsidRPr="00770ADD" w:rsidRDefault="009F4854" w:rsidP="009F4854">
      <w:pPr>
        <w:spacing w:line="276" w:lineRule="auto"/>
        <w:rPr>
          <w:rFonts w:asciiTheme="majorBidi" w:hAnsiTheme="majorBidi" w:cstheme="majorBidi"/>
          <w:color w:val="000000" w:themeColor="text1"/>
          <w:sz w:val="20"/>
          <w:szCs w:val="20"/>
          <w:lang w:eastAsia="fr-FR"/>
        </w:rPr>
      </w:pPr>
      <w:r w:rsidRPr="00770ADD">
        <w:rPr>
          <w:rFonts w:asciiTheme="majorBidi" w:hAnsiTheme="majorBidi" w:cstheme="majorBidi"/>
          <w:color w:val="000000" w:themeColor="text1"/>
          <w:sz w:val="20"/>
          <w:szCs w:val="20"/>
          <w:shd w:val="clear" w:color="auto" w:fill="FFFFFF"/>
        </w:rPr>
        <w:t>Alligier, M., Seyssel, K., Disse, E., &amp; Laville, M. (2013). Le tissu adipeux: couleur, localisation, fonctions et autres données nouvelles. </w:t>
      </w:r>
      <w:r w:rsidRPr="00770ADD">
        <w:rPr>
          <w:rFonts w:asciiTheme="majorBidi" w:hAnsiTheme="majorBidi" w:cstheme="majorBidi"/>
          <w:i/>
          <w:iCs/>
          <w:color w:val="000000" w:themeColor="text1"/>
          <w:sz w:val="20"/>
          <w:szCs w:val="20"/>
          <w:shd w:val="clear" w:color="auto" w:fill="FFFFFF"/>
        </w:rPr>
        <w:t xml:space="preserve">Paris: </w:t>
      </w:r>
      <w:r w:rsidRPr="00947514">
        <w:rPr>
          <w:rFonts w:asciiTheme="majorBidi" w:hAnsiTheme="majorBidi" w:cstheme="majorBidi"/>
          <w:i/>
          <w:iCs/>
          <w:color w:val="000000" w:themeColor="text1"/>
          <w:shd w:val="clear" w:color="auto" w:fill="FFFFFF"/>
        </w:rPr>
        <w:t>LES ÉDITIONS DE MÉDECINE PRATIQUE</w:t>
      </w:r>
      <w:r w:rsidRPr="00770ADD">
        <w:rPr>
          <w:rFonts w:asciiTheme="majorBidi" w:hAnsiTheme="majorBidi" w:cstheme="majorBidi"/>
          <w:color w:val="000000" w:themeColor="text1"/>
          <w:sz w:val="20"/>
          <w:szCs w:val="20"/>
          <w:shd w:val="clear" w:color="auto" w:fill="FFFFFF"/>
        </w:rPr>
        <w:t>.</w:t>
      </w:r>
    </w:p>
    <w:p w14:paraId="14344145" w14:textId="77777777" w:rsidR="009F4854" w:rsidRPr="00770ADD" w:rsidRDefault="009F4854" w:rsidP="009F4854">
      <w:pPr>
        <w:spacing w:line="276" w:lineRule="auto"/>
        <w:rPr>
          <w:rFonts w:asciiTheme="majorBidi" w:hAnsiTheme="majorBidi" w:cstheme="majorBidi"/>
          <w:color w:val="000000" w:themeColor="text1"/>
          <w:sz w:val="20"/>
          <w:szCs w:val="20"/>
        </w:rPr>
      </w:pPr>
      <w:r w:rsidRPr="00770ADD">
        <w:rPr>
          <w:rFonts w:asciiTheme="majorBidi" w:hAnsiTheme="majorBidi" w:cstheme="majorBidi"/>
          <w:color w:val="000000" w:themeColor="text1"/>
          <w:sz w:val="20"/>
          <w:szCs w:val="20"/>
        </w:rPr>
        <w:t>KIERSZENBAUH ; histologie et biologie cellulaire ; traduction 1er Edition américaine par pierre validire et Patricia validire .Charpy ; de Boeck ; 2006 page 110)</w:t>
      </w:r>
    </w:p>
    <w:p w14:paraId="33B8BDA6" w14:textId="77777777" w:rsidR="009F4854" w:rsidRPr="00770ADD" w:rsidRDefault="009F4854" w:rsidP="009F4854">
      <w:pPr>
        <w:spacing w:line="276" w:lineRule="auto"/>
        <w:rPr>
          <w:rFonts w:asciiTheme="majorBidi" w:hAnsiTheme="majorBidi" w:cstheme="majorBidi"/>
          <w:color w:val="000000" w:themeColor="text1"/>
          <w:sz w:val="20"/>
          <w:szCs w:val="20"/>
        </w:rPr>
      </w:pPr>
      <w:r w:rsidRPr="00770ADD">
        <w:rPr>
          <w:rFonts w:asciiTheme="majorBidi" w:hAnsiTheme="majorBidi" w:cstheme="majorBidi"/>
          <w:color w:val="000000" w:themeColor="text1"/>
          <w:sz w:val="20"/>
          <w:szCs w:val="20"/>
        </w:rPr>
        <w:t>Sandrine Ellero-Simatos ; L’hypoderme ou tissu adipeux blanc sous cutané ; jeudi 7 mars 2013-Jean clos ; les fonctions de nutrition chez les animaux ; © Ellipses Edition marketing S.A ; 2012 ; Pag21- 511 ;517 ;:535).</w:t>
      </w:r>
    </w:p>
    <w:p w14:paraId="51504B04" w14:textId="77777777" w:rsidR="009F4854" w:rsidRPr="00770ADD" w:rsidRDefault="009F4854" w:rsidP="009F4854">
      <w:pPr>
        <w:spacing w:line="276" w:lineRule="auto"/>
        <w:rPr>
          <w:rFonts w:asciiTheme="majorBidi" w:hAnsiTheme="majorBidi" w:cstheme="majorBidi"/>
          <w:color w:val="000000" w:themeColor="text1"/>
          <w:sz w:val="20"/>
          <w:szCs w:val="20"/>
          <w:lang w:eastAsia="fr-FR"/>
        </w:rPr>
      </w:pPr>
      <w:r w:rsidRPr="00770ADD">
        <w:rPr>
          <w:rFonts w:asciiTheme="majorBidi" w:hAnsiTheme="majorBidi" w:cstheme="majorBidi"/>
          <w:color w:val="000000" w:themeColor="text1"/>
          <w:sz w:val="20"/>
          <w:szCs w:val="20"/>
          <w:lang w:eastAsia="fr-FR"/>
        </w:rPr>
        <w:t>A. Mojallal ; P. Breton ; E. Delay ; Greffe d’adipocytes : applications en chirurgie  plastique et esthétique ; Adipocyte grafting: applications in plastic and aesthetic surgery ;  EMC-Chirurgie 2 (2005) 175–203)</w:t>
      </w:r>
    </w:p>
    <w:p w14:paraId="105ABDC2" w14:textId="77777777" w:rsidR="009F4854" w:rsidRPr="00770ADD" w:rsidRDefault="009F4854" w:rsidP="009F4854">
      <w:pPr>
        <w:spacing w:line="276" w:lineRule="auto"/>
        <w:rPr>
          <w:rFonts w:asciiTheme="majorBidi" w:hAnsiTheme="majorBidi" w:cstheme="majorBidi"/>
          <w:color w:val="000000" w:themeColor="text1"/>
          <w:sz w:val="20"/>
          <w:szCs w:val="20"/>
        </w:rPr>
      </w:pPr>
      <w:r w:rsidRPr="00770ADD">
        <w:rPr>
          <w:rFonts w:asciiTheme="majorBidi" w:hAnsiTheme="majorBidi" w:cstheme="majorBidi"/>
          <w:color w:val="000000" w:themeColor="text1"/>
          <w:sz w:val="20"/>
          <w:szCs w:val="20"/>
        </w:rPr>
        <w:t>Mouniam ghorbal ; biologie cellulaire, histologie et embryologie ; © Ellipses Edition markeuting2011 ; Pag 172</w:t>
      </w:r>
    </w:p>
    <w:p w14:paraId="042E8523" w14:textId="77777777" w:rsidR="009F4854" w:rsidRPr="00770ADD" w:rsidRDefault="009F4854" w:rsidP="009F4854">
      <w:pPr>
        <w:spacing w:line="276" w:lineRule="auto"/>
        <w:rPr>
          <w:rFonts w:asciiTheme="majorBidi" w:hAnsiTheme="majorBidi" w:cstheme="majorBidi"/>
          <w:color w:val="000000" w:themeColor="text1"/>
          <w:sz w:val="20"/>
          <w:szCs w:val="20"/>
        </w:rPr>
      </w:pPr>
      <w:r w:rsidRPr="00770ADD">
        <w:rPr>
          <w:rFonts w:asciiTheme="majorBidi" w:hAnsiTheme="majorBidi" w:cstheme="majorBidi"/>
          <w:color w:val="000000" w:themeColor="text1"/>
          <w:sz w:val="20"/>
          <w:szCs w:val="20"/>
        </w:rPr>
        <w:t>Gérard Ailhaud ; L’adipocyte, cellule sécrétrice et endocrine ; médecine/sciences 1998 ; 14 : 858-64</w:t>
      </w:r>
    </w:p>
    <w:p w14:paraId="24EADD14" w14:textId="61301883" w:rsidR="000E28D5" w:rsidRPr="00AA2CEF" w:rsidRDefault="009F4854" w:rsidP="000E28D5">
      <w:pPr>
        <w:spacing w:line="276" w:lineRule="auto"/>
        <w:rPr>
          <w:rFonts w:asciiTheme="majorBidi" w:hAnsiTheme="majorBidi" w:cstheme="majorBidi"/>
          <w:color w:val="000000" w:themeColor="text1"/>
          <w:sz w:val="20"/>
          <w:szCs w:val="20"/>
          <w:lang w:val="en-US"/>
        </w:rPr>
      </w:pPr>
      <w:r w:rsidRPr="00770ADD">
        <w:rPr>
          <w:rFonts w:asciiTheme="majorBidi" w:hAnsiTheme="majorBidi" w:cstheme="majorBidi"/>
          <w:color w:val="000000" w:themeColor="text1"/>
          <w:sz w:val="20"/>
          <w:szCs w:val="20"/>
        </w:rPr>
        <w:t xml:space="preserve">Funahashi T, Nakamura T, Shimomura I et al. </w:t>
      </w:r>
      <w:r w:rsidRPr="00AA2CEF">
        <w:rPr>
          <w:rFonts w:asciiTheme="majorBidi" w:hAnsiTheme="majorBidi" w:cstheme="majorBidi"/>
          <w:color w:val="000000" w:themeColor="text1"/>
          <w:sz w:val="20"/>
          <w:szCs w:val="20"/>
          <w:lang w:val="en-US"/>
        </w:rPr>
        <w:t>Role of adipocytokines on the pathogenesis of atherosclerosis in visceral obesity. Intern Med. 1999;38:202-206.</w:t>
      </w:r>
    </w:p>
    <w:p w14:paraId="651CC262" w14:textId="10DBE42D" w:rsidR="009F4854" w:rsidRPr="00AA2CEF" w:rsidRDefault="009F4854" w:rsidP="000E28D5">
      <w:pPr>
        <w:spacing w:line="276" w:lineRule="auto"/>
        <w:rPr>
          <w:rFonts w:asciiTheme="majorBidi" w:hAnsiTheme="majorBidi" w:cstheme="majorBidi"/>
          <w:color w:val="000000" w:themeColor="text1"/>
          <w:sz w:val="20"/>
          <w:szCs w:val="20"/>
          <w:lang w:val="en-US"/>
        </w:rPr>
      </w:pPr>
      <w:r w:rsidRPr="00AA2CEF">
        <w:rPr>
          <w:rFonts w:asciiTheme="majorBidi" w:hAnsiTheme="majorBidi" w:cstheme="majorBidi"/>
          <w:color w:val="000000" w:themeColor="text1"/>
          <w:sz w:val="20"/>
          <w:szCs w:val="20"/>
          <w:lang w:val="en-US"/>
        </w:rPr>
        <w:t>Trayhurn P, Wood IS. Adipokines: inflammation and the pleiotropic role of white adipose tissue. Br J Nutr. 2004;92:347-355.</w:t>
      </w:r>
      <w:r w:rsidRPr="00AA2CEF">
        <w:rPr>
          <w:rFonts w:asciiTheme="majorBidi" w:hAnsiTheme="majorBidi" w:cstheme="majorBidi"/>
          <w:color w:val="000000" w:themeColor="text1"/>
          <w:sz w:val="20"/>
          <w:szCs w:val="20"/>
          <w:lang w:val="en-US"/>
        </w:rPr>
        <w:tab/>
      </w:r>
    </w:p>
    <w:p w14:paraId="7D6A56C2" w14:textId="105A31AA" w:rsidR="009F4854" w:rsidRPr="00266406" w:rsidRDefault="009F4854" w:rsidP="00266406">
      <w:pPr>
        <w:spacing w:line="276" w:lineRule="auto"/>
        <w:rPr>
          <w:rFonts w:asciiTheme="majorBidi" w:hAnsiTheme="majorBidi" w:cstheme="majorBidi"/>
          <w:color w:val="000000" w:themeColor="text1"/>
          <w:sz w:val="20"/>
          <w:szCs w:val="20"/>
          <w:lang w:val="en-US"/>
        </w:rPr>
      </w:pPr>
      <w:r w:rsidRPr="00AA2CEF">
        <w:rPr>
          <w:rFonts w:asciiTheme="majorBidi" w:hAnsiTheme="majorBidi" w:cstheme="majorBidi"/>
          <w:color w:val="000000" w:themeColor="text1"/>
          <w:sz w:val="20"/>
          <w:szCs w:val="20"/>
          <w:lang w:val="en-US"/>
        </w:rPr>
        <w:t>Wiesner G, Morash BA, Ur E et al. Food restriction regulates adipose-specific cytokines in pituitary gland but not in hypothalamus. J Endocrinol. 2004;180:R1-R6</w:t>
      </w:r>
      <w:r w:rsidR="00266406">
        <w:rPr>
          <w:rFonts w:asciiTheme="majorBidi" w:hAnsiTheme="majorBidi" w:cstheme="majorBidi"/>
          <w:color w:val="000000" w:themeColor="text1"/>
          <w:sz w:val="20"/>
          <w:szCs w:val="20"/>
          <w:lang w:val="en-US"/>
        </w:rPr>
        <w:t xml:space="preserve"> </w:t>
      </w:r>
      <w:r w:rsidR="00B1458C" w:rsidRPr="005D4197">
        <w:rPr>
          <w:rFonts w:eastAsia="Calibri"/>
          <w:sz w:val="20"/>
          <w:szCs w:val="20"/>
          <w:lang w:val="en-US" w:bidi="ar-DZ"/>
        </w:rPr>
        <w:t xml:space="preserve">women. </w:t>
      </w:r>
      <w:r w:rsidR="00B1458C" w:rsidRPr="00AA2CEF">
        <w:rPr>
          <w:rFonts w:eastAsia="Calibri"/>
          <w:sz w:val="20"/>
          <w:szCs w:val="20"/>
          <w:lang w:val="en-US" w:bidi="ar-DZ"/>
        </w:rPr>
        <w:t>J A</w:t>
      </w:r>
      <w:r>
        <w:rPr>
          <w:rFonts w:eastAsia="Calibri"/>
          <w:sz w:val="20"/>
          <w:szCs w:val="20"/>
          <w:lang w:val="en-US" w:bidi="ar-DZ"/>
        </w:rPr>
        <w:t>m Soc Nephrol 2010;21:1185-119</w:t>
      </w:r>
    </w:p>
    <w:p w14:paraId="5ECD5482" w14:textId="57FE5BF1" w:rsidR="000E28D5" w:rsidRPr="00E90E64" w:rsidRDefault="00FA159D" w:rsidP="000E28D5">
      <w:pPr>
        <w:spacing w:line="276" w:lineRule="auto"/>
        <w:rPr>
          <w:rFonts w:asciiTheme="majorBidi" w:hAnsiTheme="majorBidi" w:cstheme="majorBidi"/>
          <w:color w:val="000000" w:themeColor="text1"/>
          <w:sz w:val="20"/>
          <w:szCs w:val="20"/>
          <w:lang w:val="en-US"/>
        </w:rPr>
      </w:pPr>
      <w:r w:rsidRPr="00AA2CEF">
        <w:rPr>
          <w:rFonts w:asciiTheme="majorBidi" w:hAnsiTheme="majorBidi" w:cstheme="majorBidi"/>
          <w:color w:val="000000" w:themeColor="text1"/>
          <w:sz w:val="20"/>
          <w:szCs w:val="20"/>
          <w:lang w:val="en-US"/>
        </w:rPr>
        <w:t xml:space="preserve">Khoramipour, K., Chamari, K., Hekmatikar, A. A., Ziyaiyan, A., Taherkhani, S., Elguindy, N. M., &amp; Bragazzi, N. L. (2021). Adiponectin: Structure, physiological functions, role in diseases, and effects of nutrition. </w:t>
      </w:r>
      <w:r w:rsidRPr="00E90E64">
        <w:rPr>
          <w:rFonts w:asciiTheme="majorBidi" w:hAnsiTheme="majorBidi" w:cstheme="majorBidi"/>
          <w:color w:val="000000" w:themeColor="text1"/>
          <w:sz w:val="20"/>
          <w:szCs w:val="20"/>
          <w:lang w:val="en-US"/>
        </w:rPr>
        <w:t>Nutrients,</w:t>
      </w:r>
      <w:r w:rsidR="000E28D5" w:rsidRPr="00E90E64">
        <w:rPr>
          <w:rFonts w:asciiTheme="majorBidi" w:hAnsiTheme="majorBidi" w:cstheme="majorBidi"/>
          <w:color w:val="000000" w:themeColor="text1"/>
          <w:sz w:val="20"/>
          <w:szCs w:val="20"/>
          <w:lang w:val="en-US"/>
        </w:rPr>
        <w:t xml:space="preserve"> 13(4), 118</w:t>
      </w:r>
    </w:p>
    <w:p w14:paraId="062FE7FB" w14:textId="276841E3" w:rsidR="000E28D5" w:rsidRPr="000E28D5" w:rsidRDefault="000E28D5" w:rsidP="00FA159D">
      <w:pPr>
        <w:spacing w:line="276" w:lineRule="auto"/>
        <w:rPr>
          <w:rFonts w:asciiTheme="majorBidi" w:hAnsiTheme="majorBidi" w:cstheme="majorBidi"/>
          <w:color w:val="000000" w:themeColor="text1"/>
          <w:lang w:val="en-US"/>
        </w:rPr>
        <w:sectPr w:rsidR="000E28D5" w:rsidRPr="000E28D5" w:rsidSect="003D0FEA">
          <w:headerReference w:type="default" r:id="rId50"/>
          <w:footerReference w:type="default" r:id="rId51"/>
          <w:pgSz w:w="11906" w:h="16838" w:code="9"/>
          <w:pgMar w:top="1134" w:right="1134" w:bottom="1134" w:left="1418" w:header="567" w:footer="567" w:gutter="0"/>
          <w:pgNumType w:start="45"/>
          <w:cols w:space="720"/>
          <w:docGrid w:linePitch="360"/>
        </w:sectPr>
      </w:pPr>
      <w:r w:rsidRPr="000E28D5">
        <w:rPr>
          <w:rFonts w:asciiTheme="majorBidi" w:hAnsiTheme="majorBidi" w:cstheme="majorBidi"/>
          <w:color w:val="222222"/>
          <w:shd w:val="clear" w:color="auto" w:fill="FFFFFF"/>
          <w:lang w:val="en-US"/>
        </w:rPr>
        <w:t>Taler, S. J. (2018). Initial treatment of hypertension. </w:t>
      </w:r>
      <w:r w:rsidRPr="000E28D5">
        <w:rPr>
          <w:rFonts w:asciiTheme="majorBidi" w:hAnsiTheme="majorBidi" w:cstheme="majorBidi"/>
          <w:i/>
          <w:iCs/>
          <w:color w:val="222222"/>
          <w:shd w:val="clear" w:color="auto" w:fill="FFFFFF"/>
          <w:lang w:val="en-US"/>
        </w:rPr>
        <w:t>New England Journal of Medicine</w:t>
      </w:r>
      <w:r w:rsidRPr="000E28D5">
        <w:rPr>
          <w:rFonts w:asciiTheme="majorBidi" w:hAnsiTheme="majorBidi" w:cstheme="majorBidi"/>
          <w:color w:val="222222"/>
          <w:shd w:val="clear" w:color="auto" w:fill="FFFFFF"/>
          <w:lang w:val="en-US"/>
        </w:rPr>
        <w:t>, </w:t>
      </w:r>
      <w:r w:rsidRPr="000E28D5">
        <w:rPr>
          <w:rFonts w:asciiTheme="majorBidi" w:hAnsiTheme="majorBidi" w:cstheme="majorBidi"/>
          <w:i/>
          <w:iCs/>
          <w:color w:val="222222"/>
          <w:shd w:val="clear" w:color="auto" w:fill="FFFFFF"/>
          <w:lang w:val="en-US"/>
        </w:rPr>
        <w:t>378</w:t>
      </w:r>
      <w:r w:rsidRPr="000E28D5">
        <w:rPr>
          <w:rFonts w:asciiTheme="majorBidi" w:hAnsiTheme="majorBidi" w:cstheme="majorBidi"/>
          <w:color w:val="222222"/>
          <w:shd w:val="clear" w:color="auto" w:fill="FFFFFF"/>
          <w:lang w:val="en-US"/>
        </w:rPr>
        <w:t>(7), 636-644.</w:t>
      </w:r>
    </w:p>
    <w:p w14:paraId="0F565C6A" w14:textId="631A4CC2" w:rsidR="00BA7112" w:rsidRDefault="0092363D" w:rsidP="00266406">
      <w:pPr>
        <w:bidi/>
        <w:jc w:val="left"/>
        <w:rPr>
          <w:b/>
          <w:bCs/>
        </w:rPr>
      </w:pPr>
      <w:r w:rsidRPr="0092363D">
        <w:rPr>
          <w:b/>
          <w:bCs/>
          <w:rtl/>
        </w:rPr>
        <w:lastRenderedPageBreak/>
        <w:t>ملخص</w:t>
      </w:r>
    </w:p>
    <w:p w14:paraId="0B792F49" w14:textId="6EA233C1" w:rsidR="00266406" w:rsidRPr="00266406" w:rsidRDefault="00266406" w:rsidP="00266406">
      <w:pPr>
        <w:bidi/>
        <w:spacing w:before="0" w:after="0" w:line="240" w:lineRule="auto"/>
        <w:rPr>
          <w:rtl/>
          <w:lang w:eastAsia="fr-FR" w:bidi="ar-DZ"/>
        </w:rPr>
      </w:pPr>
      <w:r>
        <w:rPr>
          <w:rFonts w:hint="cs"/>
          <w:rtl/>
          <w:lang w:eastAsia="fr-FR" w:bidi="ar-DZ"/>
        </w:rPr>
        <w:t xml:space="preserve">ان </w:t>
      </w:r>
      <w:r w:rsidRPr="00266406">
        <w:rPr>
          <w:rtl/>
          <w:lang w:eastAsia="fr-FR"/>
        </w:rPr>
        <w:t>الخلايا الشحمية البشرية</w:t>
      </w:r>
      <w:r>
        <w:rPr>
          <w:lang w:eastAsia="fr-FR"/>
        </w:rPr>
        <w:t xml:space="preserve"> </w:t>
      </w:r>
      <w:r>
        <w:rPr>
          <w:rFonts w:hint="cs"/>
          <w:rtl/>
          <w:lang w:eastAsia="fr-FR" w:bidi="ar-DZ"/>
        </w:rPr>
        <w:t>تعتبر</w:t>
      </w:r>
      <w:r w:rsidRPr="00266406">
        <w:rPr>
          <w:rtl/>
          <w:lang w:eastAsia="fr-FR"/>
        </w:rPr>
        <w:t xml:space="preserve"> جزءاً من النسيج الدهني الذي يُعدّ عضوًا صمّاءً مهمًا. هذا النسيج الضام كان يُعتبر في البداية مخزنًا خاملاً للدهون، لكن الأبحاث الحديثة أظهرت أنه يؤدي وظائف معقدة تشمل النشاطات الصمّاء، الأوتوكرينية، والباراكرينية، من خلال إفراز جزيئات تُسمى الأدبوسايتوكينات. هذه الأدبوسايتوكينات، مثل اللبتين و</w:t>
      </w:r>
      <w:r w:rsidRPr="00266406">
        <w:rPr>
          <w:lang w:eastAsia="fr-FR"/>
        </w:rPr>
        <w:t>TNF-α</w:t>
      </w:r>
      <w:r w:rsidRPr="00266406">
        <w:rPr>
          <w:rtl/>
          <w:lang w:eastAsia="fr-FR"/>
        </w:rPr>
        <w:t>، تلعب دورًا حيويًا في تنظيم التمثيل الغذائي والاستجابة المناعية والالتهابية في الجسم. التغيرات في كمية النسيج الدهني والأدبوسايتوكينات ترتبط ارتباطًا وثيقًا بالاستجابات المناعية والالتهابية، خاصةً في الحالات المرضية. تركز هذه المراجعة على دور الأدبوسايتوكينات في تطور مرض الشريان التاجي، الذي يختلف في أسبابه وآلياته عن السمنة والسكري من النوع الثاني والسرطان، ولكنه يشترك في آليات التهابية مشابهة لتلك الموجودة في أمراض مثل التهاب المفاصل الروماتويدي وتصلب الشرايين</w:t>
      </w:r>
      <w:r w:rsidRPr="00266406">
        <w:rPr>
          <w:lang w:eastAsia="fr-FR"/>
        </w:rPr>
        <w:t>.</w:t>
      </w:r>
    </w:p>
    <w:p w14:paraId="266F0762" w14:textId="77777777" w:rsidR="0092363D" w:rsidRDefault="0092363D" w:rsidP="00BA7112">
      <w:pPr>
        <w:jc w:val="left"/>
        <w:rPr>
          <w:b/>
          <w:bCs/>
        </w:rPr>
      </w:pPr>
    </w:p>
    <w:p w14:paraId="646DD707" w14:textId="65D1C822" w:rsidR="0092363D" w:rsidRPr="005D4197" w:rsidRDefault="0092363D" w:rsidP="0092363D">
      <w:pPr>
        <w:jc w:val="left"/>
        <w:rPr>
          <w:b/>
          <w:bCs/>
          <w:lang w:val="en-US"/>
        </w:rPr>
      </w:pPr>
      <w:r w:rsidRPr="005D4197">
        <w:rPr>
          <w:b/>
          <w:bCs/>
          <w:lang w:val="en-US"/>
        </w:rPr>
        <w:t>Abstract</w:t>
      </w:r>
    </w:p>
    <w:p w14:paraId="5755F484" w14:textId="77777777" w:rsidR="00266406" w:rsidRPr="001539BA" w:rsidRDefault="00266406" w:rsidP="00266406">
      <w:pPr>
        <w:spacing w:before="0" w:after="0"/>
        <w:jc w:val="left"/>
        <w:rPr>
          <w:lang w:val="en-US" w:eastAsia="fr-FR"/>
        </w:rPr>
      </w:pPr>
      <w:r w:rsidRPr="001539BA">
        <w:rPr>
          <w:lang w:val="en-US" w:eastAsia="fr-FR"/>
        </w:rPr>
        <w:t>Human adipocytes, part of adipose tissue, are recognized as an important endocrine organ. This connective tissue, initially thought to be a passive fat reservoir, has been revealed through recent research to perform complex functions, including endocrine, autocrine, and paracrine activities via the secretion of molecules known as adipocytokines. These adipocytokines, such as leptin and TNF-</w:t>
      </w:r>
      <w:r w:rsidRPr="00266406">
        <w:rPr>
          <w:lang w:eastAsia="fr-FR"/>
        </w:rPr>
        <w:t>α</w:t>
      </w:r>
      <w:r w:rsidRPr="001539BA">
        <w:rPr>
          <w:lang w:val="en-US" w:eastAsia="fr-FR"/>
        </w:rPr>
        <w:t>, play crucial roles in regulating metabolism and immune responses. Changes in the amount of adipose tissue and adipocytokines are closely linked to immune and inflammatory responses, particularly under pathological conditions. This review specifically examines the role of adipokines in the development of coronary artery disease, which has different etiology and pathology from obesity, type 2 diabetes, and cancer but shares similar inflammatory mechanisms with diseases like rheumatoid arthritis and chronic atherosclerosis.</w:t>
      </w:r>
    </w:p>
    <w:p w14:paraId="32725E8A" w14:textId="4D2C39B8" w:rsidR="0092363D" w:rsidRDefault="0092363D" w:rsidP="0092363D">
      <w:pPr>
        <w:jc w:val="left"/>
        <w:rPr>
          <w:b/>
          <w:bCs/>
        </w:rPr>
      </w:pPr>
      <w:r w:rsidRPr="0092363D">
        <w:rPr>
          <w:b/>
          <w:bCs/>
        </w:rPr>
        <w:t>Résumé</w:t>
      </w:r>
    </w:p>
    <w:p w14:paraId="1A93DE0D" w14:textId="394A99AA" w:rsidR="0092363D" w:rsidRDefault="00266406" w:rsidP="00266406">
      <w:pPr>
        <w:jc w:val="left"/>
        <w:rPr>
          <w:b/>
          <w:bCs/>
          <w:sz w:val="28"/>
          <w:szCs w:val="28"/>
        </w:rPr>
      </w:pPr>
      <w:r w:rsidRPr="00266406">
        <w:t>Les adipocytes humains, constituant le tissu adipeux, sont reconnus comme des organes endocriniens jouant un rôle crucial dans le stockage des graisses et le métabolisme énergétique. Autrefois perçu comme un réservoir passif, le tissu adipeux se révèle être un site actif de sécrétion de diverses adipocytokines (comme la leptine et le TNF-α) qui régulent les fonctions endocrines, autocrines et paracrines. Ces molécules influencent significativement les réponses immunitaires et inflammatoires, particulièrement dans des conditions pathologiques. Cette revue explore spécifiquement le rôle des adipokines dans la maladie coronarienne, distincte de l'obésité, du diabète de type 2, et du cancer, mais partageant des mécanismes inflammatoires similaires à ceux observés dans des maladies comme la polyarthrite rhumatoïde et l'athérosclérose</w:t>
      </w:r>
      <w:r>
        <w:t>.</w:t>
      </w:r>
    </w:p>
    <w:p w14:paraId="46FE92B7" w14:textId="77777777" w:rsidR="0092363D" w:rsidRDefault="0092363D" w:rsidP="0092363D">
      <w:pPr>
        <w:bidi/>
        <w:jc w:val="left"/>
        <w:rPr>
          <w:b/>
          <w:bCs/>
          <w:sz w:val="28"/>
          <w:szCs w:val="28"/>
        </w:rPr>
      </w:pPr>
    </w:p>
    <w:sectPr w:rsidR="0092363D" w:rsidSect="004B41A5">
      <w:headerReference w:type="default" r:id="rId52"/>
      <w:footerReference w:type="default" r:id="rId53"/>
      <w:pgSz w:w="11906" w:h="16838" w:code="9"/>
      <w:pgMar w:top="1134" w:right="1134" w:bottom="1134" w:left="1418" w:header="567" w:footer="567" w:gutter="0"/>
      <w:pgNumType w:start="53"/>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FFCF73" w14:textId="77777777" w:rsidR="00D15EAC" w:rsidRDefault="00D15EAC" w:rsidP="00C82907">
      <w:pPr>
        <w:spacing w:before="0" w:after="0" w:line="240" w:lineRule="auto"/>
      </w:pPr>
      <w:r>
        <w:separator/>
      </w:r>
    </w:p>
  </w:endnote>
  <w:endnote w:type="continuationSeparator" w:id="0">
    <w:p w14:paraId="0AE9001B" w14:textId="77777777" w:rsidR="00D15EAC" w:rsidRDefault="00D15EAC" w:rsidP="00C8290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3F7892" w14:textId="77777777" w:rsidR="009C03B5" w:rsidRDefault="009C03B5">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714876"/>
      <w:docPartObj>
        <w:docPartGallery w:val="Page Numbers (Bottom of Page)"/>
        <w:docPartUnique/>
      </w:docPartObj>
    </w:sdtPr>
    <w:sdtEndPr/>
    <w:sdtContent>
      <w:p w14:paraId="6F5AA332" w14:textId="71DB87A7" w:rsidR="009C03B5" w:rsidRDefault="009C03B5">
        <w:pPr>
          <w:pStyle w:val="Pieddepage"/>
          <w:jc w:val="right"/>
        </w:pPr>
        <w:r>
          <w:fldChar w:fldCharType="begin"/>
        </w:r>
        <w:r>
          <w:instrText>PAGE   \* MERGEFORMAT</w:instrText>
        </w:r>
        <w:r>
          <w:fldChar w:fldCharType="separate"/>
        </w:r>
        <w:r w:rsidR="00582F0D">
          <w:rPr>
            <w:noProof/>
          </w:rPr>
          <w:t>43</w:t>
        </w:r>
        <w:r>
          <w:fldChar w:fldCharType="end"/>
        </w:r>
      </w:p>
    </w:sdtContent>
  </w:sdt>
  <w:p w14:paraId="56D02668" w14:textId="77777777" w:rsidR="009C03B5" w:rsidRDefault="009C03B5">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CFB6AA" w14:textId="77777777" w:rsidR="009C03B5" w:rsidRDefault="009C03B5" w:rsidP="00382403">
    <w:pPr>
      <w:pStyle w:val="Pieddepage"/>
      <w:jc w:val="right"/>
    </w:pPr>
  </w:p>
  <w:p w14:paraId="489F8082" w14:textId="77777777" w:rsidR="009C03B5" w:rsidRDefault="009C03B5">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500801"/>
      <w:docPartObj>
        <w:docPartGallery w:val="Page Numbers (Bottom of Page)"/>
        <w:docPartUnique/>
      </w:docPartObj>
    </w:sdtPr>
    <w:sdtEndPr>
      <w:rPr>
        <w:noProof/>
      </w:rPr>
    </w:sdtEndPr>
    <w:sdtContent>
      <w:p w14:paraId="58493690" w14:textId="77777777" w:rsidR="009C03B5" w:rsidRDefault="009C03B5">
        <w:pPr>
          <w:pStyle w:val="Pieddepage"/>
          <w:jc w:val="right"/>
        </w:pPr>
        <w:r>
          <w:fldChar w:fldCharType="begin"/>
        </w:r>
        <w:r>
          <w:instrText xml:space="preserve"> PAGE   \* MERGEFORMAT </w:instrText>
        </w:r>
        <w:r>
          <w:fldChar w:fldCharType="separate"/>
        </w:r>
        <w:r w:rsidR="00582F0D">
          <w:rPr>
            <w:noProof/>
          </w:rPr>
          <w:t>44</w:t>
        </w:r>
        <w:r>
          <w:rPr>
            <w:noProof/>
          </w:rPr>
          <w:fldChar w:fldCharType="end"/>
        </w:r>
      </w:p>
    </w:sdtContent>
  </w:sdt>
  <w:p w14:paraId="0BBF1A04" w14:textId="77777777" w:rsidR="009C03B5" w:rsidRDefault="009C03B5">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7E9257" w14:textId="75F7D604" w:rsidR="009C03B5" w:rsidRDefault="009C03B5">
    <w:pPr>
      <w:pStyle w:val="Pieddepage"/>
      <w:jc w:val="right"/>
    </w:pPr>
  </w:p>
  <w:p w14:paraId="36C0FF81" w14:textId="77777777" w:rsidR="009C03B5" w:rsidRDefault="009C03B5">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7878499"/>
      <w:docPartObj>
        <w:docPartGallery w:val="Page Numbers (Bottom of Page)"/>
        <w:docPartUnique/>
      </w:docPartObj>
    </w:sdtPr>
    <w:sdtEndPr/>
    <w:sdtContent>
      <w:p w14:paraId="05B6444A" w14:textId="4246E9E3" w:rsidR="009C03B5" w:rsidRDefault="009C03B5">
        <w:pPr>
          <w:pStyle w:val="Pieddepage"/>
          <w:jc w:val="right"/>
        </w:pPr>
        <w:r>
          <w:fldChar w:fldCharType="begin"/>
        </w:r>
        <w:r>
          <w:instrText>PAGE   \* MERGEFORMAT</w:instrText>
        </w:r>
        <w:r>
          <w:fldChar w:fldCharType="separate"/>
        </w:r>
        <w:r w:rsidR="00582F0D">
          <w:rPr>
            <w:noProof/>
          </w:rPr>
          <w:t>49</w:t>
        </w:r>
        <w:r>
          <w:fldChar w:fldCharType="end"/>
        </w:r>
      </w:p>
    </w:sdtContent>
  </w:sdt>
  <w:p w14:paraId="57EDEE1F" w14:textId="77777777" w:rsidR="009C03B5" w:rsidRDefault="009C03B5">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EC6D87" w14:textId="77777777" w:rsidR="009C03B5" w:rsidRDefault="009C03B5">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4128978"/>
      <w:docPartObj>
        <w:docPartGallery w:val="Page Numbers (Bottom of Page)"/>
        <w:docPartUnique/>
      </w:docPartObj>
    </w:sdtPr>
    <w:sdtEndPr>
      <w:rPr>
        <w:noProof/>
      </w:rPr>
    </w:sdtEndPr>
    <w:sdtContent>
      <w:p w14:paraId="2CB0335C" w14:textId="56F79B38" w:rsidR="009C03B5" w:rsidRDefault="009C03B5">
        <w:pPr>
          <w:pStyle w:val="Pieddepage"/>
          <w:jc w:val="right"/>
        </w:pPr>
        <w:r>
          <w:fldChar w:fldCharType="begin"/>
        </w:r>
        <w:r>
          <w:instrText xml:space="preserve"> PAGE   \* MERGEFORMAT </w:instrText>
        </w:r>
        <w:r>
          <w:fldChar w:fldCharType="separate"/>
        </w:r>
        <w:r w:rsidR="00582F0D">
          <w:rPr>
            <w:noProof/>
          </w:rPr>
          <w:t>vi</w:t>
        </w:r>
        <w:r>
          <w:rPr>
            <w:noProof/>
          </w:rPr>
          <w:fldChar w:fldCharType="end"/>
        </w:r>
      </w:p>
    </w:sdtContent>
  </w:sdt>
  <w:p w14:paraId="43A38C35" w14:textId="77777777" w:rsidR="009C03B5" w:rsidRDefault="009C03B5">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BEF278" w14:textId="3197D3A1" w:rsidR="009C03B5" w:rsidRDefault="009C03B5" w:rsidP="005D31BA">
    <w:pPr>
      <w:pStyle w:val="Pieddepage"/>
      <w:jc w:val="right"/>
    </w:pPr>
  </w:p>
  <w:p w14:paraId="6568970B" w14:textId="77777777" w:rsidR="009C03B5" w:rsidRDefault="009C03B5">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2911424"/>
      <w:docPartObj>
        <w:docPartGallery w:val="Page Numbers (Bottom of Page)"/>
        <w:docPartUnique/>
      </w:docPartObj>
    </w:sdtPr>
    <w:sdtEndPr>
      <w:rPr>
        <w:noProof/>
      </w:rPr>
    </w:sdtEndPr>
    <w:sdtContent>
      <w:p w14:paraId="1E55F983" w14:textId="1AF136C8" w:rsidR="009C03B5" w:rsidRDefault="009C03B5">
        <w:pPr>
          <w:pStyle w:val="Pieddepage"/>
          <w:jc w:val="right"/>
        </w:pPr>
        <w:r>
          <w:fldChar w:fldCharType="begin"/>
        </w:r>
        <w:r>
          <w:instrText xml:space="preserve"> PAGE   \* MERGEFORMAT </w:instrText>
        </w:r>
        <w:r>
          <w:fldChar w:fldCharType="separate"/>
        </w:r>
        <w:r w:rsidR="00582F0D">
          <w:rPr>
            <w:noProof/>
          </w:rPr>
          <w:t>1</w:t>
        </w:r>
        <w:r>
          <w:rPr>
            <w:noProof/>
          </w:rPr>
          <w:fldChar w:fldCharType="end"/>
        </w:r>
      </w:p>
    </w:sdtContent>
  </w:sdt>
  <w:p w14:paraId="4A135584" w14:textId="77777777" w:rsidR="009C03B5" w:rsidRDefault="009C03B5">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CCF775" w14:textId="357301E7" w:rsidR="009C03B5" w:rsidRDefault="009C03B5">
    <w:pPr>
      <w:pStyle w:val="Pieddepage"/>
      <w:jc w:val="right"/>
    </w:pPr>
  </w:p>
  <w:p w14:paraId="543E2EF3" w14:textId="77777777" w:rsidR="009C03B5" w:rsidRDefault="009C03B5">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1129474"/>
      <w:docPartObj>
        <w:docPartGallery w:val="Page Numbers (Bottom of Page)"/>
        <w:docPartUnique/>
      </w:docPartObj>
    </w:sdtPr>
    <w:sdtEndPr/>
    <w:sdtContent>
      <w:p w14:paraId="5BCCDF48" w14:textId="2B8A6A06" w:rsidR="009C03B5" w:rsidRDefault="009C03B5">
        <w:pPr>
          <w:pStyle w:val="Pieddepage"/>
          <w:jc w:val="right"/>
        </w:pPr>
        <w:r>
          <w:fldChar w:fldCharType="begin"/>
        </w:r>
        <w:r>
          <w:instrText>PAGE   \* MERGEFORMAT</w:instrText>
        </w:r>
        <w:r>
          <w:fldChar w:fldCharType="separate"/>
        </w:r>
        <w:r w:rsidR="00582F0D">
          <w:rPr>
            <w:noProof/>
          </w:rPr>
          <w:t>7</w:t>
        </w:r>
        <w:r>
          <w:fldChar w:fldCharType="end"/>
        </w:r>
      </w:p>
    </w:sdtContent>
  </w:sdt>
  <w:p w14:paraId="31EDD875" w14:textId="77777777" w:rsidR="009C03B5" w:rsidRDefault="009C03B5">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B32D3E" w14:textId="77777777" w:rsidR="009C03B5" w:rsidRDefault="009C03B5" w:rsidP="0054062E">
    <w:pPr>
      <w:pStyle w:val="Pieddepage"/>
      <w:jc w:val="right"/>
    </w:pPr>
  </w:p>
  <w:p w14:paraId="02DB962B" w14:textId="77777777" w:rsidR="009C03B5" w:rsidRDefault="009C03B5">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397210"/>
      <w:docPartObj>
        <w:docPartGallery w:val="Page Numbers (Bottom of Page)"/>
        <w:docPartUnique/>
      </w:docPartObj>
    </w:sdtPr>
    <w:sdtEndPr>
      <w:rPr>
        <w:noProof/>
      </w:rPr>
    </w:sdtEndPr>
    <w:sdtContent>
      <w:p w14:paraId="1A6257F7" w14:textId="2BFFCED2" w:rsidR="009C03B5" w:rsidRDefault="009C03B5">
        <w:pPr>
          <w:pStyle w:val="Pieddepage"/>
          <w:jc w:val="right"/>
        </w:pPr>
        <w:r>
          <w:fldChar w:fldCharType="begin"/>
        </w:r>
        <w:r>
          <w:instrText xml:space="preserve"> PAGE   \* MERGEFORMAT </w:instrText>
        </w:r>
        <w:r>
          <w:fldChar w:fldCharType="separate"/>
        </w:r>
        <w:r w:rsidR="00582F0D">
          <w:rPr>
            <w:noProof/>
          </w:rPr>
          <w:t>14</w:t>
        </w:r>
        <w:r>
          <w:rPr>
            <w:noProof/>
          </w:rPr>
          <w:fldChar w:fldCharType="end"/>
        </w:r>
      </w:p>
    </w:sdtContent>
  </w:sdt>
  <w:p w14:paraId="069E5090" w14:textId="77777777" w:rsidR="009C03B5" w:rsidRDefault="009C03B5">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8AC537" w14:textId="3098B182" w:rsidR="009C03B5" w:rsidRDefault="009C03B5">
    <w:pPr>
      <w:pStyle w:val="Pieddepage"/>
      <w:jc w:val="right"/>
    </w:pPr>
  </w:p>
  <w:p w14:paraId="64BC830E" w14:textId="77777777" w:rsidR="009C03B5" w:rsidRDefault="009C03B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4EBC27" w14:textId="77777777" w:rsidR="00D15EAC" w:rsidRDefault="00D15EAC" w:rsidP="00C82907">
      <w:pPr>
        <w:spacing w:before="0" w:after="0" w:line="240" w:lineRule="auto"/>
      </w:pPr>
      <w:r>
        <w:separator/>
      </w:r>
    </w:p>
  </w:footnote>
  <w:footnote w:type="continuationSeparator" w:id="0">
    <w:p w14:paraId="3F87F163" w14:textId="77777777" w:rsidR="00D15EAC" w:rsidRDefault="00D15EAC" w:rsidP="00C82907">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1989D8" w14:textId="77777777" w:rsidR="009C03B5" w:rsidRDefault="009C03B5">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Grilledutableau"/>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
      <w:gridCol w:w="9244"/>
    </w:tblGrid>
    <w:tr w:rsidR="009C03B5" w:rsidRPr="00505AAD" w14:paraId="0DB90861" w14:textId="77777777" w:rsidTr="009F4854">
      <w:tc>
        <w:tcPr>
          <w:tcW w:w="250" w:type="dxa"/>
        </w:tcPr>
        <w:p w14:paraId="5D1EA648" w14:textId="77777777" w:rsidR="009C03B5" w:rsidRPr="00505AAD" w:rsidRDefault="009C03B5" w:rsidP="00505AAD">
          <w:pPr>
            <w:pStyle w:val="En-tte"/>
            <w:tabs>
              <w:tab w:val="clear" w:pos="4513"/>
              <w:tab w:val="clear" w:pos="9026"/>
              <w:tab w:val="left" w:pos="6455"/>
            </w:tabs>
          </w:pPr>
        </w:p>
      </w:tc>
      <w:tc>
        <w:tcPr>
          <w:tcW w:w="9244" w:type="dxa"/>
        </w:tcPr>
        <w:p w14:paraId="7BDDF97C" w14:textId="555052AC" w:rsidR="009C03B5" w:rsidRPr="00505AAD" w:rsidRDefault="009C03B5" w:rsidP="00505AAD">
          <w:pPr>
            <w:pStyle w:val="En-tte"/>
            <w:tabs>
              <w:tab w:val="clear" w:pos="4513"/>
              <w:tab w:val="clear" w:pos="9026"/>
              <w:tab w:val="left" w:pos="6455"/>
            </w:tabs>
            <w:rPr>
              <w:i/>
              <w:iCs/>
            </w:rPr>
          </w:pPr>
          <w:r>
            <w:t xml:space="preserve">   </w:t>
          </w:r>
          <w:r>
            <w:rPr>
              <w:i/>
              <w:iCs/>
            </w:rPr>
            <w:t xml:space="preserve">Chapitre III : Implication des </w:t>
          </w:r>
          <w:r w:rsidRPr="00505AAD">
            <w:rPr>
              <w:i/>
              <w:iCs/>
            </w:rPr>
            <w:t>adipokines dans la physiopathologie des différentes maladies</w:t>
          </w:r>
        </w:p>
      </w:tc>
    </w:tr>
  </w:tbl>
  <w:p w14:paraId="17DDB673" w14:textId="2C696DDC" w:rsidR="009C03B5" w:rsidRDefault="009C03B5" w:rsidP="00001EDB">
    <w:pPr>
      <w:pStyle w:val="En-tte"/>
      <w:tabs>
        <w:tab w:val="clear" w:pos="4513"/>
        <w:tab w:val="clear" w:pos="9026"/>
        <w:tab w:val="left" w:pos="6455"/>
      </w:tabs>
    </w:pPr>
    <w:r>
      <w:tab/>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ABFE82" w14:textId="77777777" w:rsidR="009C03B5" w:rsidRDefault="009C03B5" w:rsidP="00001EDB">
    <w:pPr>
      <w:pStyle w:val="En-tte"/>
      <w:tabs>
        <w:tab w:val="clear" w:pos="4513"/>
        <w:tab w:val="clear" w:pos="9026"/>
        <w:tab w:val="left" w:pos="6455"/>
      </w:tabs>
    </w:pPr>
    <w:r>
      <w:tab/>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Grilledutableau"/>
      <w:tblW w:w="0" w:type="auto"/>
      <w:tblLook w:val="04A0" w:firstRow="1" w:lastRow="0" w:firstColumn="1" w:lastColumn="0" w:noHBand="0" w:noVBand="1"/>
    </w:tblPr>
    <w:tblGrid>
      <w:gridCol w:w="4714"/>
      <w:gridCol w:w="4856"/>
    </w:tblGrid>
    <w:tr w:rsidR="009C03B5" w14:paraId="39B26DF6" w14:textId="77777777" w:rsidTr="008C2490">
      <w:tc>
        <w:tcPr>
          <w:tcW w:w="5386" w:type="dxa"/>
          <w:tcBorders>
            <w:top w:val="nil"/>
            <w:left w:val="nil"/>
            <w:right w:val="nil"/>
          </w:tcBorders>
        </w:tcPr>
        <w:p w14:paraId="5C9AC2BA" w14:textId="77777777" w:rsidR="009C03B5" w:rsidRDefault="009C03B5" w:rsidP="009F6C9A">
          <w:pPr>
            <w:pStyle w:val="En-tte"/>
          </w:pPr>
        </w:p>
      </w:tc>
      <w:tc>
        <w:tcPr>
          <w:tcW w:w="5386" w:type="dxa"/>
          <w:tcBorders>
            <w:top w:val="nil"/>
            <w:left w:val="nil"/>
            <w:right w:val="nil"/>
          </w:tcBorders>
        </w:tcPr>
        <w:p w14:paraId="382D3762" w14:textId="77777777" w:rsidR="009C03B5" w:rsidRPr="009F6C9A" w:rsidRDefault="009C03B5" w:rsidP="009F6C9A">
          <w:pPr>
            <w:pStyle w:val="En-tte"/>
            <w:rPr>
              <w:i/>
              <w:iCs/>
            </w:rPr>
          </w:pPr>
          <w:r>
            <w:t xml:space="preserve">                                                        </w:t>
          </w:r>
          <w:r w:rsidRPr="009F6C9A">
            <w:rPr>
              <w:i/>
              <w:iCs/>
            </w:rPr>
            <w:t xml:space="preserve">Conclusion                                                                  </w:t>
          </w:r>
        </w:p>
      </w:tc>
    </w:tr>
  </w:tbl>
  <w:p w14:paraId="0D315B86" w14:textId="77777777" w:rsidR="009C03B5" w:rsidRDefault="009C03B5">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847FBE" w14:textId="77777777" w:rsidR="009C03B5" w:rsidRDefault="009C03B5">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Grilledutableau"/>
      <w:tblW w:w="0" w:type="auto"/>
      <w:tblLook w:val="04A0" w:firstRow="1" w:lastRow="0" w:firstColumn="1" w:lastColumn="0" w:noHBand="0" w:noVBand="1"/>
    </w:tblPr>
    <w:tblGrid>
      <w:gridCol w:w="4219"/>
      <w:gridCol w:w="5351"/>
    </w:tblGrid>
    <w:tr w:rsidR="009C03B5" w14:paraId="7A269B03" w14:textId="77777777" w:rsidTr="00382403">
      <w:tc>
        <w:tcPr>
          <w:tcW w:w="4219" w:type="dxa"/>
          <w:tcBorders>
            <w:top w:val="nil"/>
            <w:left w:val="nil"/>
            <w:right w:val="nil"/>
          </w:tcBorders>
        </w:tcPr>
        <w:p w14:paraId="2DDDF558" w14:textId="77777777" w:rsidR="009C03B5" w:rsidRDefault="009C03B5" w:rsidP="009F6C9A">
          <w:pPr>
            <w:pStyle w:val="En-tte"/>
          </w:pPr>
        </w:p>
      </w:tc>
      <w:tc>
        <w:tcPr>
          <w:tcW w:w="5351" w:type="dxa"/>
          <w:tcBorders>
            <w:top w:val="nil"/>
            <w:left w:val="nil"/>
            <w:right w:val="nil"/>
          </w:tcBorders>
        </w:tcPr>
        <w:p w14:paraId="3719F707" w14:textId="6F531C02" w:rsidR="009C03B5" w:rsidRPr="009F6C9A" w:rsidRDefault="009C03B5" w:rsidP="009F6C9A">
          <w:pPr>
            <w:pStyle w:val="En-tte"/>
            <w:rPr>
              <w:i/>
              <w:iCs/>
            </w:rPr>
          </w:pPr>
          <w:r w:rsidRPr="009F6C9A">
            <w:rPr>
              <w:i/>
              <w:iCs/>
            </w:rPr>
            <w:t xml:space="preserve">                                 Références</w:t>
          </w:r>
          <w:r>
            <w:rPr>
              <w:i/>
              <w:iCs/>
            </w:rPr>
            <w:t xml:space="preserve"> </w:t>
          </w:r>
          <w:r w:rsidRPr="009F6C9A">
            <w:rPr>
              <w:i/>
              <w:iCs/>
            </w:rPr>
            <w:t>bibliographiques</w:t>
          </w:r>
        </w:p>
      </w:tc>
    </w:tr>
  </w:tbl>
  <w:p w14:paraId="59D9CB05" w14:textId="77777777" w:rsidR="009C03B5" w:rsidRDefault="009C03B5">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7B121B" w14:textId="77777777" w:rsidR="009C03B5" w:rsidRDefault="009C03B5">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7B3B02" w14:textId="77777777" w:rsidR="009C03B5" w:rsidRDefault="009C03B5">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03A621" w14:textId="77777777" w:rsidR="009C03B5" w:rsidRDefault="009C03B5">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Grilledutableau"/>
      <w:tblW w:w="0" w:type="auto"/>
      <w:tblLook w:val="04A0" w:firstRow="1" w:lastRow="0" w:firstColumn="1" w:lastColumn="0" w:noHBand="0" w:noVBand="1"/>
    </w:tblPr>
    <w:tblGrid>
      <w:gridCol w:w="4706"/>
      <w:gridCol w:w="4864"/>
    </w:tblGrid>
    <w:tr w:rsidR="009C03B5" w14:paraId="487A7EAC" w14:textId="5B2797AE" w:rsidTr="000B1896">
      <w:tc>
        <w:tcPr>
          <w:tcW w:w="5386" w:type="dxa"/>
          <w:tcBorders>
            <w:top w:val="nil"/>
            <w:left w:val="nil"/>
            <w:right w:val="nil"/>
          </w:tcBorders>
        </w:tcPr>
        <w:p w14:paraId="274CCDA8" w14:textId="77777777" w:rsidR="009C03B5" w:rsidRDefault="009C03B5">
          <w:pPr>
            <w:pStyle w:val="En-tte"/>
          </w:pPr>
        </w:p>
      </w:tc>
      <w:tc>
        <w:tcPr>
          <w:tcW w:w="5386" w:type="dxa"/>
          <w:tcBorders>
            <w:top w:val="nil"/>
            <w:left w:val="nil"/>
            <w:right w:val="nil"/>
          </w:tcBorders>
        </w:tcPr>
        <w:p w14:paraId="18F2DEE8" w14:textId="0B9C3082" w:rsidR="009C03B5" w:rsidRPr="005C1A7C" w:rsidRDefault="009C03B5">
          <w:pPr>
            <w:pStyle w:val="En-tte"/>
            <w:rPr>
              <w:i/>
              <w:iCs/>
            </w:rPr>
          </w:pPr>
          <w:r>
            <w:t xml:space="preserve">                                                       </w:t>
          </w:r>
          <w:r w:rsidRPr="005C1A7C">
            <w:rPr>
              <w:i/>
              <w:iCs/>
            </w:rPr>
            <w:t xml:space="preserve">Introduction                                                                  </w:t>
          </w:r>
        </w:p>
      </w:tc>
    </w:tr>
  </w:tbl>
  <w:p w14:paraId="31821EAF" w14:textId="77777777" w:rsidR="009C03B5" w:rsidRDefault="009C03B5">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8358A6" w14:textId="77777777" w:rsidR="009C03B5" w:rsidRDefault="009C03B5">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Grilledutableau"/>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8"/>
      <w:gridCol w:w="6976"/>
    </w:tblGrid>
    <w:tr w:rsidR="009C03B5" w14:paraId="66DEF2A4" w14:textId="77777777" w:rsidTr="009B1954">
      <w:tc>
        <w:tcPr>
          <w:tcW w:w="2518" w:type="dxa"/>
        </w:tcPr>
        <w:p w14:paraId="3905A52E" w14:textId="77777777" w:rsidR="009C03B5" w:rsidRDefault="009C03B5" w:rsidP="00001EDB">
          <w:pPr>
            <w:pStyle w:val="En-tte"/>
          </w:pPr>
        </w:p>
      </w:tc>
      <w:tc>
        <w:tcPr>
          <w:tcW w:w="6976" w:type="dxa"/>
        </w:tcPr>
        <w:p w14:paraId="289E95A0" w14:textId="0542DA2E" w:rsidR="009C03B5" w:rsidRPr="009B1954" w:rsidRDefault="009C03B5" w:rsidP="00E90E64">
          <w:pPr>
            <w:pStyle w:val="En-tte"/>
            <w:rPr>
              <w:i/>
              <w:iCs/>
            </w:rPr>
          </w:pPr>
          <w:r>
            <w:rPr>
              <w:i/>
              <w:iCs/>
            </w:rPr>
            <w:t xml:space="preserve">                                                      </w:t>
          </w:r>
          <w:r w:rsidRPr="009B1954">
            <w:rPr>
              <w:i/>
              <w:iCs/>
            </w:rPr>
            <w:t xml:space="preserve">Chapitre I : </w:t>
          </w:r>
          <w:r>
            <w:rPr>
              <w:i/>
              <w:iCs/>
            </w:rPr>
            <w:t xml:space="preserve">Sources des adipokines </w:t>
          </w:r>
        </w:p>
      </w:tc>
    </w:tr>
  </w:tbl>
  <w:p w14:paraId="0DF84C25" w14:textId="5FF9FAE6" w:rsidR="009C03B5" w:rsidRPr="00774723" w:rsidRDefault="009C03B5" w:rsidP="00001EDB">
    <w:pPr>
      <w:pStyle w:val="En-tte"/>
      <w:rPr>
        <w:i/>
        <w:iCs/>
      </w:rPr>
    </w:pPr>
    <w:r w:rsidRPr="00774723">
      <w:tab/>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38EB6E" w14:textId="2421E427" w:rsidR="009C03B5" w:rsidRPr="00774723" w:rsidRDefault="009C03B5" w:rsidP="008762BC">
    <w:pPr>
      <w:pStyle w:val="En-tte"/>
      <w:tabs>
        <w:tab w:val="clear" w:pos="9026"/>
        <w:tab w:val="left" w:pos="6459"/>
      </w:tabs>
      <w:rPr>
        <w:i/>
        <w:iCs/>
      </w:rPr>
    </w:pPr>
    <w:r w:rsidRPr="00774723">
      <w:tab/>
    </w:r>
    <w:r>
      <w:tab/>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Grilledutableau"/>
      <w:tblW w:w="0" w:type="auto"/>
      <w:tblLook w:val="04A0" w:firstRow="1" w:lastRow="0" w:firstColumn="1" w:lastColumn="0" w:noHBand="0" w:noVBand="1"/>
    </w:tblPr>
    <w:tblGrid>
      <w:gridCol w:w="3213"/>
      <w:gridCol w:w="581"/>
      <w:gridCol w:w="5560"/>
    </w:tblGrid>
    <w:tr w:rsidR="009C03B5" w:rsidRPr="00382403" w14:paraId="2140492A" w14:textId="77777777" w:rsidTr="00382403">
      <w:tc>
        <w:tcPr>
          <w:tcW w:w="3213" w:type="dxa"/>
          <w:tcBorders>
            <w:top w:val="nil"/>
            <w:left w:val="nil"/>
            <w:right w:val="nil"/>
          </w:tcBorders>
        </w:tcPr>
        <w:p w14:paraId="0121F8D6" w14:textId="32A04961" w:rsidR="009C03B5" w:rsidRPr="005C1A7C" w:rsidRDefault="009C03B5" w:rsidP="00962521">
          <w:pPr>
            <w:pStyle w:val="En-tte"/>
            <w:tabs>
              <w:tab w:val="clear" w:pos="4513"/>
              <w:tab w:val="clear" w:pos="9026"/>
              <w:tab w:val="left" w:pos="3373"/>
            </w:tabs>
            <w:rPr>
              <w:i/>
              <w:iCs/>
            </w:rPr>
          </w:pPr>
        </w:p>
      </w:tc>
      <w:tc>
        <w:tcPr>
          <w:tcW w:w="581" w:type="dxa"/>
          <w:tcBorders>
            <w:top w:val="nil"/>
            <w:left w:val="nil"/>
            <w:right w:val="nil"/>
          </w:tcBorders>
        </w:tcPr>
        <w:p w14:paraId="3215610B" w14:textId="77777777" w:rsidR="009C03B5" w:rsidRPr="0054062E" w:rsidRDefault="009C03B5" w:rsidP="00962521">
          <w:pPr>
            <w:pStyle w:val="En-tte"/>
          </w:pPr>
        </w:p>
      </w:tc>
      <w:tc>
        <w:tcPr>
          <w:tcW w:w="5560" w:type="dxa"/>
          <w:tcBorders>
            <w:top w:val="nil"/>
            <w:left w:val="nil"/>
            <w:right w:val="nil"/>
          </w:tcBorders>
        </w:tcPr>
        <w:p w14:paraId="0F53E9E2" w14:textId="5BD61A1D" w:rsidR="009C03B5" w:rsidRPr="00382403" w:rsidRDefault="009C03B5" w:rsidP="003A2989">
          <w:pPr>
            <w:pStyle w:val="En-tte"/>
            <w:rPr>
              <w:i/>
              <w:iCs/>
            </w:rPr>
          </w:pPr>
          <w:r>
            <w:rPr>
              <w:i/>
              <w:iCs/>
            </w:rPr>
            <w:t xml:space="preserve">  </w:t>
          </w:r>
          <w:r w:rsidRPr="00382403">
            <w:rPr>
              <w:i/>
              <w:iCs/>
            </w:rPr>
            <w:t xml:space="preserve">Chapitre </w:t>
          </w:r>
          <w:r>
            <w:rPr>
              <w:i/>
              <w:iCs/>
            </w:rPr>
            <w:t>II:</w:t>
          </w:r>
          <w:r w:rsidRPr="006B6059">
            <w:rPr>
              <w:i/>
              <w:iCs/>
            </w:rPr>
            <w:t xml:space="preserve"> </w:t>
          </w:r>
          <w:r>
            <w:rPr>
              <w:i/>
              <w:iCs/>
            </w:rPr>
            <w:t>Adipokines et leurs rôles physiologiques</w:t>
          </w:r>
        </w:p>
      </w:tc>
    </w:tr>
  </w:tbl>
  <w:p w14:paraId="7A23DCAB" w14:textId="77777777" w:rsidR="009C03B5" w:rsidRPr="00382403" w:rsidRDefault="009C03B5">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385B30" w14:textId="77777777" w:rsidR="009C03B5" w:rsidRDefault="009C03B5">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6D0213"/>
    <w:multiLevelType w:val="multilevel"/>
    <w:tmpl w:val="4D786902"/>
    <w:lvl w:ilvl="0">
      <w:start w:val="1"/>
      <w:numFmt w:val="upperRoman"/>
      <w:pStyle w:val="Titre1"/>
      <w:suff w:val="space"/>
      <w:lvlText w:val="Chapitre %1."/>
      <w:lvlJc w:val="left"/>
      <w:pPr>
        <w:ind w:left="284" w:hanging="284"/>
      </w:pPr>
      <w:rPr>
        <w:rFonts w:hint="default"/>
      </w:rPr>
    </w:lvl>
    <w:lvl w:ilvl="1">
      <w:start w:val="1"/>
      <w:numFmt w:val="decimal"/>
      <w:pStyle w:val="Titre2"/>
      <w:suff w:val="space"/>
      <w:lvlText w:val="%1.%2."/>
      <w:lvlJc w:val="left"/>
      <w:pPr>
        <w:ind w:left="284" w:hanging="28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itre3"/>
      <w:suff w:val="space"/>
      <w:lvlText w:val="%1.%2.%3."/>
      <w:lvlJc w:val="left"/>
      <w:pPr>
        <w:ind w:left="710" w:hanging="284"/>
      </w:pPr>
      <w:rPr>
        <w:rFonts w:hint="default"/>
        <w:b/>
        <w:bCs/>
      </w:rPr>
    </w:lvl>
    <w:lvl w:ilvl="3">
      <w:start w:val="1"/>
      <w:numFmt w:val="decimal"/>
      <w:pStyle w:val="Titre4"/>
      <w:suff w:val="space"/>
      <w:lvlText w:val="%1.%2.%3.%4."/>
      <w:lvlJc w:val="left"/>
      <w:pPr>
        <w:ind w:left="284" w:hanging="284"/>
      </w:pPr>
      <w:rPr>
        <w:rFonts w:hint="default"/>
      </w:rPr>
    </w:lvl>
    <w:lvl w:ilvl="4">
      <w:start w:val="1"/>
      <w:numFmt w:val="decimal"/>
      <w:pStyle w:val="Titre5"/>
      <w:lvlText w:val="%1.%2.%3.%4.%5"/>
      <w:lvlJc w:val="left"/>
      <w:pPr>
        <w:ind w:left="1420" w:hanging="284"/>
      </w:pPr>
      <w:rPr>
        <w:rFonts w:hint="default"/>
      </w:rPr>
    </w:lvl>
    <w:lvl w:ilvl="5">
      <w:start w:val="1"/>
      <w:numFmt w:val="decimal"/>
      <w:pStyle w:val="Titre6"/>
      <w:lvlText w:val="%1.%2.%3.%4.%5.%6"/>
      <w:lvlJc w:val="left"/>
      <w:pPr>
        <w:ind w:left="1704" w:hanging="284"/>
      </w:pPr>
      <w:rPr>
        <w:rFonts w:hint="default"/>
      </w:rPr>
    </w:lvl>
    <w:lvl w:ilvl="6">
      <w:start w:val="1"/>
      <w:numFmt w:val="decimal"/>
      <w:pStyle w:val="Titre7"/>
      <w:lvlText w:val="%1.%2.%3.%4.%5.%6.%7"/>
      <w:lvlJc w:val="left"/>
      <w:pPr>
        <w:ind w:left="1988" w:hanging="284"/>
      </w:pPr>
      <w:rPr>
        <w:rFonts w:hint="default"/>
      </w:rPr>
    </w:lvl>
    <w:lvl w:ilvl="7">
      <w:start w:val="1"/>
      <w:numFmt w:val="decimal"/>
      <w:pStyle w:val="Titre8"/>
      <w:lvlText w:val="%1.%2.%3.%4.%5.%6.%7.%8"/>
      <w:lvlJc w:val="left"/>
      <w:pPr>
        <w:ind w:left="2272" w:hanging="284"/>
      </w:pPr>
      <w:rPr>
        <w:rFonts w:hint="default"/>
      </w:rPr>
    </w:lvl>
    <w:lvl w:ilvl="8">
      <w:start w:val="1"/>
      <w:numFmt w:val="decimal"/>
      <w:pStyle w:val="Titre9"/>
      <w:lvlText w:val="%1.%2.%3.%4.%5.%6.%7.%8.%9"/>
      <w:lvlJc w:val="left"/>
      <w:pPr>
        <w:ind w:left="2556" w:hanging="284"/>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4"/>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2907"/>
    <w:rsid w:val="00001940"/>
    <w:rsid w:val="00001EDB"/>
    <w:rsid w:val="00005629"/>
    <w:rsid w:val="0002587F"/>
    <w:rsid w:val="00030136"/>
    <w:rsid w:val="00031F80"/>
    <w:rsid w:val="00032A60"/>
    <w:rsid w:val="000520C5"/>
    <w:rsid w:val="00065B2D"/>
    <w:rsid w:val="00067719"/>
    <w:rsid w:val="00071AE3"/>
    <w:rsid w:val="00082B62"/>
    <w:rsid w:val="00094E29"/>
    <w:rsid w:val="000B1896"/>
    <w:rsid w:val="000C4C85"/>
    <w:rsid w:val="000D46E0"/>
    <w:rsid w:val="000E28D5"/>
    <w:rsid w:val="000E613A"/>
    <w:rsid w:val="000E7772"/>
    <w:rsid w:val="000F16F7"/>
    <w:rsid w:val="000F1F21"/>
    <w:rsid w:val="001006EC"/>
    <w:rsid w:val="001159ED"/>
    <w:rsid w:val="00115ACA"/>
    <w:rsid w:val="00115F66"/>
    <w:rsid w:val="001253C1"/>
    <w:rsid w:val="00142C9B"/>
    <w:rsid w:val="0014467F"/>
    <w:rsid w:val="001512D3"/>
    <w:rsid w:val="0015382D"/>
    <w:rsid w:val="001539BA"/>
    <w:rsid w:val="0016419E"/>
    <w:rsid w:val="001A3465"/>
    <w:rsid w:val="001B1B95"/>
    <w:rsid w:val="001C502A"/>
    <w:rsid w:val="001D79B3"/>
    <w:rsid w:val="00200A61"/>
    <w:rsid w:val="00214BAE"/>
    <w:rsid w:val="00214E4D"/>
    <w:rsid w:val="00215904"/>
    <w:rsid w:val="0022582B"/>
    <w:rsid w:val="00266406"/>
    <w:rsid w:val="00275CEE"/>
    <w:rsid w:val="00283312"/>
    <w:rsid w:val="00294E35"/>
    <w:rsid w:val="002C4986"/>
    <w:rsid w:val="002E360D"/>
    <w:rsid w:val="00310CB4"/>
    <w:rsid w:val="00314144"/>
    <w:rsid w:val="003304D3"/>
    <w:rsid w:val="003457BE"/>
    <w:rsid w:val="0035662C"/>
    <w:rsid w:val="00382403"/>
    <w:rsid w:val="00391503"/>
    <w:rsid w:val="003A25E2"/>
    <w:rsid w:val="003A2989"/>
    <w:rsid w:val="003B3F11"/>
    <w:rsid w:val="003B7E7C"/>
    <w:rsid w:val="003C07C1"/>
    <w:rsid w:val="003D0FEA"/>
    <w:rsid w:val="003F1DAE"/>
    <w:rsid w:val="00414942"/>
    <w:rsid w:val="004642D6"/>
    <w:rsid w:val="0047083F"/>
    <w:rsid w:val="0048053E"/>
    <w:rsid w:val="0049264F"/>
    <w:rsid w:val="004B41A5"/>
    <w:rsid w:val="004B7D43"/>
    <w:rsid w:val="004C035B"/>
    <w:rsid w:val="004E134E"/>
    <w:rsid w:val="004F4CE5"/>
    <w:rsid w:val="00505AAD"/>
    <w:rsid w:val="00514EA0"/>
    <w:rsid w:val="0054062E"/>
    <w:rsid w:val="005416F0"/>
    <w:rsid w:val="00543FB7"/>
    <w:rsid w:val="00563084"/>
    <w:rsid w:val="00570F76"/>
    <w:rsid w:val="005715E0"/>
    <w:rsid w:val="00577033"/>
    <w:rsid w:val="00582F0D"/>
    <w:rsid w:val="005B519E"/>
    <w:rsid w:val="005C1A7C"/>
    <w:rsid w:val="005D31BA"/>
    <w:rsid w:val="005D4197"/>
    <w:rsid w:val="005F705F"/>
    <w:rsid w:val="00616EB5"/>
    <w:rsid w:val="006278CB"/>
    <w:rsid w:val="00645DA6"/>
    <w:rsid w:val="00651183"/>
    <w:rsid w:val="00671F92"/>
    <w:rsid w:val="00674D6C"/>
    <w:rsid w:val="00677BD8"/>
    <w:rsid w:val="00694E5A"/>
    <w:rsid w:val="006B6059"/>
    <w:rsid w:val="006C0F05"/>
    <w:rsid w:val="006C2129"/>
    <w:rsid w:val="006C5156"/>
    <w:rsid w:val="006C79F5"/>
    <w:rsid w:val="006D00DB"/>
    <w:rsid w:val="006D22CE"/>
    <w:rsid w:val="006D605E"/>
    <w:rsid w:val="006F5095"/>
    <w:rsid w:val="00702113"/>
    <w:rsid w:val="007178B9"/>
    <w:rsid w:val="0074055A"/>
    <w:rsid w:val="007578E0"/>
    <w:rsid w:val="0076325F"/>
    <w:rsid w:val="00774723"/>
    <w:rsid w:val="00785C11"/>
    <w:rsid w:val="00791EC1"/>
    <w:rsid w:val="00792E57"/>
    <w:rsid w:val="00794BF9"/>
    <w:rsid w:val="007A5D7C"/>
    <w:rsid w:val="007D6190"/>
    <w:rsid w:val="007E6869"/>
    <w:rsid w:val="007F1999"/>
    <w:rsid w:val="007F5F11"/>
    <w:rsid w:val="00813512"/>
    <w:rsid w:val="00834104"/>
    <w:rsid w:val="008351AA"/>
    <w:rsid w:val="00840F30"/>
    <w:rsid w:val="00856814"/>
    <w:rsid w:val="0086082C"/>
    <w:rsid w:val="008614D2"/>
    <w:rsid w:val="00871AD7"/>
    <w:rsid w:val="00872EEB"/>
    <w:rsid w:val="008762BC"/>
    <w:rsid w:val="00890FB9"/>
    <w:rsid w:val="008A2E36"/>
    <w:rsid w:val="008C2490"/>
    <w:rsid w:val="008C421D"/>
    <w:rsid w:val="008C46C9"/>
    <w:rsid w:val="008E30C5"/>
    <w:rsid w:val="008F33F0"/>
    <w:rsid w:val="008F408F"/>
    <w:rsid w:val="009074B9"/>
    <w:rsid w:val="0092363D"/>
    <w:rsid w:val="00926A66"/>
    <w:rsid w:val="009278DD"/>
    <w:rsid w:val="00932C82"/>
    <w:rsid w:val="00936697"/>
    <w:rsid w:val="00947514"/>
    <w:rsid w:val="00962109"/>
    <w:rsid w:val="00962521"/>
    <w:rsid w:val="00996C07"/>
    <w:rsid w:val="009A721B"/>
    <w:rsid w:val="009B1954"/>
    <w:rsid w:val="009C03B5"/>
    <w:rsid w:val="009D13F3"/>
    <w:rsid w:val="009E70B3"/>
    <w:rsid w:val="009F3DF1"/>
    <w:rsid w:val="009F4854"/>
    <w:rsid w:val="009F491A"/>
    <w:rsid w:val="009F6C9A"/>
    <w:rsid w:val="00A66FC5"/>
    <w:rsid w:val="00A74890"/>
    <w:rsid w:val="00A74F11"/>
    <w:rsid w:val="00A829A7"/>
    <w:rsid w:val="00A8403B"/>
    <w:rsid w:val="00A92C1E"/>
    <w:rsid w:val="00AA2CEF"/>
    <w:rsid w:val="00AB1947"/>
    <w:rsid w:val="00AB7188"/>
    <w:rsid w:val="00AD7538"/>
    <w:rsid w:val="00AE0466"/>
    <w:rsid w:val="00AE0E15"/>
    <w:rsid w:val="00AE648F"/>
    <w:rsid w:val="00AF46DF"/>
    <w:rsid w:val="00AF5579"/>
    <w:rsid w:val="00B1458C"/>
    <w:rsid w:val="00B25051"/>
    <w:rsid w:val="00B30DDC"/>
    <w:rsid w:val="00B35448"/>
    <w:rsid w:val="00B36616"/>
    <w:rsid w:val="00B37CB1"/>
    <w:rsid w:val="00B45526"/>
    <w:rsid w:val="00B5205A"/>
    <w:rsid w:val="00B54B0E"/>
    <w:rsid w:val="00B70812"/>
    <w:rsid w:val="00B77D6C"/>
    <w:rsid w:val="00B813C0"/>
    <w:rsid w:val="00B8364D"/>
    <w:rsid w:val="00B91DF5"/>
    <w:rsid w:val="00BA7112"/>
    <w:rsid w:val="00BB5451"/>
    <w:rsid w:val="00BB5A75"/>
    <w:rsid w:val="00BC670E"/>
    <w:rsid w:val="00BD3C95"/>
    <w:rsid w:val="00BE478E"/>
    <w:rsid w:val="00BF3269"/>
    <w:rsid w:val="00C01659"/>
    <w:rsid w:val="00C17DE7"/>
    <w:rsid w:val="00C3547E"/>
    <w:rsid w:val="00C6005B"/>
    <w:rsid w:val="00C75FF4"/>
    <w:rsid w:val="00C82907"/>
    <w:rsid w:val="00C86FEF"/>
    <w:rsid w:val="00CC07A1"/>
    <w:rsid w:val="00CD08C6"/>
    <w:rsid w:val="00CD49CF"/>
    <w:rsid w:val="00CD6465"/>
    <w:rsid w:val="00CD7479"/>
    <w:rsid w:val="00CD7B5F"/>
    <w:rsid w:val="00CE0317"/>
    <w:rsid w:val="00CE3CBE"/>
    <w:rsid w:val="00CE3E71"/>
    <w:rsid w:val="00CF0688"/>
    <w:rsid w:val="00CF4F55"/>
    <w:rsid w:val="00D15EAC"/>
    <w:rsid w:val="00D15F67"/>
    <w:rsid w:val="00D24FC8"/>
    <w:rsid w:val="00D2597A"/>
    <w:rsid w:val="00D35BDC"/>
    <w:rsid w:val="00D509CA"/>
    <w:rsid w:val="00D66B7B"/>
    <w:rsid w:val="00D70F57"/>
    <w:rsid w:val="00D748A2"/>
    <w:rsid w:val="00D77576"/>
    <w:rsid w:val="00D82675"/>
    <w:rsid w:val="00D86322"/>
    <w:rsid w:val="00D86D2A"/>
    <w:rsid w:val="00DA4B21"/>
    <w:rsid w:val="00DB21B1"/>
    <w:rsid w:val="00DB264F"/>
    <w:rsid w:val="00DB4145"/>
    <w:rsid w:val="00DD15DF"/>
    <w:rsid w:val="00DD2EF6"/>
    <w:rsid w:val="00E17B36"/>
    <w:rsid w:val="00E20913"/>
    <w:rsid w:val="00E26C20"/>
    <w:rsid w:val="00E339C1"/>
    <w:rsid w:val="00E33F33"/>
    <w:rsid w:val="00E54327"/>
    <w:rsid w:val="00E54F01"/>
    <w:rsid w:val="00E66E6D"/>
    <w:rsid w:val="00E83343"/>
    <w:rsid w:val="00E84E01"/>
    <w:rsid w:val="00E90E64"/>
    <w:rsid w:val="00E924C1"/>
    <w:rsid w:val="00E94DDF"/>
    <w:rsid w:val="00EA3084"/>
    <w:rsid w:val="00EA54FE"/>
    <w:rsid w:val="00EB2955"/>
    <w:rsid w:val="00ED2381"/>
    <w:rsid w:val="00ED2D02"/>
    <w:rsid w:val="00EE2EA6"/>
    <w:rsid w:val="00EF0BEA"/>
    <w:rsid w:val="00F302BB"/>
    <w:rsid w:val="00F3720F"/>
    <w:rsid w:val="00F612FD"/>
    <w:rsid w:val="00F662F4"/>
    <w:rsid w:val="00F925C0"/>
    <w:rsid w:val="00FA0E00"/>
    <w:rsid w:val="00FA159D"/>
    <w:rsid w:val="00FC59DB"/>
    <w:rsid w:val="00FE1672"/>
    <w:rsid w:val="00FF387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754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5DA6"/>
    <w:pPr>
      <w:spacing w:before="240" w:after="240" w:line="360" w:lineRule="auto"/>
      <w:jc w:val="both"/>
    </w:pPr>
    <w:rPr>
      <w:rFonts w:ascii="Times New Roman" w:eastAsia="Times New Roman" w:hAnsi="Times New Roman" w:cs="Times New Roman"/>
      <w:sz w:val="24"/>
      <w:szCs w:val="24"/>
    </w:rPr>
  </w:style>
  <w:style w:type="paragraph" w:styleId="Titre1">
    <w:name w:val="heading 1"/>
    <w:basedOn w:val="Normal"/>
    <w:next w:val="Normal"/>
    <w:link w:val="Titre1Car"/>
    <w:uiPriority w:val="9"/>
    <w:qFormat/>
    <w:rsid w:val="0015382D"/>
    <w:pPr>
      <w:keepNext/>
      <w:keepLines/>
      <w:numPr>
        <w:numId w:val="1"/>
      </w:numPr>
      <w:outlineLvl w:val="0"/>
    </w:pPr>
    <w:rPr>
      <w:rFonts w:asciiTheme="majorBidi" w:eastAsiaTheme="majorEastAsia" w:hAnsiTheme="majorBidi" w:cstheme="majorBidi"/>
      <w:b/>
      <w:sz w:val="28"/>
      <w:szCs w:val="32"/>
    </w:rPr>
  </w:style>
  <w:style w:type="paragraph" w:styleId="Titre2">
    <w:name w:val="heading 2"/>
    <w:basedOn w:val="Normal"/>
    <w:next w:val="Normal"/>
    <w:link w:val="Titre2Car"/>
    <w:uiPriority w:val="9"/>
    <w:unhideWhenUsed/>
    <w:qFormat/>
    <w:rsid w:val="006C2129"/>
    <w:pPr>
      <w:keepNext/>
      <w:keepLines/>
      <w:numPr>
        <w:ilvl w:val="1"/>
        <w:numId w:val="1"/>
      </w:numPr>
      <w:spacing w:before="120" w:after="120"/>
      <w:outlineLvl w:val="1"/>
    </w:pPr>
    <w:rPr>
      <w:rFonts w:asciiTheme="majorBidi" w:eastAsiaTheme="majorEastAsia" w:hAnsiTheme="majorBidi" w:cstheme="majorBidi"/>
      <w:b/>
      <w:szCs w:val="26"/>
    </w:rPr>
  </w:style>
  <w:style w:type="paragraph" w:styleId="Titre3">
    <w:name w:val="heading 3"/>
    <w:basedOn w:val="Normal"/>
    <w:next w:val="Normal"/>
    <w:link w:val="Titre3Car"/>
    <w:uiPriority w:val="9"/>
    <w:unhideWhenUsed/>
    <w:qFormat/>
    <w:rsid w:val="006C2129"/>
    <w:pPr>
      <w:keepNext/>
      <w:keepLines/>
      <w:numPr>
        <w:ilvl w:val="2"/>
        <w:numId w:val="1"/>
      </w:numPr>
      <w:spacing w:before="120" w:after="120"/>
      <w:ind w:left="568" w:right="340"/>
      <w:outlineLvl w:val="2"/>
    </w:pPr>
    <w:rPr>
      <w:rFonts w:asciiTheme="majorBidi" w:eastAsiaTheme="majorEastAsia" w:hAnsiTheme="majorBidi" w:cstheme="majorBidi"/>
    </w:rPr>
  </w:style>
  <w:style w:type="paragraph" w:styleId="Titre4">
    <w:name w:val="heading 4"/>
    <w:basedOn w:val="Normal"/>
    <w:next w:val="Normal"/>
    <w:link w:val="Titre4Car"/>
    <w:uiPriority w:val="9"/>
    <w:unhideWhenUsed/>
    <w:qFormat/>
    <w:rsid w:val="00834104"/>
    <w:pPr>
      <w:keepNext/>
      <w:keepLines/>
      <w:numPr>
        <w:ilvl w:val="3"/>
        <w:numId w:val="1"/>
      </w:numPr>
      <w:spacing w:before="120" w:after="120"/>
      <w:ind w:left="1136"/>
      <w:outlineLvl w:val="3"/>
    </w:pPr>
    <w:rPr>
      <w:rFonts w:asciiTheme="majorBidi" w:eastAsiaTheme="majorEastAsia" w:hAnsiTheme="majorBidi" w:cstheme="majorBidi"/>
      <w:iCs/>
    </w:rPr>
  </w:style>
  <w:style w:type="paragraph" w:styleId="Titre5">
    <w:name w:val="heading 5"/>
    <w:basedOn w:val="Normal"/>
    <w:next w:val="Normal"/>
    <w:link w:val="Titre5Car"/>
    <w:uiPriority w:val="9"/>
    <w:unhideWhenUsed/>
    <w:qFormat/>
    <w:rsid w:val="00834104"/>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834104"/>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834104"/>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834104"/>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834104"/>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82907"/>
    <w:pPr>
      <w:tabs>
        <w:tab w:val="center" w:pos="4513"/>
        <w:tab w:val="right" w:pos="9026"/>
      </w:tabs>
      <w:spacing w:before="0" w:after="0" w:line="240" w:lineRule="auto"/>
    </w:pPr>
  </w:style>
  <w:style w:type="character" w:customStyle="1" w:styleId="En-tteCar">
    <w:name w:val="En-tête Car"/>
    <w:basedOn w:val="Policepardfaut"/>
    <w:link w:val="En-tte"/>
    <w:uiPriority w:val="99"/>
    <w:rsid w:val="00C82907"/>
    <w:rPr>
      <w:rFonts w:ascii="Times New Roman" w:eastAsia="Times New Roman" w:hAnsi="Times New Roman" w:cs="Times New Roman"/>
      <w:sz w:val="24"/>
      <w:szCs w:val="24"/>
      <w:lang w:val="en-US"/>
    </w:rPr>
  </w:style>
  <w:style w:type="paragraph" w:styleId="Pieddepage">
    <w:name w:val="footer"/>
    <w:basedOn w:val="Normal"/>
    <w:link w:val="PieddepageCar"/>
    <w:uiPriority w:val="99"/>
    <w:unhideWhenUsed/>
    <w:rsid w:val="00C82907"/>
    <w:pPr>
      <w:tabs>
        <w:tab w:val="center" w:pos="4513"/>
        <w:tab w:val="right" w:pos="9026"/>
      </w:tabs>
      <w:spacing w:before="0" w:after="0" w:line="240" w:lineRule="auto"/>
    </w:pPr>
  </w:style>
  <w:style w:type="character" w:customStyle="1" w:styleId="PieddepageCar">
    <w:name w:val="Pied de page Car"/>
    <w:basedOn w:val="Policepardfaut"/>
    <w:link w:val="Pieddepage"/>
    <w:uiPriority w:val="99"/>
    <w:rsid w:val="00C82907"/>
    <w:rPr>
      <w:rFonts w:ascii="Times New Roman" w:eastAsia="Times New Roman" w:hAnsi="Times New Roman" w:cs="Times New Roman"/>
      <w:sz w:val="24"/>
      <w:szCs w:val="24"/>
      <w:lang w:val="en-US"/>
    </w:rPr>
  </w:style>
  <w:style w:type="character" w:customStyle="1" w:styleId="Titre1Car">
    <w:name w:val="Titre 1 Car"/>
    <w:basedOn w:val="Policepardfaut"/>
    <w:link w:val="Titre1"/>
    <w:uiPriority w:val="9"/>
    <w:rsid w:val="0015382D"/>
    <w:rPr>
      <w:rFonts w:asciiTheme="majorBidi" w:eastAsiaTheme="majorEastAsia" w:hAnsiTheme="majorBidi" w:cstheme="majorBidi"/>
      <w:b/>
      <w:sz w:val="28"/>
      <w:szCs w:val="32"/>
    </w:rPr>
  </w:style>
  <w:style w:type="character" w:customStyle="1" w:styleId="Titre2Car">
    <w:name w:val="Titre 2 Car"/>
    <w:basedOn w:val="Policepardfaut"/>
    <w:link w:val="Titre2"/>
    <w:uiPriority w:val="9"/>
    <w:rsid w:val="006C2129"/>
    <w:rPr>
      <w:rFonts w:asciiTheme="majorBidi" w:eastAsiaTheme="majorEastAsia" w:hAnsiTheme="majorBidi" w:cstheme="majorBidi"/>
      <w:b/>
      <w:sz w:val="24"/>
      <w:szCs w:val="26"/>
    </w:rPr>
  </w:style>
  <w:style w:type="character" w:customStyle="1" w:styleId="Titre3Car">
    <w:name w:val="Titre 3 Car"/>
    <w:basedOn w:val="Policepardfaut"/>
    <w:link w:val="Titre3"/>
    <w:uiPriority w:val="9"/>
    <w:rsid w:val="006C2129"/>
    <w:rPr>
      <w:rFonts w:asciiTheme="majorBidi" w:eastAsiaTheme="majorEastAsia" w:hAnsiTheme="majorBidi" w:cstheme="majorBidi"/>
      <w:sz w:val="24"/>
      <w:szCs w:val="24"/>
    </w:rPr>
  </w:style>
  <w:style w:type="character" w:customStyle="1" w:styleId="Titre4Car">
    <w:name w:val="Titre 4 Car"/>
    <w:basedOn w:val="Policepardfaut"/>
    <w:link w:val="Titre4"/>
    <w:uiPriority w:val="9"/>
    <w:rsid w:val="00834104"/>
    <w:rPr>
      <w:rFonts w:asciiTheme="majorBidi" w:eastAsiaTheme="majorEastAsia" w:hAnsiTheme="majorBidi" w:cstheme="majorBidi"/>
      <w:iCs/>
      <w:sz w:val="24"/>
      <w:szCs w:val="24"/>
    </w:rPr>
  </w:style>
  <w:style w:type="character" w:customStyle="1" w:styleId="Titre5Car">
    <w:name w:val="Titre 5 Car"/>
    <w:basedOn w:val="Policepardfaut"/>
    <w:link w:val="Titre5"/>
    <w:uiPriority w:val="9"/>
    <w:rsid w:val="00834104"/>
    <w:rPr>
      <w:rFonts w:asciiTheme="majorHAnsi" w:eastAsiaTheme="majorEastAsia" w:hAnsiTheme="majorHAnsi" w:cstheme="majorBidi"/>
      <w:color w:val="2F5496" w:themeColor="accent1" w:themeShade="BF"/>
      <w:sz w:val="24"/>
      <w:szCs w:val="24"/>
    </w:rPr>
  </w:style>
  <w:style w:type="character" w:customStyle="1" w:styleId="Titre6Car">
    <w:name w:val="Titre 6 Car"/>
    <w:basedOn w:val="Policepardfaut"/>
    <w:link w:val="Titre6"/>
    <w:uiPriority w:val="9"/>
    <w:semiHidden/>
    <w:rsid w:val="00834104"/>
    <w:rPr>
      <w:rFonts w:asciiTheme="majorHAnsi" w:eastAsiaTheme="majorEastAsia" w:hAnsiTheme="majorHAnsi" w:cstheme="majorBidi"/>
      <w:color w:val="1F3763" w:themeColor="accent1" w:themeShade="7F"/>
      <w:sz w:val="24"/>
      <w:szCs w:val="24"/>
    </w:rPr>
  </w:style>
  <w:style w:type="character" w:customStyle="1" w:styleId="Titre7Car">
    <w:name w:val="Titre 7 Car"/>
    <w:basedOn w:val="Policepardfaut"/>
    <w:link w:val="Titre7"/>
    <w:uiPriority w:val="9"/>
    <w:semiHidden/>
    <w:rsid w:val="00834104"/>
    <w:rPr>
      <w:rFonts w:asciiTheme="majorHAnsi" w:eastAsiaTheme="majorEastAsia" w:hAnsiTheme="majorHAnsi" w:cstheme="majorBidi"/>
      <w:i/>
      <w:iCs/>
      <w:color w:val="1F3763" w:themeColor="accent1" w:themeShade="7F"/>
      <w:sz w:val="24"/>
      <w:szCs w:val="24"/>
    </w:rPr>
  </w:style>
  <w:style w:type="character" w:customStyle="1" w:styleId="Titre8Car">
    <w:name w:val="Titre 8 Car"/>
    <w:basedOn w:val="Policepardfaut"/>
    <w:link w:val="Titre8"/>
    <w:uiPriority w:val="9"/>
    <w:semiHidden/>
    <w:rsid w:val="00834104"/>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semiHidden/>
    <w:rsid w:val="00834104"/>
    <w:rPr>
      <w:rFonts w:asciiTheme="majorHAnsi" w:eastAsiaTheme="majorEastAsia" w:hAnsiTheme="majorHAnsi" w:cstheme="majorBidi"/>
      <w:i/>
      <w:iCs/>
      <w:color w:val="272727" w:themeColor="text1" w:themeTint="D8"/>
      <w:sz w:val="21"/>
      <w:szCs w:val="21"/>
    </w:rPr>
  </w:style>
  <w:style w:type="paragraph" w:styleId="Titre">
    <w:name w:val="Title"/>
    <w:basedOn w:val="Normal"/>
    <w:next w:val="Normal"/>
    <w:link w:val="TitreCar"/>
    <w:uiPriority w:val="10"/>
    <w:qFormat/>
    <w:rsid w:val="00834104"/>
    <w:pPr>
      <w:spacing w:before="120" w:after="120" w:line="240" w:lineRule="auto"/>
      <w:contextualSpacing/>
    </w:pPr>
    <w:rPr>
      <w:rFonts w:asciiTheme="majorBidi" w:eastAsiaTheme="majorEastAsia" w:hAnsiTheme="majorBidi" w:cstheme="majorBidi"/>
      <w:spacing w:val="-10"/>
      <w:kern w:val="28"/>
      <w:szCs w:val="56"/>
    </w:rPr>
  </w:style>
  <w:style w:type="character" w:customStyle="1" w:styleId="TitreCar">
    <w:name w:val="Titre Car"/>
    <w:basedOn w:val="Policepardfaut"/>
    <w:link w:val="Titre"/>
    <w:uiPriority w:val="10"/>
    <w:rsid w:val="00834104"/>
    <w:rPr>
      <w:rFonts w:asciiTheme="majorBidi" w:eastAsiaTheme="majorEastAsia" w:hAnsiTheme="majorBidi" w:cstheme="majorBidi"/>
      <w:spacing w:val="-10"/>
      <w:kern w:val="28"/>
      <w:sz w:val="24"/>
      <w:szCs w:val="56"/>
      <w:lang w:val="en-US"/>
    </w:rPr>
  </w:style>
  <w:style w:type="table" w:styleId="Grilledutableau">
    <w:name w:val="Table Grid"/>
    <w:basedOn w:val="TableauNormal"/>
    <w:uiPriority w:val="59"/>
    <w:rsid w:val="005D31B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gende">
    <w:name w:val="caption"/>
    <w:basedOn w:val="Normal"/>
    <w:next w:val="Normal"/>
    <w:uiPriority w:val="35"/>
    <w:unhideWhenUsed/>
    <w:qFormat/>
    <w:rsid w:val="0015382D"/>
    <w:pPr>
      <w:spacing w:before="0" w:after="200" w:line="240" w:lineRule="auto"/>
    </w:pPr>
    <w:rPr>
      <w:i/>
      <w:iCs/>
      <w:color w:val="44546A" w:themeColor="text2"/>
      <w:sz w:val="18"/>
      <w:szCs w:val="18"/>
    </w:rPr>
  </w:style>
  <w:style w:type="paragraph" w:styleId="TM1">
    <w:name w:val="toc 1"/>
    <w:basedOn w:val="Normal"/>
    <w:next w:val="Normal"/>
    <w:autoRedefine/>
    <w:uiPriority w:val="39"/>
    <w:unhideWhenUsed/>
    <w:rsid w:val="00E339C1"/>
    <w:pPr>
      <w:tabs>
        <w:tab w:val="right" w:leader="dot" w:pos="9344"/>
      </w:tabs>
      <w:spacing w:after="100" w:line="276" w:lineRule="auto"/>
    </w:pPr>
    <w:rPr>
      <w:rFonts w:eastAsiaTheme="majorEastAsia"/>
      <w:b/>
      <w:bCs/>
      <w:noProof/>
    </w:rPr>
  </w:style>
  <w:style w:type="paragraph" w:styleId="TM2">
    <w:name w:val="toc 2"/>
    <w:basedOn w:val="Normal"/>
    <w:next w:val="Normal"/>
    <w:autoRedefine/>
    <w:uiPriority w:val="39"/>
    <w:unhideWhenUsed/>
    <w:rsid w:val="004B41A5"/>
    <w:pPr>
      <w:tabs>
        <w:tab w:val="right" w:leader="dot" w:pos="9344"/>
      </w:tabs>
      <w:spacing w:after="100"/>
      <w:ind w:left="240"/>
    </w:pPr>
    <w:rPr>
      <w:rFonts w:eastAsiaTheme="majorEastAsia"/>
      <w:b/>
      <w:bCs/>
      <w:noProof/>
      <w:lang w:bidi="ar-DZ"/>
    </w:rPr>
  </w:style>
  <w:style w:type="paragraph" w:styleId="TM3">
    <w:name w:val="toc 3"/>
    <w:basedOn w:val="Normal"/>
    <w:next w:val="Normal"/>
    <w:autoRedefine/>
    <w:uiPriority w:val="39"/>
    <w:unhideWhenUsed/>
    <w:rsid w:val="009C03B5"/>
    <w:pPr>
      <w:tabs>
        <w:tab w:val="right" w:leader="dot" w:pos="9344"/>
      </w:tabs>
      <w:spacing w:after="100"/>
      <w:ind w:left="480"/>
    </w:pPr>
    <w:rPr>
      <w:rFonts w:eastAsiaTheme="majorEastAsia"/>
      <w:b/>
      <w:bCs/>
      <w:noProof/>
      <w:lang w:bidi="ar-DZ"/>
    </w:rPr>
  </w:style>
  <w:style w:type="character" w:styleId="Lienhypertexte">
    <w:name w:val="Hyperlink"/>
    <w:basedOn w:val="Policepardfaut"/>
    <w:uiPriority w:val="99"/>
    <w:unhideWhenUsed/>
    <w:rsid w:val="00FC59DB"/>
    <w:rPr>
      <w:color w:val="0563C1" w:themeColor="hyperlink"/>
      <w:u w:val="single"/>
    </w:rPr>
  </w:style>
  <w:style w:type="paragraph" w:styleId="Tabledesillustrations">
    <w:name w:val="table of figures"/>
    <w:basedOn w:val="Normal"/>
    <w:next w:val="Normal"/>
    <w:uiPriority w:val="99"/>
    <w:unhideWhenUsed/>
    <w:rsid w:val="00FC59DB"/>
    <w:pPr>
      <w:spacing w:after="0"/>
    </w:pPr>
  </w:style>
  <w:style w:type="paragraph" w:styleId="Paragraphedeliste">
    <w:name w:val="List Paragraph"/>
    <w:basedOn w:val="Normal"/>
    <w:uiPriority w:val="34"/>
    <w:qFormat/>
    <w:rsid w:val="00B1458C"/>
    <w:pPr>
      <w:spacing w:before="0" w:after="200" w:line="276" w:lineRule="auto"/>
      <w:ind w:left="720"/>
      <w:contextualSpacing/>
      <w:jc w:val="left"/>
    </w:pPr>
    <w:rPr>
      <w:rFonts w:asciiTheme="minorHAnsi" w:eastAsiaTheme="minorHAnsi" w:hAnsiTheme="minorHAnsi" w:cstheme="minorBidi"/>
      <w:sz w:val="22"/>
      <w:szCs w:val="22"/>
    </w:rPr>
  </w:style>
  <w:style w:type="paragraph" w:styleId="Textedebulles">
    <w:name w:val="Balloon Text"/>
    <w:basedOn w:val="Normal"/>
    <w:link w:val="TextedebullesCar"/>
    <w:uiPriority w:val="99"/>
    <w:semiHidden/>
    <w:unhideWhenUsed/>
    <w:rsid w:val="00FE1672"/>
    <w:pPr>
      <w:spacing w:before="0"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E1672"/>
    <w:rPr>
      <w:rFonts w:ascii="Tahoma" w:eastAsia="Times New Roman" w:hAnsi="Tahoma" w:cs="Tahoma"/>
      <w:sz w:val="16"/>
      <w:szCs w:val="16"/>
    </w:rPr>
  </w:style>
  <w:style w:type="paragraph" w:styleId="Notedebasdepage">
    <w:name w:val="footnote text"/>
    <w:basedOn w:val="Normal"/>
    <w:link w:val="NotedebasdepageCar"/>
    <w:uiPriority w:val="99"/>
    <w:semiHidden/>
    <w:unhideWhenUsed/>
    <w:rsid w:val="00671F92"/>
    <w:pPr>
      <w:spacing w:before="0" w:after="0" w:line="240" w:lineRule="auto"/>
    </w:pPr>
    <w:rPr>
      <w:sz w:val="20"/>
      <w:szCs w:val="20"/>
    </w:rPr>
  </w:style>
  <w:style w:type="character" w:customStyle="1" w:styleId="NotedebasdepageCar">
    <w:name w:val="Note de bas de page Car"/>
    <w:basedOn w:val="Policepardfaut"/>
    <w:link w:val="Notedebasdepage"/>
    <w:uiPriority w:val="99"/>
    <w:semiHidden/>
    <w:rsid w:val="00671F92"/>
    <w:rPr>
      <w:rFonts w:ascii="Times New Roman" w:eastAsia="Times New Roman" w:hAnsi="Times New Roman" w:cs="Times New Roman"/>
      <w:sz w:val="20"/>
      <w:szCs w:val="20"/>
    </w:rPr>
  </w:style>
  <w:style w:type="character" w:styleId="Appelnotedebasdep">
    <w:name w:val="footnote reference"/>
    <w:basedOn w:val="Policepardfaut"/>
    <w:uiPriority w:val="99"/>
    <w:semiHidden/>
    <w:unhideWhenUsed/>
    <w:rsid w:val="00671F92"/>
    <w:rPr>
      <w:vertAlign w:val="superscript"/>
    </w:rPr>
  </w:style>
  <w:style w:type="character" w:styleId="Marquedecommentaire">
    <w:name w:val="annotation reference"/>
    <w:basedOn w:val="Policepardfaut"/>
    <w:uiPriority w:val="99"/>
    <w:semiHidden/>
    <w:unhideWhenUsed/>
    <w:rsid w:val="00671F92"/>
    <w:rPr>
      <w:sz w:val="16"/>
      <w:szCs w:val="16"/>
    </w:rPr>
  </w:style>
  <w:style w:type="paragraph" w:styleId="Commentaire">
    <w:name w:val="annotation text"/>
    <w:basedOn w:val="Normal"/>
    <w:link w:val="CommentaireCar"/>
    <w:uiPriority w:val="99"/>
    <w:semiHidden/>
    <w:unhideWhenUsed/>
    <w:rsid w:val="00671F92"/>
    <w:pPr>
      <w:spacing w:line="240" w:lineRule="auto"/>
    </w:pPr>
    <w:rPr>
      <w:sz w:val="20"/>
      <w:szCs w:val="20"/>
    </w:rPr>
  </w:style>
  <w:style w:type="character" w:customStyle="1" w:styleId="CommentaireCar">
    <w:name w:val="Commentaire Car"/>
    <w:basedOn w:val="Policepardfaut"/>
    <w:link w:val="Commentaire"/>
    <w:uiPriority w:val="99"/>
    <w:semiHidden/>
    <w:rsid w:val="00671F92"/>
    <w:rPr>
      <w:rFonts w:ascii="Times New Roman" w:eastAsia="Times New Roman" w:hAnsi="Times New Roman" w:cs="Times New Roman"/>
      <w:sz w:val="20"/>
      <w:szCs w:val="20"/>
    </w:rPr>
  </w:style>
  <w:style w:type="paragraph" w:styleId="Objetducommentaire">
    <w:name w:val="annotation subject"/>
    <w:basedOn w:val="Commentaire"/>
    <w:next w:val="Commentaire"/>
    <w:link w:val="ObjetducommentaireCar"/>
    <w:uiPriority w:val="99"/>
    <w:semiHidden/>
    <w:unhideWhenUsed/>
    <w:rsid w:val="00671F92"/>
    <w:rPr>
      <w:b/>
      <w:bCs/>
    </w:rPr>
  </w:style>
  <w:style w:type="character" w:customStyle="1" w:styleId="ObjetducommentaireCar">
    <w:name w:val="Objet du commentaire Car"/>
    <w:basedOn w:val="CommentaireCar"/>
    <w:link w:val="Objetducommentaire"/>
    <w:uiPriority w:val="99"/>
    <w:semiHidden/>
    <w:rsid w:val="00671F92"/>
    <w:rPr>
      <w:rFonts w:ascii="Times New Roman" w:eastAsia="Times New Roman" w:hAnsi="Times New Roman" w:cs="Times New Roman"/>
      <w:b/>
      <w:bCs/>
      <w:sz w:val="20"/>
      <w:szCs w:val="20"/>
    </w:rPr>
  </w:style>
  <w:style w:type="paragraph" w:styleId="NormalWeb">
    <w:name w:val="Normal (Web)"/>
    <w:basedOn w:val="Normal"/>
    <w:uiPriority w:val="99"/>
    <w:semiHidden/>
    <w:unhideWhenUsed/>
    <w:rsid w:val="00275CEE"/>
    <w:pPr>
      <w:spacing w:before="100" w:beforeAutospacing="1" w:after="100" w:afterAutospacing="1" w:line="240" w:lineRule="auto"/>
      <w:jc w:val="left"/>
    </w:pPr>
    <w:rPr>
      <w:lang w:eastAsia="fr-FR"/>
    </w:rPr>
  </w:style>
  <w:style w:type="paragraph" w:styleId="z-Hautduformulaire">
    <w:name w:val="HTML Top of Form"/>
    <w:basedOn w:val="Normal"/>
    <w:next w:val="Normal"/>
    <w:link w:val="z-HautduformulaireCar"/>
    <w:hidden/>
    <w:uiPriority w:val="99"/>
    <w:semiHidden/>
    <w:unhideWhenUsed/>
    <w:rsid w:val="00275CEE"/>
    <w:pPr>
      <w:pBdr>
        <w:bottom w:val="single" w:sz="6" w:space="1" w:color="auto"/>
      </w:pBdr>
      <w:spacing w:before="0" w:after="0" w:line="240" w:lineRule="auto"/>
      <w:jc w:val="center"/>
    </w:pPr>
    <w:rPr>
      <w:rFonts w:ascii="Arial" w:hAnsi="Arial" w:cs="Arial"/>
      <w:vanish/>
      <w:sz w:val="16"/>
      <w:szCs w:val="16"/>
      <w:lang w:eastAsia="fr-FR"/>
    </w:rPr>
  </w:style>
  <w:style w:type="character" w:customStyle="1" w:styleId="z-HautduformulaireCar">
    <w:name w:val="z-Haut du formulaire Car"/>
    <w:basedOn w:val="Policepardfaut"/>
    <w:link w:val="z-Hautduformulaire"/>
    <w:uiPriority w:val="99"/>
    <w:semiHidden/>
    <w:rsid w:val="00275CEE"/>
    <w:rPr>
      <w:rFonts w:ascii="Arial" w:eastAsia="Times New Roman" w:hAnsi="Arial" w:cs="Arial"/>
      <w:vanish/>
      <w:sz w:val="16"/>
      <w:szCs w:val="16"/>
      <w:lang w:eastAsia="fr-FR"/>
    </w:rPr>
  </w:style>
  <w:style w:type="paragraph" w:styleId="z-Basduformulaire">
    <w:name w:val="HTML Bottom of Form"/>
    <w:basedOn w:val="Normal"/>
    <w:next w:val="Normal"/>
    <w:link w:val="z-BasduformulaireCar"/>
    <w:hidden/>
    <w:uiPriority w:val="99"/>
    <w:semiHidden/>
    <w:unhideWhenUsed/>
    <w:rsid w:val="00275CEE"/>
    <w:pPr>
      <w:pBdr>
        <w:top w:val="single" w:sz="6" w:space="1" w:color="auto"/>
      </w:pBdr>
      <w:spacing w:before="0" w:after="0" w:line="240" w:lineRule="auto"/>
      <w:jc w:val="center"/>
    </w:pPr>
    <w:rPr>
      <w:rFonts w:ascii="Arial" w:hAnsi="Arial" w:cs="Arial"/>
      <w:vanish/>
      <w:sz w:val="16"/>
      <w:szCs w:val="16"/>
      <w:lang w:eastAsia="fr-FR"/>
    </w:rPr>
  </w:style>
  <w:style w:type="character" w:customStyle="1" w:styleId="z-BasduformulaireCar">
    <w:name w:val="z-Bas du formulaire Car"/>
    <w:basedOn w:val="Policepardfaut"/>
    <w:link w:val="z-Basduformulaire"/>
    <w:uiPriority w:val="99"/>
    <w:semiHidden/>
    <w:rsid w:val="00275CEE"/>
    <w:rPr>
      <w:rFonts w:ascii="Arial" w:eastAsia="Times New Roman" w:hAnsi="Arial" w:cs="Arial"/>
      <w:vanish/>
      <w:sz w:val="16"/>
      <w:szCs w:val="16"/>
      <w:lang w:eastAsia="fr-FR"/>
    </w:rPr>
  </w:style>
  <w:style w:type="paragraph" w:styleId="Sansinterligne">
    <w:name w:val="No Spacing"/>
    <w:uiPriority w:val="1"/>
    <w:qFormat/>
    <w:rsid w:val="00314144"/>
    <w:pPr>
      <w:spacing w:after="0" w:line="240" w:lineRule="auto"/>
      <w:jc w:val="both"/>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5DA6"/>
    <w:pPr>
      <w:spacing w:before="240" w:after="240" w:line="360" w:lineRule="auto"/>
      <w:jc w:val="both"/>
    </w:pPr>
    <w:rPr>
      <w:rFonts w:ascii="Times New Roman" w:eastAsia="Times New Roman" w:hAnsi="Times New Roman" w:cs="Times New Roman"/>
      <w:sz w:val="24"/>
      <w:szCs w:val="24"/>
    </w:rPr>
  </w:style>
  <w:style w:type="paragraph" w:styleId="Titre1">
    <w:name w:val="heading 1"/>
    <w:basedOn w:val="Normal"/>
    <w:next w:val="Normal"/>
    <w:link w:val="Titre1Car"/>
    <w:uiPriority w:val="9"/>
    <w:qFormat/>
    <w:rsid w:val="0015382D"/>
    <w:pPr>
      <w:keepNext/>
      <w:keepLines/>
      <w:numPr>
        <w:numId w:val="1"/>
      </w:numPr>
      <w:outlineLvl w:val="0"/>
    </w:pPr>
    <w:rPr>
      <w:rFonts w:asciiTheme="majorBidi" w:eastAsiaTheme="majorEastAsia" w:hAnsiTheme="majorBidi" w:cstheme="majorBidi"/>
      <w:b/>
      <w:sz w:val="28"/>
      <w:szCs w:val="32"/>
    </w:rPr>
  </w:style>
  <w:style w:type="paragraph" w:styleId="Titre2">
    <w:name w:val="heading 2"/>
    <w:basedOn w:val="Normal"/>
    <w:next w:val="Normal"/>
    <w:link w:val="Titre2Car"/>
    <w:uiPriority w:val="9"/>
    <w:unhideWhenUsed/>
    <w:qFormat/>
    <w:rsid w:val="006C2129"/>
    <w:pPr>
      <w:keepNext/>
      <w:keepLines/>
      <w:numPr>
        <w:ilvl w:val="1"/>
        <w:numId w:val="1"/>
      </w:numPr>
      <w:spacing w:before="120" w:after="120"/>
      <w:outlineLvl w:val="1"/>
    </w:pPr>
    <w:rPr>
      <w:rFonts w:asciiTheme="majorBidi" w:eastAsiaTheme="majorEastAsia" w:hAnsiTheme="majorBidi" w:cstheme="majorBidi"/>
      <w:b/>
      <w:szCs w:val="26"/>
    </w:rPr>
  </w:style>
  <w:style w:type="paragraph" w:styleId="Titre3">
    <w:name w:val="heading 3"/>
    <w:basedOn w:val="Normal"/>
    <w:next w:val="Normal"/>
    <w:link w:val="Titre3Car"/>
    <w:uiPriority w:val="9"/>
    <w:unhideWhenUsed/>
    <w:qFormat/>
    <w:rsid w:val="006C2129"/>
    <w:pPr>
      <w:keepNext/>
      <w:keepLines/>
      <w:numPr>
        <w:ilvl w:val="2"/>
        <w:numId w:val="1"/>
      </w:numPr>
      <w:spacing w:before="120" w:after="120"/>
      <w:ind w:left="568" w:right="340"/>
      <w:outlineLvl w:val="2"/>
    </w:pPr>
    <w:rPr>
      <w:rFonts w:asciiTheme="majorBidi" w:eastAsiaTheme="majorEastAsia" w:hAnsiTheme="majorBidi" w:cstheme="majorBidi"/>
    </w:rPr>
  </w:style>
  <w:style w:type="paragraph" w:styleId="Titre4">
    <w:name w:val="heading 4"/>
    <w:basedOn w:val="Normal"/>
    <w:next w:val="Normal"/>
    <w:link w:val="Titre4Car"/>
    <w:uiPriority w:val="9"/>
    <w:unhideWhenUsed/>
    <w:qFormat/>
    <w:rsid w:val="00834104"/>
    <w:pPr>
      <w:keepNext/>
      <w:keepLines/>
      <w:numPr>
        <w:ilvl w:val="3"/>
        <w:numId w:val="1"/>
      </w:numPr>
      <w:spacing w:before="120" w:after="120"/>
      <w:ind w:left="1136"/>
      <w:outlineLvl w:val="3"/>
    </w:pPr>
    <w:rPr>
      <w:rFonts w:asciiTheme="majorBidi" w:eastAsiaTheme="majorEastAsia" w:hAnsiTheme="majorBidi" w:cstheme="majorBidi"/>
      <w:iCs/>
    </w:rPr>
  </w:style>
  <w:style w:type="paragraph" w:styleId="Titre5">
    <w:name w:val="heading 5"/>
    <w:basedOn w:val="Normal"/>
    <w:next w:val="Normal"/>
    <w:link w:val="Titre5Car"/>
    <w:uiPriority w:val="9"/>
    <w:unhideWhenUsed/>
    <w:qFormat/>
    <w:rsid w:val="00834104"/>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834104"/>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834104"/>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834104"/>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834104"/>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82907"/>
    <w:pPr>
      <w:tabs>
        <w:tab w:val="center" w:pos="4513"/>
        <w:tab w:val="right" w:pos="9026"/>
      </w:tabs>
      <w:spacing w:before="0" w:after="0" w:line="240" w:lineRule="auto"/>
    </w:pPr>
  </w:style>
  <w:style w:type="character" w:customStyle="1" w:styleId="En-tteCar">
    <w:name w:val="En-tête Car"/>
    <w:basedOn w:val="Policepardfaut"/>
    <w:link w:val="En-tte"/>
    <w:uiPriority w:val="99"/>
    <w:rsid w:val="00C82907"/>
    <w:rPr>
      <w:rFonts w:ascii="Times New Roman" w:eastAsia="Times New Roman" w:hAnsi="Times New Roman" w:cs="Times New Roman"/>
      <w:sz w:val="24"/>
      <w:szCs w:val="24"/>
      <w:lang w:val="en-US"/>
    </w:rPr>
  </w:style>
  <w:style w:type="paragraph" w:styleId="Pieddepage">
    <w:name w:val="footer"/>
    <w:basedOn w:val="Normal"/>
    <w:link w:val="PieddepageCar"/>
    <w:uiPriority w:val="99"/>
    <w:unhideWhenUsed/>
    <w:rsid w:val="00C82907"/>
    <w:pPr>
      <w:tabs>
        <w:tab w:val="center" w:pos="4513"/>
        <w:tab w:val="right" w:pos="9026"/>
      </w:tabs>
      <w:spacing w:before="0" w:after="0" w:line="240" w:lineRule="auto"/>
    </w:pPr>
  </w:style>
  <w:style w:type="character" w:customStyle="1" w:styleId="PieddepageCar">
    <w:name w:val="Pied de page Car"/>
    <w:basedOn w:val="Policepardfaut"/>
    <w:link w:val="Pieddepage"/>
    <w:uiPriority w:val="99"/>
    <w:rsid w:val="00C82907"/>
    <w:rPr>
      <w:rFonts w:ascii="Times New Roman" w:eastAsia="Times New Roman" w:hAnsi="Times New Roman" w:cs="Times New Roman"/>
      <w:sz w:val="24"/>
      <w:szCs w:val="24"/>
      <w:lang w:val="en-US"/>
    </w:rPr>
  </w:style>
  <w:style w:type="character" w:customStyle="1" w:styleId="Titre1Car">
    <w:name w:val="Titre 1 Car"/>
    <w:basedOn w:val="Policepardfaut"/>
    <w:link w:val="Titre1"/>
    <w:uiPriority w:val="9"/>
    <w:rsid w:val="0015382D"/>
    <w:rPr>
      <w:rFonts w:asciiTheme="majorBidi" w:eastAsiaTheme="majorEastAsia" w:hAnsiTheme="majorBidi" w:cstheme="majorBidi"/>
      <w:b/>
      <w:sz w:val="28"/>
      <w:szCs w:val="32"/>
    </w:rPr>
  </w:style>
  <w:style w:type="character" w:customStyle="1" w:styleId="Titre2Car">
    <w:name w:val="Titre 2 Car"/>
    <w:basedOn w:val="Policepardfaut"/>
    <w:link w:val="Titre2"/>
    <w:uiPriority w:val="9"/>
    <w:rsid w:val="006C2129"/>
    <w:rPr>
      <w:rFonts w:asciiTheme="majorBidi" w:eastAsiaTheme="majorEastAsia" w:hAnsiTheme="majorBidi" w:cstheme="majorBidi"/>
      <w:b/>
      <w:sz w:val="24"/>
      <w:szCs w:val="26"/>
    </w:rPr>
  </w:style>
  <w:style w:type="character" w:customStyle="1" w:styleId="Titre3Car">
    <w:name w:val="Titre 3 Car"/>
    <w:basedOn w:val="Policepardfaut"/>
    <w:link w:val="Titre3"/>
    <w:uiPriority w:val="9"/>
    <w:rsid w:val="006C2129"/>
    <w:rPr>
      <w:rFonts w:asciiTheme="majorBidi" w:eastAsiaTheme="majorEastAsia" w:hAnsiTheme="majorBidi" w:cstheme="majorBidi"/>
      <w:sz w:val="24"/>
      <w:szCs w:val="24"/>
    </w:rPr>
  </w:style>
  <w:style w:type="character" w:customStyle="1" w:styleId="Titre4Car">
    <w:name w:val="Titre 4 Car"/>
    <w:basedOn w:val="Policepardfaut"/>
    <w:link w:val="Titre4"/>
    <w:uiPriority w:val="9"/>
    <w:rsid w:val="00834104"/>
    <w:rPr>
      <w:rFonts w:asciiTheme="majorBidi" w:eastAsiaTheme="majorEastAsia" w:hAnsiTheme="majorBidi" w:cstheme="majorBidi"/>
      <w:iCs/>
      <w:sz w:val="24"/>
      <w:szCs w:val="24"/>
    </w:rPr>
  </w:style>
  <w:style w:type="character" w:customStyle="1" w:styleId="Titre5Car">
    <w:name w:val="Titre 5 Car"/>
    <w:basedOn w:val="Policepardfaut"/>
    <w:link w:val="Titre5"/>
    <w:uiPriority w:val="9"/>
    <w:rsid w:val="00834104"/>
    <w:rPr>
      <w:rFonts w:asciiTheme="majorHAnsi" w:eastAsiaTheme="majorEastAsia" w:hAnsiTheme="majorHAnsi" w:cstheme="majorBidi"/>
      <w:color w:val="2F5496" w:themeColor="accent1" w:themeShade="BF"/>
      <w:sz w:val="24"/>
      <w:szCs w:val="24"/>
    </w:rPr>
  </w:style>
  <w:style w:type="character" w:customStyle="1" w:styleId="Titre6Car">
    <w:name w:val="Titre 6 Car"/>
    <w:basedOn w:val="Policepardfaut"/>
    <w:link w:val="Titre6"/>
    <w:uiPriority w:val="9"/>
    <w:semiHidden/>
    <w:rsid w:val="00834104"/>
    <w:rPr>
      <w:rFonts w:asciiTheme="majorHAnsi" w:eastAsiaTheme="majorEastAsia" w:hAnsiTheme="majorHAnsi" w:cstheme="majorBidi"/>
      <w:color w:val="1F3763" w:themeColor="accent1" w:themeShade="7F"/>
      <w:sz w:val="24"/>
      <w:szCs w:val="24"/>
    </w:rPr>
  </w:style>
  <w:style w:type="character" w:customStyle="1" w:styleId="Titre7Car">
    <w:name w:val="Titre 7 Car"/>
    <w:basedOn w:val="Policepardfaut"/>
    <w:link w:val="Titre7"/>
    <w:uiPriority w:val="9"/>
    <w:semiHidden/>
    <w:rsid w:val="00834104"/>
    <w:rPr>
      <w:rFonts w:asciiTheme="majorHAnsi" w:eastAsiaTheme="majorEastAsia" w:hAnsiTheme="majorHAnsi" w:cstheme="majorBidi"/>
      <w:i/>
      <w:iCs/>
      <w:color w:val="1F3763" w:themeColor="accent1" w:themeShade="7F"/>
      <w:sz w:val="24"/>
      <w:szCs w:val="24"/>
    </w:rPr>
  </w:style>
  <w:style w:type="character" w:customStyle="1" w:styleId="Titre8Car">
    <w:name w:val="Titre 8 Car"/>
    <w:basedOn w:val="Policepardfaut"/>
    <w:link w:val="Titre8"/>
    <w:uiPriority w:val="9"/>
    <w:semiHidden/>
    <w:rsid w:val="00834104"/>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semiHidden/>
    <w:rsid w:val="00834104"/>
    <w:rPr>
      <w:rFonts w:asciiTheme="majorHAnsi" w:eastAsiaTheme="majorEastAsia" w:hAnsiTheme="majorHAnsi" w:cstheme="majorBidi"/>
      <w:i/>
      <w:iCs/>
      <w:color w:val="272727" w:themeColor="text1" w:themeTint="D8"/>
      <w:sz w:val="21"/>
      <w:szCs w:val="21"/>
    </w:rPr>
  </w:style>
  <w:style w:type="paragraph" w:styleId="Titre">
    <w:name w:val="Title"/>
    <w:basedOn w:val="Normal"/>
    <w:next w:val="Normal"/>
    <w:link w:val="TitreCar"/>
    <w:uiPriority w:val="10"/>
    <w:qFormat/>
    <w:rsid w:val="00834104"/>
    <w:pPr>
      <w:spacing w:before="120" w:after="120" w:line="240" w:lineRule="auto"/>
      <w:contextualSpacing/>
    </w:pPr>
    <w:rPr>
      <w:rFonts w:asciiTheme="majorBidi" w:eastAsiaTheme="majorEastAsia" w:hAnsiTheme="majorBidi" w:cstheme="majorBidi"/>
      <w:spacing w:val="-10"/>
      <w:kern w:val="28"/>
      <w:szCs w:val="56"/>
    </w:rPr>
  </w:style>
  <w:style w:type="character" w:customStyle="1" w:styleId="TitreCar">
    <w:name w:val="Titre Car"/>
    <w:basedOn w:val="Policepardfaut"/>
    <w:link w:val="Titre"/>
    <w:uiPriority w:val="10"/>
    <w:rsid w:val="00834104"/>
    <w:rPr>
      <w:rFonts w:asciiTheme="majorBidi" w:eastAsiaTheme="majorEastAsia" w:hAnsiTheme="majorBidi" w:cstheme="majorBidi"/>
      <w:spacing w:val="-10"/>
      <w:kern w:val="28"/>
      <w:sz w:val="24"/>
      <w:szCs w:val="56"/>
      <w:lang w:val="en-US"/>
    </w:rPr>
  </w:style>
  <w:style w:type="table" w:styleId="Grilledutableau">
    <w:name w:val="Table Grid"/>
    <w:basedOn w:val="TableauNormal"/>
    <w:uiPriority w:val="59"/>
    <w:rsid w:val="005D31B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gende">
    <w:name w:val="caption"/>
    <w:basedOn w:val="Normal"/>
    <w:next w:val="Normal"/>
    <w:uiPriority w:val="35"/>
    <w:unhideWhenUsed/>
    <w:qFormat/>
    <w:rsid w:val="0015382D"/>
    <w:pPr>
      <w:spacing w:before="0" w:after="200" w:line="240" w:lineRule="auto"/>
    </w:pPr>
    <w:rPr>
      <w:i/>
      <w:iCs/>
      <w:color w:val="44546A" w:themeColor="text2"/>
      <w:sz w:val="18"/>
      <w:szCs w:val="18"/>
    </w:rPr>
  </w:style>
  <w:style w:type="paragraph" w:styleId="TM1">
    <w:name w:val="toc 1"/>
    <w:basedOn w:val="Normal"/>
    <w:next w:val="Normal"/>
    <w:autoRedefine/>
    <w:uiPriority w:val="39"/>
    <w:unhideWhenUsed/>
    <w:rsid w:val="00E339C1"/>
    <w:pPr>
      <w:tabs>
        <w:tab w:val="right" w:leader="dot" w:pos="9344"/>
      </w:tabs>
      <w:spacing w:after="100" w:line="276" w:lineRule="auto"/>
    </w:pPr>
    <w:rPr>
      <w:rFonts w:eastAsiaTheme="majorEastAsia"/>
      <w:b/>
      <w:bCs/>
      <w:noProof/>
    </w:rPr>
  </w:style>
  <w:style w:type="paragraph" w:styleId="TM2">
    <w:name w:val="toc 2"/>
    <w:basedOn w:val="Normal"/>
    <w:next w:val="Normal"/>
    <w:autoRedefine/>
    <w:uiPriority w:val="39"/>
    <w:unhideWhenUsed/>
    <w:rsid w:val="004B41A5"/>
    <w:pPr>
      <w:tabs>
        <w:tab w:val="right" w:leader="dot" w:pos="9344"/>
      </w:tabs>
      <w:spacing w:after="100"/>
      <w:ind w:left="240"/>
    </w:pPr>
    <w:rPr>
      <w:rFonts w:eastAsiaTheme="majorEastAsia"/>
      <w:b/>
      <w:bCs/>
      <w:noProof/>
      <w:lang w:bidi="ar-DZ"/>
    </w:rPr>
  </w:style>
  <w:style w:type="paragraph" w:styleId="TM3">
    <w:name w:val="toc 3"/>
    <w:basedOn w:val="Normal"/>
    <w:next w:val="Normal"/>
    <w:autoRedefine/>
    <w:uiPriority w:val="39"/>
    <w:unhideWhenUsed/>
    <w:rsid w:val="009C03B5"/>
    <w:pPr>
      <w:tabs>
        <w:tab w:val="right" w:leader="dot" w:pos="9344"/>
      </w:tabs>
      <w:spacing w:after="100"/>
      <w:ind w:left="480"/>
    </w:pPr>
    <w:rPr>
      <w:rFonts w:eastAsiaTheme="majorEastAsia"/>
      <w:b/>
      <w:bCs/>
      <w:noProof/>
      <w:lang w:bidi="ar-DZ"/>
    </w:rPr>
  </w:style>
  <w:style w:type="character" w:styleId="Lienhypertexte">
    <w:name w:val="Hyperlink"/>
    <w:basedOn w:val="Policepardfaut"/>
    <w:uiPriority w:val="99"/>
    <w:unhideWhenUsed/>
    <w:rsid w:val="00FC59DB"/>
    <w:rPr>
      <w:color w:val="0563C1" w:themeColor="hyperlink"/>
      <w:u w:val="single"/>
    </w:rPr>
  </w:style>
  <w:style w:type="paragraph" w:styleId="Tabledesillustrations">
    <w:name w:val="table of figures"/>
    <w:basedOn w:val="Normal"/>
    <w:next w:val="Normal"/>
    <w:uiPriority w:val="99"/>
    <w:unhideWhenUsed/>
    <w:rsid w:val="00FC59DB"/>
    <w:pPr>
      <w:spacing w:after="0"/>
    </w:pPr>
  </w:style>
  <w:style w:type="paragraph" w:styleId="Paragraphedeliste">
    <w:name w:val="List Paragraph"/>
    <w:basedOn w:val="Normal"/>
    <w:uiPriority w:val="34"/>
    <w:qFormat/>
    <w:rsid w:val="00B1458C"/>
    <w:pPr>
      <w:spacing w:before="0" w:after="200" w:line="276" w:lineRule="auto"/>
      <w:ind w:left="720"/>
      <w:contextualSpacing/>
      <w:jc w:val="left"/>
    </w:pPr>
    <w:rPr>
      <w:rFonts w:asciiTheme="minorHAnsi" w:eastAsiaTheme="minorHAnsi" w:hAnsiTheme="minorHAnsi" w:cstheme="minorBidi"/>
      <w:sz w:val="22"/>
      <w:szCs w:val="22"/>
    </w:rPr>
  </w:style>
  <w:style w:type="paragraph" w:styleId="Textedebulles">
    <w:name w:val="Balloon Text"/>
    <w:basedOn w:val="Normal"/>
    <w:link w:val="TextedebullesCar"/>
    <w:uiPriority w:val="99"/>
    <w:semiHidden/>
    <w:unhideWhenUsed/>
    <w:rsid w:val="00FE1672"/>
    <w:pPr>
      <w:spacing w:before="0"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E1672"/>
    <w:rPr>
      <w:rFonts w:ascii="Tahoma" w:eastAsia="Times New Roman" w:hAnsi="Tahoma" w:cs="Tahoma"/>
      <w:sz w:val="16"/>
      <w:szCs w:val="16"/>
    </w:rPr>
  </w:style>
  <w:style w:type="paragraph" w:styleId="Notedebasdepage">
    <w:name w:val="footnote text"/>
    <w:basedOn w:val="Normal"/>
    <w:link w:val="NotedebasdepageCar"/>
    <w:uiPriority w:val="99"/>
    <w:semiHidden/>
    <w:unhideWhenUsed/>
    <w:rsid w:val="00671F92"/>
    <w:pPr>
      <w:spacing w:before="0" w:after="0" w:line="240" w:lineRule="auto"/>
    </w:pPr>
    <w:rPr>
      <w:sz w:val="20"/>
      <w:szCs w:val="20"/>
    </w:rPr>
  </w:style>
  <w:style w:type="character" w:customStyle="1" w:styleId="NotedebasdepageCar">
    <w:name w:val="Note de bas de page Car"/>
    <w:basedOn w:val="Policepardfaut"/>
    <w:link w:val="Notedebasdepage"/>
    <w:uiPriority w:val="99"/>
    <w:semiHidden/>
    <w:rsid w:val="00671F92"/>
    <w:rPr>
      <w:rFonts w:ascii="Times New Roman" w:eastAsia="Times New Roman" w:hAnsi="Times New Roman" w:cs="Times New Roman"/>
      <w:sz w:val="20"/>
      <w:szCs w:val="20"/>
    </w:rPr>
  </w:style>
  <w:style w:type="character" w:styleId="Appelnotedebasdep">
    <w:name w:val="footnote reference"/>
    <w:basedOn w:val="Policepardfaut"/>
    <w:uiPriority w:val="99"/>
    <w:semiHidden/>
    <w:unhideWhenUsed/>
    <w:rsid w:val="00671F92"/>
    <w:rPr>
      <w:vertAlign w:val="superscript"/>
    </w:rPr>
  </w:style>
  <w:style w:type="character" w:styleId="Marquedecommentaire">
    <w:name w:val="annotation reference"/>
    <w:basedOn w:val="Policepardfaut"/>
    <w:uiPriority w:val="99"/>
    <w:semiHidden/>
    <w:unhideWhenUsed/>
    <w:rsid w:val="00671F92"/>
    <w:rPr>
      <w:sz w:val="16"/>
      <w:szCs w:val="16"/>
    </w:rPr>
  </w:style>
  <w:style w:type="paragraph" w:styleId="Commentaire">
    <w:name w:val="annotation text"/>
    <w:basedOn w:val="Normal"/>
    <w:link w:val="CommentaireCar"/>
    <w:uiPriority w:val="99"/>
    <w:semiHidden/>
    <w:unhideWhenUsed/>
    <w:rsid w:val="00671F92"/>
    <w:pPr>
      <w:spacing w:line="240" w:lineRule="auto"/>
    </w:pPr>
    <w:rPr>
      <w:sz w:val="20"/>
      <w:szCs w:val="20"/>
    </w:rPr>
  </w:style>
  <w:style w:type="character" w:customStyle="1" w:styleId="CommentaireCar">
    <w:name w:val="Commentaire Car"/>
    <w:basedOn w:val="Policepardfaut"/>
    <w:link w:val="Commentaire"/>
    <w:uiPriority w:val="99"/>
    <w:semiHidden/>
    <w:rsid w:val="00671F92"/>
    <w:rPr>
      <w:rFonts w:ascii="Times New Roman" w:eastAsia="Times New Roman" w:hAnsi="Times New Roman" w:cs="Times New Roman"/>
      <w:sz w:val="20"/>
      <w:szCs w:val="20"/>
    </w:rPr>
  </w:style>
  <w:style w:type="paragraph" w:styleId="Objetducommentaire">
    <w:name w:val="annotation subject"/>
    <w:basedOn w:val="Commentaire"/>
    <w:next w:val="Commentaire"/>
    <w:link w:val="ObjetducommentaireCar"/>
    <w:uiPriority w:val="99"/>
    <w:semiHidden/>
    <w:unhideWhenUsed/>
    <w:rsid w:val="00671F92"/>
    <w:rPr>
      <w:b/>
      <w:bCs/>
    </w:rPr>
  </w:style>
  <w:style w:type="character" w:customStyle="1" w:styleId="ObjetducommentaireCar">
    <w:name w:val="Objet du commentaire Car"/>
    <w:basedOn w:val="CommentaireCar"/>
    <w:link w:val="Objetducommentaire"/>
    <w:uiPriority w:val="99"/>
    <w:semiHidden/>
    <w:rsid w:val="00671F92"/>
    <w:rPr>
      <w:rFonts w:ascii="Times New Roman" w:eastAsia="Times New Roman" w:hAnsi="Times New Roman" w:cs="Times New Roman"/>
      <w:b/>
      <w:bCs/>
      <w:sz w:val="20"/>
      <w:szCs w:val="20"/>
    </w:rPr>
  </w:style>
  <w:style w:type="paragraph" w:styleId="NormalWeb">
    <w:name w:val="Normal (Web)"/>
    <w:basedOn w:val="Normal"/>
    <w:uiPriority w:val="99"/>
    <w:semiHidden/>
    <w:unhideWhenUsed/>
    <w:rsid w:val="00275CEE"/>
    <w:pPr>
      <w:spacing w:before="100" w:beforeAutospacing="1" w:after="100" w:afterAutospacing="1" w:line="240" w:lineRule="auto"/>
      <w:jc w:val="left"/>
    </w:pPr>
    <w:rPr>
      <w:lang w:eastAsia="fr-FR"/>
    </w:rPr>
  </w:style>
  <w:style w:type="paragraph" w:styleId="z-Hautduformulaire">
    <w:name w:val="HTML Top of Form"/>
    <w:basedOn w:val="Normal"/>
    <w:next w:val="Normal"/>
    <w:link w:val="z-HautduformulaireCar"/>
    <w:hidden/>
    <w:uiPriority w:val="99"/>
    <w:semiHidden/>
    <w:unhideWhenUsed/>
    <w:rsid w:val="00275CEE"/>
    <w:pPr>
      <w:pBdr>
        <w:bottom w:val="single" w:sz="6" w:space="1" w:color="auto"/>
      </w:pBdr>
      <w:spacing w:before="0" w:after="0" w:line="240" w:lineRule="auto"/>
      <w:jc w:val="center"/>
    </w:pPr>
    <w:rPr>
      <w:rFonts w:ascii="Arial" w:hAnsi="Arial" w:cs="Arial"/>
      <w:vanish/>
      <w:sz w:val="16"/>
      <w:szCs w:val="16"/>
      <w:lang w:eastAsia="fr-FR"/>
    </w:rPr>
  </w:style>
  <w:style w:type="character" w:customStyle="1" w:styleId="z-HautduformulaireCar">
    <w:name w:val="z-Haut du formulaire Car"/>
    <w:basedOn w:val="Policepardfaut"/>
    <w:link w:val="z-Hautduformulaire"/>
    <w:uiPriority w:val="99"/>
    <w:semiHidden/>
    <w:rsid w:val="00275CEE"/>
    <w:rPr>
      <w:rFonts w:ascii="Arial" w:eastAsia="Times New Roman" w:hAnsi="Arial" w:cs="Arial"/>
      <w:vanish/>
      <w:sz w:val="16"/>
      <w:szCs w:val="16"/>
      <w:lang w:eastAsia="fr-FR"/>
    </w:rPr>
  </w:style>
  <w:style w:type="paragraph" w:styleId="z-Basduformulaire">
    <w:name w:val="HTML Bottom of Form"/>
    <w:basedOn w:val="Normal"/>
    <w:next w:val="Normal"/>
    <w:link w:val="z-BasduformulaireCar"/>
    <w:hidden/>
    <w:uiPriority w:val="99"/>
    <w:semiHidden/>
    <w:unhideWhenUsed/>
    <w:rsid w:val="00275CEE"/>
    <w:pPr>
      <w:pBdr>
        <w:top w:val="single" w:sz="6" w:space="1" w:color="auto"/>
      </w:pBdr>
      <w:spacing w:before="0" w:after="0" w:line="240" w:lineRule="auto"/>
      <w:jc w:val="center"/>
    </w:pPr>
    <w:rPr>
      <w:rFonts w:ascii="Arial" w:hAnsi="Arial" w:cs="Arial"/>
      <w:vanish/>
      <w:sz w:val="16"/>
      <w:szCs w:val="16"/>
      <w:lang w:eastAsia="fr-FR"/>
    </w:rPr>
  </w:style>
  <w:style w:type="character" w:customStyle="1" w:styleId="z-BasduformulaireCar">
    <w:name w:val="z-Bas du formulaire Car"/>
    <w:basedOn w:val="Policepardfaut"/>
    <w:link w:val="z-Basduformulaire"/>
    <w:uiPriority w:val="99"/>
    <w:semiHidden/>
    <w:rsid w:val="00275CEE"/>
    <w:rPr>
      <w:rFonts w:ascii="Arial" w:eastAsia="Times New Roman" w:hAnsi="Arial" w:cs="Arial"/>
      <w:vanish/>
      <w:sz w:val="16"/>
      <w:szCs w:val="16"/>
      <w:lang w:eastAsia="fr-FR"/>
    </w:rPr>
  </w:style>
  <w:style w:type="paragraph" w:styleId="Sansinterligne">
    <w:name w:val="No Spacing"/>
    <w:uiPriority w:val="1"/>
    <w:qFormat/>
    <w:rsid w:val="00314144"/>
    <w:pPr>
      <w:spacing w:after="0" w:line="240" w:lineRule="auto"/>
      <w:jc w:val="both"/>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8802612">
      <w:bodyDiv w:val="1"/>
      <w:marLeft w:val="0"/>
      <w:marRight w:val="0"/>
      <w:marTop w:val="0"/>
      <w:marBottom w:val="0"/>
      <w:divBdr>
        <w:top w:val="none" w:sz="0" w:space="0" w:color="auto"/>
        <w:left w:val="none" w:sz="0" w:space="0" w:color="auto"/>
        <w:bottom w:val="none" w:sz="0" w:space="0" w:color="auto"/>
        <w:right w:val="none" w:sz="0" w:space="0" w:color="auto"/>
      </w:divBdr>
    </w:div>
    <w:div w:id="559050684">
      <w:bodyDiv w:val="1"/>
      <w:marLeft w:val="0"/>
      <w:marRight w:val="0"/>
      <w:marTop w:val="0"/>
      <w:marBottom w:val="0"/>
      <w:divBdr>
        <w:top w:val="none" w:sz="0" w:space="0" w:color="auto"/>
        <w:left w:val="none" w:sz="0" w:space="0" w:color="auto"/>
        <w:bottom w:val="none" w:sz="0" w:space="0" w:color="auto"/>
        <w:right w:val="none" w:sz="0" w:space="0" w:color="auto"/>
      </w:divBdr>
    </w:div>
    <w:div w:id="574247089">
      <w:bodyDiv w:val="1"/>
      <w:marLeft w:val="0"/>
      <w:marRight w:val="0"/>
      <w:marTop w:val="0"/>
      <w:marBottom w:val="0"/>
      <w:divBdr>
        <w:top w:val="none" w:sz="0" w:space="0" w:color="auto"/>
        <w:left w:val="none" w:sz="0" w:space="0" w:color="auto"/>
        <w:bottom w:val="none" w:sz="0" w:space="0" w:color="auto"/>
        <w:right w:val="none" w:sz="0" w:space="0" w:color="auto"/>
      </w:divBdr>
    </w:div>
    <w:div w:id="686902533">
      <w:bodyDiv w:val="1"/>
      <w:marLeft w:val="0"/>
      <w:marRight w:val="0"/>
      <w:marTop w:val="0"/>
      <w:marBottom w:val="0"/>
      <w:divBdr>
        <w:top w:val="none" w:sz="0" w:space="0" w:color="auto"/>
        <w:left w:val="none" w:sz="0" w:space="0" w:color="auto"/>
        <w:bottom w:val="none" w:sz="0" w:space="0" w:color="auto"/>
        <w:right w:val="none" w:sz="0" w:space="0" w:color="auto"/>
      </w:divBdr>
    </w:div>
    <w:div w:id="687870027">
      <w:bodyDiv w:val="1"/>
      <w:marLeft w:val="0"/>
      <w:marRight w:val="0"/>
      <w:marTop w:val="0"/>
      <w:marBottom w:val="0"/>
      <w:divBdr>
        <w:top w:val="none" w:sz="0" w:space="0" w:color="auto"/>
        <w:left w:val="none" w:sz="0" w:space="0" w:color="auto"/>
        <w:bottom w:val="none" w:sz="0" w:space="0" w:color="auto"/>
        <w:right w:val="none" w:sz="0" w:space="0" w:color="auto"/>
      </w:divBdr>
    </w:div>
    <w:div w:id="858084300">
      <w:bodyDiv w:val="1"/>
      <w:marLeft w:val="0"/>
      <w:marRight w:val="0"/>
      <w:marTop w:val="0"/>
      <w:marBottom w:val="0"/>
      <w:divBdr>
        <w:top w:val="none" w:sz="0" w:space="0" w:color="auto"/>
        <w:left w:val="none" w:sz="0" w:space="0" w:color="auto"/>
        <w:bottom w:val="none" w:sz="0" w:space="0" w:color="auto"/>
        <w:right w:val="none" w:sz="0" w:space="0" w:color="auto"/>
      </w:divBdr>
    </w:div>
    <w:div w:id="1381512510">
      <w:bodyDiv w:val="1"/>
      <w:marLeft w:val="0"/>
      <w:marRight w:val="0"/>
      <w:marTop w:val="0"/>
      <w:marBottom w:val="0"/>
      <w:divBdr>
        <w:top w:val="none" w:sz="0" w:space="0" w:color="auto"/>
        <w:left w:val="none" w:sz="0" w:space="0" w:color="auto"/>
        <w:bottom w:val="none" w:sz="0" w:space="0" w:color="auto"/>
        <w:right w:val="none" w:sz="0" w:space="0" w:color="auto"/>
      </w:divBdr>
    </w:div>
    <w:div w:id="1418095458">
      <w:bodyDiv w:val="1"/>
      <w:marLeft w:val="0"/>
      <w:marRight w:val="0"/>
      <w:marTop w:val="0"/>
      <w:marBottom w:val="0"/>
      <w:divBdr>
        <w:top w:val="none" w:sz="0" w:space="0" w:color="auto"/>
        <w:left w:val="none" w:sz="0" w:space="0" w:color="auto"/>
        <w:bottom w:val="none" w:sz="0" w:space="0" w:color="auto"/>
        <w:right w:val="none" w:sz="0" w:space="0" w:color="auto"/>
      </w:divBdr>
    </w:div>
    <w:div w:id="1492939813">
      <w:bodyDiv w:val="1"/>
      <w:marLeft w:val="0"/>
      <w:marRight w:val="0"/>
      <w:marTop w:val="0"/>
      <w:marBottom w:val="0"/>
      <w:divBdr>
        <w:top w:val="none" w:sz="0" w:space="0" w:color="auto"/>
        <w:left w:val="none" w:sz="0" w:space="0" w:color="auto"/>
        <w:bottom w:val="none" w:sz="0" w:space="0" w:color="auto"/>
        <w:right w:val="none" w:sz="0" w:space="0" w:color="auto"/>
      </w:divBdr>
    </w:div>
    <w:div w:id="1905753589">
      <w:bodyDiv w:val="1"/>
      <w:marLeft w:val="0"/>
      <w:marRight w:val="0"/>
      <w:marTop w:val="0"/>
      <w:marBottom w:val="0"/>
      <w:divBdr>
        <w:top w:val="none" w:sz="0" w:space="0" w:color="auto"/>
        <w:left w:val="none" w:sz="0" w:space="0" w:color="auto"/>
        <w:bottom w:val="none" w:sz="0" w:space="0" w:color="auto"/>
        <w:right w:val="none" w:sz="0" w:space="0" w:color="auto"/>
      </w:divBdr>
      <w:divsChild>
        <w:div w:id="466510843">
          <w:marLeft w:val="0"/>
          <w:marRight w:val="0"/>
          <w:marTop w:val="0"/>
          <w:marBottom w:val="0"/>
          <w:divBdr>
            <w:top w:val="none" w:sz="0" w:space="0" w:color="auto"/>
            <w:left w:val="none" w:sz="0" w:space="0" w:color="auto"/>
            <w:bottom w:val="none" w:sz="0" w:space="0" w:color="auto"/>
            <w:right w:val="none" w:sz="0" w:space="0" w:color="auto"/>
          </w:divBdr>
          <w:divsChild>
            <w:div w:id="431055556">
              <w:marLeft w:val="0"/>
              <w:marRight w:val="0"/>
              <w:marTop w:val="0"/>
              <w:marBottom w:val="0"/>
              <w:divBdr>
                <w:top w:val="none" w:sz="0" w:space="0" w:color="auto"/>
                <w:left w:val="none" w:sz="0" w:space="0" w:color="auto"/>
                <w:bottom w:val="none" w:sz="0" w:space="0" w:color="auto"/>
                <w:right w:val="none" w:sz="0" w:space="0" w:color="auto"/>
              </w:divBdr>
              <w:divsChild>
                <w:div w:id="1013148447">
                  <w:marLeft w:val="0"/>
                  <w:marRight w:val="0"/>
                  <w:marTop w:val="0"/>
                  <w:marBottom w:val="0"/>
                  <w:divBdr>
                    <w:top w:val="none" w:sz="0" w:space="0" w:color="auto"/>
                    <w:left w:val="none" w:sz="0" w:space="0" w:color="auto"/>
                    <w:bottom w:val="none" w:sz="0" w:space="0" w:color="auto"/>
                    <w:right w:val="none" w:sz="0" w:space="0" w:color="auto"/>
                  </w:divBdr>
                  <w:divsChild>
                    <w:div w:id="168755785">
                      <w:marLeft w:val="0"/>
                      <w:marRight w:val="0"/>
                      <w:marTop w:val="0"/>
                      <w:marBottom w:val="0"/>
                      <w:divBdr>
                        <w:top w:val="none" w:sz="0" w:space="0" w:color="auto"/>
                        <w:left w:val="none" w:sz="0" w:space="0" w:color="auto"/>
                        <w:bottom w:val="none" w:sz="0" w:space="0" w:color="auto"/>
                        <w:right w:val="none" w:sz="0" w:space="0" w:color="auto"/>
                      </w:divBdr>
                      <w:divsChild>
                        <w:div w:id="146745587">
                          <w:marLeft w:val="0"/>
                          <w:marRight w:val="0"/>
                          <w:marTop w:val="0"/>
                          <w:marBottom w:val="0"/>
                          <w:divBdr>
                            <w:top w:val="none" w:sz="0" w:space="0" w:color="auto"/>
                            <w:left w:val="none" w:sz="0" w:space="0" w:color="auto"/>
                            <w:bottom w:val="none" w:sz="0" w:space="0" w:color="auto"/>
                            <w:right w:val="none" w:sz="0" w:space="0" w:color="auto"/>
                          </w:divBdr>
                          <w:divsChild>
                            <w:div w:id="492071223">
                              <w:marLeft w:val="0"/>
                              <w:marRight w:val="0"/>
                              <w:marTop w:val="0"/>
                              <w:marBottom w:val="0"/>
                              <w:divBdr>
                                <w:top w:val="none" w:sz="0" w:space="0" w:color="auto"/>
                                <w:left w:val="none" w:sz="0" w:space="0" w:color="auto"/>
                                <w:bottom w:val="none" w:sz="0" w:space="0" w:color="auto"/>
                                <w:right w:val="none" w:sz="0" w:space="0" w:color="auto"/>
                              </w:divBdr>
                              <w:divsChild>
                                <w:div w:id="1932087182">
                                  <w:marLeft w:val="0"/>
                                  <w:marRight w:val="0"/>
                                  <w:marTop w:val="0"/>
                                  <w:marBottom w:val="0"/>
                                  <w:divBdr>
                                    <w:top w:val="none" w:sz="0" w:space="0" w:color="auto"/>
                                    <w:left w:val="none" w:sz="0" w:space="0" w:color="auto"/>
                                    <w:bottom w:val="none" w:sz="0" w:space="0" w:color="auto"/>
                                    <w:right w:val="none" w:sz="0" w:space="0" w:color="auto"/>
                                  </w:divBdr>
                                  <w:divsChild>
                                    <w:div w:id="627391071">
                                      <w:marLeft w:val="0"/>
                                      <w:marRight w:val="0"/>
                                      <w:marTop w:val="0"/>
                                      <w:marBottom w:val="0"/>
                                      <w:divBdr>
                                        <w:top w:val="none" w:sz="0" w:space="0" w:color="auto"/>
                                        <w:left w:val="none" w:sz="0" w:space="0" w:color="auto"/>
                                        <w:bottom w:val="none" w:sz="0" w:space="0" w:color="auto"/>
                                        <w:right w:val="none" w:sz="0" w:space="0" w:color="auto"/>
                                      </w:divBdr>
                                      <w:divsChild>
                                        <w:div w:id="164326942">
                                          <w:marLeft w:val="0"/>
                                          <w:marRight w:val="0"/>
                                          <w:marTop w:val="0"/>
                                          <w:marBottom w:val="0"/>
                                          <w:divBdr>
                                            <w:top w:val="none" w:sz="0" w:space="0" w:color="auto"/>
                                            <w:left w:val="none" w:sz="0" w:space="0" w:color="auto"/>
                                            <w:bottom w:val="none" w:sz="0" w:space="0" w:color="auto"/>
                                            <w:right w:val="none" w:sz="0" w:space="0" w:color="auto"/>
                                          </w:divBdr>
                                          <w:divsChild>
                                            <w:div w:id="1540704088">
                                              <w:marLeft w:val="0"/>
                                              <w:marRight w:val="0"/>
                                              <w:marTop w:val="0"/>
                                              <w:marBottom w:val="0"/>
                                              <w:divBdr>
                                                <w:top w:val="none" w:sz="0" w:space="0" w:color="auto"/>
                                                <w:left w:val="none" w:sz="0" w:space="0" w:color="auto"/>
                                                <w:bottom w:val="none" w:sz="0" w:space="0" w:color="auto"/>
                                                <w:right w:val="none" w:sz="0" w:space="0" w:color="auto"/>
                                              </w:divBdr>
                                              <w:divsChild>
                                                <w:div w:id="1349914564">
                                                  <w:marLeft w:val="0"/>
                                                  <w:marRight w:val="0"/>
                                                  <w:marTop w:val="0"/>
                                                  <w:marBottom w:val="0"/>
                                                  <w:divBdr>
                                                    <w:top w:val="none" w:sz="0" w:space="0" w:color="auto"/>
                                                    <w:left w:val="none" w:sz="0" w:space="0" w:color="auto"/>
                                                    <w:bottom w:val="none" w:sz="0" w:space="0" w:color="auto"/>
                                                    <w:right w:val="none" w:sz="0" w:space="0" w:color="auto"/>
                                                  </w:divBdr>
                                                  <w:divsChild>
                                                    <w:div w:id="191698394">
                                                      <w:marLeft w:val="0"/>
                                                      <w:marRight w:val="0"/>
                                                      <w:marTop w:val="0"/>
                                                      <w:marBottom w:val="0"/>
                                                      <w:divBdr>
                                                        <w:top w:val="none" w:sz="0" w:space="0" w:color="auto"/>
                                                        <w:left w:val="none" w:sz="0" w:space="0" w:color="auto"/>
                                                        <w:bottom w:val="none" w:sz="0" w:space="0" w:color="auto"/>
                                                        <w:right w:val="none" w:sz="0" w:space="0" w:color="auto"/>
                                                      </w:divBdr>
                                                      <w:divsChild>
                                                        <w:div w:id="1466004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8898949">
          <w:marLeft w:val="0"/>
          <w:marRight w:val="0"/>
          <w:marTop w:val="0"/>
          <w:marBottom w:val="0"/>
          <w:divBdr>
            <w:top w:val="none" w:sz="0" w:space="0" w:color="auto"/>
            <w:left w:val="none" w:sz="0" w:space="0" w:color="auto"/>
            <w:bottom w:val="none" w:sz="0" w:space="0" w:color="auto"/>
            <w:right w:val="none" w:sz="0" w:space="0" w:color="auto"/>
          </w:divBdr>
          <w:divsChild>
            <w:div w:id="1161774724">
              <w:marLeft w:val="0"/>
              <w:marRight w:val="0"/>
              <w:marTop w:val="0"/>
              <w:marBottom w:val="0"/>
              <w:divBdr>
                <w:top w:val="none" w:sz="0" w:space="0" w:color="auto"/>
                <w:left w:val="none" w:sz="0" w:space="0" w:color="auto"/>
                <w:bottom w:val="none" w:sz="0" w:space="0" w:color="auto"/>
                <w:right w:val="none" w:sz="0" w:space="0" w:color="auto"/>
              </w:divBdr>
              <w:divsChild>
                <w:div w:id="122355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footer" Target="footer7.xml"/><Relationship Id="rId39" Type="http://schemas.openxmlformats.org/officeDocument/2006/relationships/image" Target="media/image13.png"/><Relationship Id="rId21" Type="http://schemas.openxmlformats.org/officeDocument/2006/relationships/image" Target="media/image3.png"/><Relationship Id="rId34" Type="http://schemas.openxmlformats.org/officeDocument/2006/relationships/header" Target="header8.xml"/><Relationship Id="rId42" Type="http://schemas.openxmlformats.org/officeDocument/2006/relationships/header" Target="header10.xml"/><Relationship Id="rId47" Type="http://schemas.openxmlformats.org/officeDocument/2006/relationships/footer" Target="footer12.xml"/><Relationship Id="rId50" Type="http://schemas.openxmlformats.org/officeDocument/2006/relationships/header" Target="header14.xml"/><Relationship Id="rId55"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image" Target="media/image7.png"/><Relationship Id="rId11" Type="http://schemas.openxmlformats.org/officeDocument/2006/relationships/footer" Target="footer1.xml"/><Relationship Id="rId24" Type="http://schemas.openxmlformats.org/officeDocument/2006/relationships/footer" Target="footer6.xml"/><Relationship Id="rId32" Type="http://schemas.openxmlformats.org/officeDocument/2006/relationships/image" Target="media/image10.png"/><Relationship Id="rId37" Type="http://schemas.openxmlformats.org/officeDocument/2006/relationships/footer" Target="footer9.xml"/><Relationship Id="rId40" Type="http://schemas.openxmlformats.org/officeDocument/2006/relationships/image" Target="media/image14.png"/><Relationship Id="rId45" Type="http://schemas.openxmlformats.org/officeDocument/2006/relationships/footer" Target="footer11.xml"/><Relationship Id="rId53" Type="http://schemas.openxmlformats.org/officeDocument/2006/relationships/footer" Target="footer15.xml"/><Relationship Id="rId5" Type="http://schemas.openxmlformats.org/officeDocument/2006/relationships/settings" Target="settings.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image" Target="media/image9.png"/><Relationship Id="rId44" Type="http://schemas.openxmlformats.org/officeDocument/2006/relationships/header" Target="header11.xml"/><Relationship Id="rId52" Type="http://schemas.openxmlformats.org/officeDocument/2006/relationships/header" Target="header1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image" Target="media/image4.png"/><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footer" Target="footer8.xml"/><Relationship Id="rId43" Type="http://schemas.openxmlformats.org/officeDocument/2006/relationships/footer" Target="footer10.xml"/><Relationship Id="rId48" Type="http://schemas.openxmlformats.org/officeDocument/2006/relationships/header" Target="header13.xml"/><Relationship Id="rId8" Type="http://schemas.openxmlformats.org/officeDocument/2006/relationships/endnotes" Target="endnotes.xml"/><Relationship Id="rId51" Type="http://schemas.openxmlformats.org/officeDocument/2006/relationships/footer" Target="footer14.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header" Target="header7.xml"/><Relationship Id="rId33" Type="http://schemas.openxmlformats.org/officeDocument/2006/relationships/image" Target="media/image11.png"/><Relationship Id="rId38" Type="http://schemas.openxmlformats.org/officeDocument/2006/relationships/image" Target="media/image12.png"/><Relationship Id="rId46" Type="http://schemas.openxmlformats.org/officeDocument/2006/relationships/header" Target="header12.xml"/><Relationship Id="rId20" Type="http://schemas.openxmlformats.org/officeDocument/2006/relationships/image" Target="media/image2.png"/><Relationship Id="rId41" Type="http://schemas.openxmlformats.org/officeDocument/2006/relationships/image" Target="media/image15.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eader" Target="header6.xml"/><Relationship Id="rId28" Type="http://schemas.openxmlformats.org/officeDocument/2006/relationships/image" Target="media/image6.png"/><Relationship Id="rId36" Type="http://schemas.openxmlformats.org/officeDocument/2006/relationships/header" Target="header9.xml"/><Relationship Id="rId49" Type="http://schemas.openxmlformats.org/officeDocument/2006/relationships/footer" Target="footer1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E37E6F-7F7A-4661-8734-8A7F4D3487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72</Pages>
  <Words>19242</Words>
  <Characters>105834</Characters>
  <Application>Microsoft Office Word</Application>
  <DocSecurity>0</DocSecurity>
  <Lines>881</Lines>
  <Paragraphs>249</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124827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Accro Informatique</dc:creator>
  <cp:lastModifiedBy>DELL</cp:lastModifiedBy>
  <cp:revision>5</cp:revision>
  <cp:lastPrinted>2024-06-03T09:54:00Z</cp:lastPrinted>
  <dcterms:created xsi:type="dcterms:W3CDTF">2024-06-23T13:08:00Z</dcterms:created>
  <dcterms:modified xsi:type="dcterms:W3CDTF">2024-06-25T16:23:00Z</dcterms:modified>
</cp:coreProperties>
</file>