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Première partie : Travail bibliographique</w:t>
      </w:r>
    </w:p>
    <w:p w:rsidR="000D3F35" w:rsidRPr="008F6999" w:rsidRDefault="003D3A0A"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I-1</w:t>
      </w:r>
      <w:r w:rsidR="000D3F35" w:rsidRPr="008F6999">
        <w:rPr>
          <w:rFonts w:asciiTheme="majorBidi" w:hAnsiTheme="majorBidi" w:cstheme="majorBidi"/>
          <w:b/>
          <w:bCs/>
          <w:sz w:val="28"/>
          <w:szCs w:val="28"/>
        </w:rPr>
        <w:t xml:space="preserve"> Définition de développement durable </w:t>
      </w:r>
    </w:p>
    <w:p w:rsidR="000D3F35" w:rsidRPr="008F6999"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Par définition, le vocable ‘‘durable’’ ou soutenable, « sustainable » en anglais,  signifie qui peut être poursuivi sans causer de dommage à l’environnement et en étant socialement </w:t>
      </w:r>
      <w:r>
        <w:rPr>
          <w:rFonts w:asciiTheme="majorBidi" w:hAnsiTheme="majorBidi" w:cstheme="majorBidi"/>
          <w:sz w:val="28"/>
          <w:szCs w:val="28"/>
        </w:rPr>
        <w:t>acceptable  (Guillaumin, Dockes et</w:t>
      </w:r>
      <w:r w:rsidRPr="008F6999">
        <w:rPr>
          <w:rFonts w:asciiTheme="majorBidi" w:hAnsiTheme="majorBidi" w:cstheme="majorBidi"/>
          <w:sz w:val="28"/>
          <w:szCs w:val="28"/>
        </w:rPr>
        <w:t xml:space="preserve">Palazon, 2009). </w:t>
      </w:r>
    </w:p>
    <w:p w:rsidR="000D3F35" w:rsidRPr="008F6999" w:rsidRDefault="000D3F35" w:rsidP="00C65E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Lorsqu'il est question de développement durable, les définitions sur le sujet varient selon les auteurs, mais la plupart  s'accordent</w:t>
      </w:r>
      <w:r w:rsidR="00EA67A4">
        <w:rPr>
          <w:rFonts w:asciiTheme="majorBidi" w:hAnsiTheme="majorBidi" w:cstheme="majorBidi"/>
          <w:sz w:val="28"/>
          <w:szCs w:val="28"/>
        </w:rPr>
        <w:t xml:space="preserve"> </w:t>
      </w:r>
      <w:r w:rsidRPr="008F6999">
        <w:rPr>
          <w:rFonts w:asciiTheme="majorBidi" w:hAnsiTheme="majorBidi" w:cstheme="majorBidi"/>
          <w:sz w:val="28"/>
          <w:szCs w:val="28"/>
        </w:rPr>
        <w:t>sur  la</w:t>
      </w:r>
      <w:r w:rsidR="00EA67A4">
        <w:rPr>
          <w:rFonts w:asciiTheme="majorBidi" w:hAnsiTheme="majorBidi" w:cstheme="majorBidi"/>
          <w:sz w:val="28"/>
          <w:szCs w:val="28"/>
        </w:rPr>
        <w:t xml:space="preserve"> </w:t>
      </w:r>
      <w:r w:rsidRPr="008F6999">
        <w:rPr>
          <w:rFonts w:asciiTheme="majorBidi" w:hAnsiTheme="majorBidi" w:cstheme="majorBidi"/>
          <w:sz w:val="28"/>
          <w:szCs w:val="28"/>
        </w:rPr>
        <w:t>suivante tirée</w:t>
      </w:r>
      <w:r w:rsidR="00EA67A4">
        <w:rPr>
          <w:rFonts w:asciiTheme="majorBidi" w:hAnsiTheme="majorBidi" w:cstheme="majorBidi"/>
          <w:sz w:val="28"/>
          <w:szCs w:val="28"/>
        </w:rPr>
        <w:t xml:space="preserve"> </w:t>
      </w:r>
      <w:r w:rsidRPr="008F6999">
        <w:rPr>
          <w:rFonts w:asciiTheme="majorBidi" w:hAnsiTheme="majorBidi" w:cstheme="majorBidi"/>
          <w:sz w:val="28"/>
          <w:szCs w:val="28"/>
        </w:rPr>
        <w:t>de</w:t>
      </w:r>
      <w:r w:rsidR="00EA67A4">
        <w:rPr>
          <w:rFonts w:asciiTheme="majorBidi" w:hAnsiTheme="majorBidi" w:cstheme="majorBidi"/>
          <w:sz w:val="28"/>
          <w:szCs w:val="28"/>
        </w:rPr>
        <w:t xml:space="preserve"> </w:t>
      </w:r>
      <w:r w:rsidRPr="008F6999">
        <w:rPr>
          <w:rFonts w:asciiTheme="majorBidi" w:hAnsiTheme="majorBidi" w:cstheme="majorBidi"/>
          <w:sz w:val="28"/>
          <w:szCs w:val="28"/>
        </w:rPr>
        <w:t>la</w:t>
      </w:r>
      <w:r w:rsidR="00EA67A4">
        <w:rPr>
          <w:rFonts w:asciiTheme="majorBidi" w:hAnsiTheme="majorBidi" w:cstheme="majorBidi"/>
          <w:sz w:val="28"/>
          <w:szCs w:val="28"/>
        </w:rPr>
        <w:t xml:space="preserve"> Commission </w:t>
      </w:r>
      <w:r w:rsidRPr="008F6999">
        <w:rPr>
          <w:rFonts w:asciiTheme="majorBidi" w:hAnsiTheme="majorBidi" w:cstheme="majorBidi"/>
          <w:sz w:val="28"/>
          <w:szCs w:val="28"/>
        </w:rPr>
        <w:t>Brundtland</w:t>
      </w:r>
      <w:r w:rsidR="00EA67A4">
        <w:rPr>
          <w:rFonts w:asciiTheme="majorBidi" w:hAnsiTheme="majorBidi" w:cstheme="majorBidi"/>
          <w:sz w:val="28"/>
          <w:szCs w:val="28"/>
        </w:rPr>
        <w:t xml:space="preserve"> </w:t>
      </w:r>
      <w:r w:rsidRPr="008F6999">
        <w:rPr>
          <w:rFonts w:asciiTheme="majorBidi" w:hAnsiTheme="majorBidi" w:cstheme="majorBidi"/>
          <w:sz w:val="28"/>
          <w:szCs w:val="28"/>
        </w:rPr>
        <w:t>(1987):</w:t>
      </w:r>
      <w:r w:rsidR="00EA67A4">
        <w:rPr>
          <w:rFonts w:asciiTheme="majorBidi" w:hAnsiTheme="majorBidi" w:cstheme="majorBidi"/>
          <w:sz w:val="28"/>
          <w:szCs w:val="28"/>
        </w:rPr>
        <w:t xml:space="preserve"> </w:t>
      </w:r>
      <w:r w:rsidRPr="008F6999">
        <w:rPr>
          <w:rFonts w:asciiTheme="majorBidi" w:hAnsiTheme="majorBidi" w:cstheme="majorBidi"/>
          <w:sz w:val="28"/>
          <w:szCs w:val="28"/>
        </w:rPr>
        <w:t>«le</w:t>
      </w:r>
      <w:r w:rsidR="00EA67A4">
        <w:rPr>
          <w:rFonts w:asciiTheme="majorBidi" w:hAnsiTheme="majorBidi" w:cstheme="majorBidi"/>
          <w:sz w:val="28"/>
          <w:szCs w:val="28"/>
        </w:rPr>
        <w:t xml:space="preserve"> </w:t>
      </w:r>
      <w:r w:rsidRPr="008F6999">
        <w:rPr>
          <w:rFonts w:asciiTheme="majorBidi" w:hAnsiTheme="majorBidi" w:cstheme="majorBidi"/>
          <w:sz w:val="28"/>
          <w:szCs w:val="28"/>
        </w:rPr>
        <w:t>développement</w:t>
      </w:r>
      <w:r w:rsidR="00EA67A4">
        <w:rPr>
          <w:rFonts w:asciiTheme="majorBidi" w:hAnsiTheme="majorBidi" w:cstheme="majorBidi"/>
          <w:sz w:val="28"/>
          <w:szCs w:val="28"/>
        </w:rPr>
        <w:t xml:space="preserve"> </w:t>
      </w:r>
      <w:r w:rsidRPr="008F6999">
        <w:rPr>
          <w:rFonts w:asciiTheme="majorBidi" w:hAnsiTheme="majorBidi" w:cstheme="majorBidi"/>
          <w:sz w:val="28"/>
          <w:szCs w:val="28"/>
        </w:rPr>
        <w:t>durable</w:t>
      </w:r>
      <w:r w:rsidR="00EA67A4">
        <w:rPr>
          <w:rFonts w:asciiTheme="majorBidi" w:hAnsiTheme="majorBidi" w:cstheme="majorBidi"/>
          <w:sz w:val="28"/>
          <w:szCs w:val="28"/>
        </w:rPr>
        <w:t xml:space="preserve"> </w:t>
      </w:r>
      <w:r w:rsidRPr="008F6999">
        <w:rPr>
          <w:rFonts w:asciiTheme="majorBidi" w:hAnsiTheme="majorBidi" w:cstheme="majorBidi"/>
          <w:sz w:val="28"/>
          <w:szCs w:val="28"/>
        </w:rPr>
        <w:t>est</w:t>
      </w:r>
      <w:r w:rsidR="00EA67A4">
        <w:rPr>
          <w:rFonts w:asciiTheme="majorBidi" w:hAnsiTheme="majorBidi" w:cstheme="majorBidi"/>
          <w:sz w:val="28"/>
          <w:szCs w:val="28"/>
        </w:rPr>
        <w:t xml:space="preserve"> </w:t>
      </w:r>
      <w:r w:rsidRPr="008F6999">
        <w:rPr>
          <w:rFonts w:asciiTheme="majorBidi" w:hAnsiTheme="majorBidi" w:cstheme="majorBidi"/>
          <w:sz w:val="28"/>
          <w:szCs w:val="28"/>
        </w:rPr>
        <w:t>un</w:t>
      </w:r>
      <w:r w:rsidR="00EA67A4">
        <w:rPr>
          <w:rFonts w:asciiTheme="majorBidi" w:hAnsiTheme="majorBidi" w:cstheme="majorBidi"/>
          <w:sz w:val="28"/>
          <w:szCs w:val="28"/>
        </w:rPr>
        <w:t xml:space="preserve"> </w:t>
      </w:r>
      <w:r w:rsidRPr="008F6999">
        <w:rPr>
          <w:rFonts w:asciiTheme="majorBidi" w:hAnsiTheme="majorBidi" w:cstheme="majorBidi"/>
          <w:sz w:val="28"/>
          <w:szCs w:val="28"/>
        </w:rPr>
        <w:t>développement</w:t>
      </w:r>
      <w:r w:rsidR="00EA67A4">
        <w:rPr>
          <w:rFonts w:asciiTheme="majorBidi" w:hAnsiTheme="majorBidi" w:cstheme="majorBidi"/>
          <w:sz w:val="28"/>
          <w:szCs w:val="28"/>
        </w:rPr>
        <w:t xml:space="preserve"> </w:t>
      </w:r>
      <w:r w:rsidRPr="008F6999">
        <w:rPr>
          <w:rFonts w:asciiTheme="majorBidi" w:hAnsiTheme="majorBidi" w:cstheme="majorBidi"/>
          <w:sz w:val="28"/>
          <w:szCs w:val="28"/>
        </w:rPr>
        <w:t>qui</w:t>
      </w:r>
      <w:r w:rsidR="00EA67A4">
        <w:rPr>
          <w:rFonts w:asciiTheme="majorBidi" w:hAnsiTheme="majorBidi" w:cstheme="majorBidi"/>
          <w:sz w:val="28"/>
          <w:szCs w:val="28"/>
        </w:rPr>
        <w:t xml:space="preserve"> </w:t>
      </w:r>
      <w:r w:rsidRPr="008F6999">
        <w:rPr>
          <w:rFonts w:asciiTheme="majorBidi" w:hAnsiTheme="majorBidi" w:cstheme="majorBidi"/>
          <w:sz w:val="28"/>
          <w:szCs w:val="28"/>
        </w:rPr>
        <w:t>permet</w:t>
      </w:r>
      <w:r w:rsidR="00EA67A4">
        <w:rPr>
          <w:rFonts w:asciiTheme="majorBidi" w:hAnsiTheme="majorBidi" w:cstheme="majorBidi"/>
          <w:sz w:val="28"/>
          <w:szCs w:val="28"/>
        </w:rPr>
        <w:t xml:space="preserve"> </w:t>
      </w:r>
      <w:r w:rsidRPr="008F6999">
        <w:rPr>
          <w:rFonts w:asciiTheme="majorBidi" w:hAnsiTheme="majorBidi" w:cstheme="majorBidi"/>
          <w:sz w:val="28"/>
          <w:szCs w:val="28"/>
        </w:rPr>
        <w:t>aux</w:t>
      </w:r>
      <w:r w:rsidR="00EA67A4">
        <w:rPr>
          <w:rFonts w:asciiTheme="majorBidi" w:hAnsiTheme="majorBidi" w:cstheme="majorBidi"/>
          <w:sz w:val="28"/>
          <w:szCs w:val="28"/>
        </w:rPr>
        <w:t xml:space="preserve"> </w:t>
      </w:r>
      <w:r w:rsidRPr="008F6999">
        <w:rPr>
          <w:rFonts w:asciiTheme="majorBidi" w:hAnsiTheme="majorBidi" w:cstheme="majorBidi"/>
          <w:sz w:val="28"/>
          <w:szCs w:val="28"/>
        </w:rPr>
        <w:t>générations</w:t>
      </w:r>
      <w:r w:rsidR="00EA67A4">
        <w:rPr>
          <w:rFonts w:asciiTheme="majorBidi" w:hAnsiTheme="majorBidi" w:cstheme="majorBidi"/>
          <w:sz w:val="28"/>
          <w:szCs w:val="28"/>
        </w:rPr>
        <w:t xml:space="preserve"> </w:t>
      </w:r>
      <w:r w:rsidRPr="008F6999">
        <w:rPr>
          <w:rFonts w:asciiTheme="majorBidi" w:hAnsiTheme="majorBidi" w:cstheme="majorBidi"/>
          <w:sz w:val="28"/>
          <w:szCs w:val="28"/>
        </w:rPr>
        <w:t>présentes</w:t>
      </w:r>
      <w:r w:rsidR="00EA67A4">
        <w:rPr>
          <w:rFonts w:asciiTheme="majorBidi" w:hAnsiTheme="majorBidi" w:cstheme="majorBidi"/>
          <w:sz w:val="28"/>
          <w:szCs w:val="28"/>
        </w:rPr>
        <w:t xml:space="preserve"> </w:t>
      </w:r>
      <w:r w:rsidRPr="008F6999">
        <w:rPr>
          <w:rFonts w:asciiTheme="majorBidi" w:hAnsiTheme="majorBidi" w:cstheme="majorBidi"/>
          <w:sz w:val="28"/>
          <w:szCs w:val="28"/>
        </w:rPr>
        <w:t>de</w:t>
      </w:r>
      <w:r w:rsidR="00EA67A4">
        <w:rPr>
          <w:rFonts w:asciiTheme="majorBidi" w:hAnsiTheme="majorBidi" w:cstheme="majorBidi"/>
          <w:sz w:val="28"/>
          <w:szCs w:val="28"/>
        </w:rPr>
        <w:t xml:space="preserve"> </w:t>
      </w:r>
      <w:r w:rsidRPr="008F6999">
        <w:rPr>
          <w:rFonts w:asciiTheme="majorBidi" w:hAnsiTheme="majorBidi" w:cstheme="majorBidi"/>
          <w:sz w:val="28"/>
          <w:szCs w:val="28"/>
        </w:rPr>
        <w:t>satisfaire</w:t>
      </w:r>
      <w:r w:rsidR="00EA67A4">
        <w:rPr>
          <w:rFonts w:asciiTheme="majorBidi" w:hAnsiTheme="majorBidi" w:cstheme="majorBidi"/>
          <w:sz w:val="28"/>
          <w:szCs w:val="28"/>
        </w:rPr>
        <w:t xml:space="preserve"> </w:t>
      </w:r>
      <w:r w:rsidRPr="008F6999">
        <w:rPr>
          <w:rFonts w:asciiTheme="majorBidi" w:hAnsiTheme="majorBidi" w:cstheme="majorBidi"/>
          <w:sz w:val="28"/>
          <w:szCs w:val="28"/>
        </w:rPr>
        <w:t>leurs</w:t>
      </w:r>
      <w:r w:rsidR="00EA67A4">
        <w:rPr>
          <w:rFonts w:asciiTheme="majorBidi" w:hAnsiTheme="majorBidi" w:cstheme="majorBidi"/>
          <w:sz w:val="28"/>
          <w:szCs w:val="28"/>
        </w:rPr>
        <w:t xml:space="preserve"> </w:t>
      </w:r>
      <w:r w:rsidRPr="008F6999">
        <w:rPr>
          <w:rFonts w:asciiTheme="majorBidi" w:hAnsiTheme="majorBidi" w:cstheme="majorBidi"/>
          <w:sz w:val="28"/>
          <w:szCs w:val="28"/>
        </w:rPr>
        <w:t>besoin</w:t>
      </w:r>
      <w:r w:rsidR="00EA67A4">
        <w:rPr>
          <w:rFonts w:asciiTheme="majorBidi" w:hAnsiTheme="majorBidi" w:cstheme="majorBidi"/>
          <w:sz w:val="28"/>
          <w:szCs w:val="28"/>
        </w:rPr>
        <w:t xml:space="preserve"> </w:t>
      </w:r>
      <w:r w:rsidRPr="008F6999">
        <w:rPr>
          <w:rFonts w:asciiTheme="majorBidi" w:hAnsiTheme="majorBidi" w:cstheme="majorBidi"/>
          <w:sz w:val="28"/>
          <w:szCs w:val="28"/>
        </w:rPr>
        <w:t>sans</w:t>
      </w:r>
      <w:r w:rsidR="00EA67A4">
        <w:rPr>
          <w:rFonts w:asciiTheme="majorBidi" w:hAnsiTheme="majorBidi" w:cstheme="majorBidi"/>
          <w:sz w:val="28"/>
          <w:szCs w:val="28"/>
        </w:rPr>
        <w:t xml:space="preserve"> </w:t>
      </w:r>
      <w:r w:rsidRPr="008F6999">
        <w:rPr>
          <w:rFonts w:asciiTheme="majorBidi" w:hAnsiTheme="majorBidi" w:cstheme="majorBidi"/>
          <w:sz w:val="28"/>
          <w:szCs w:val="28"/>
        </w:rPr>
        <w:t>compromettre la</w:t>
      </w:r>
      <w:r w:rsidR="00EA67A4">
        <w:rPr>
          <w:rFonts w:asciiTheme="majorBidi" w:hAnsiTheme="majorBidi" w:cstheme="majorBidi"/>
          <w:sz w:val="28"/>
          <w:szCs w:val="28"/>
        </w:rPr>
        <w:t xml:space="preserve"> </w:t>
      </w:r>
      <w:r w:rsidRPr="008F6999">
        <w:rPr>
          <w:rFonts w:asciiTheme="majorBidi" w:hAnsiTheme="majorBidi" w:cstheme="majorBidi"/>
          <w:sz w:val="28"/>
          <w:szCs w:val="28"/>
        </w:rPr>
        <w:t>possibilité</w:t>
      </w:r>
      <w:r w:rsidR="00EA67A4">
        <w:rPr>
          <w:rFonts w:asciiTheme="majorBidi" w:hAnsiTheme="majorBidi" w:cstheme="majorBidi"/>
          <w:sz w:val="28"/>
          <w:szCs w:val="28"/>
        </w:rPr>
        <w:t xml:space="preserve"> </w:t>
      </w:r>
      <w:r w:rsidRPr="008F6999">
        <w:rPr>
          <w:rFonts w:asciiTheme="majorBidi" w:hAnsiTheme="majorBidi" w:cstheme="majorBidi"/>
          <w:sz w:val="28"/>
          <w:szCs w:val="28"/>
        </w:rPr>
        <w:t>pour les générations</w:t>
      </w:r>
      <w:r w:rsidR="00EA67A4">
        <w:rPr>
          <w:rFonts w:asciiTheme="majorBidi" w:hAnsiTheme="majorBidi" w:cstheme="majorBidi"/>
          <w:sz w:val="28"/>
          <w:szCs w:val="28"/>
        </w:rPr>
        <w:t xml:space="preserve"> </w:t>
      </w:r>
      <w:r w:rsidRPr="008F6999">
        <w:rPr>
          <w:rFonts w:asciiTheme="majorBidi" w:hAnsiTheme="majorBidi" w:cstheme="majorBidi"/>
          <w:sz w:val="28"/>
          <w:szCs w:val="28"/>
        </w:rPr>
        <w:t>futures</w:t>
      </w:r>
      <w:r w:rsidR="00EA67A4">
        <w:rPr>
          <w:rFonts w:asciiTheme="majorBidi" w:hAnsiTheme="majorBidi" w:cstheme="majorBidi"/>
          <w:sz w:val="28"/>
          <w:szCs w:val="28"/>
        </w:rPr>
        <w:t xml:space="preserve"> </w:t>
      </w:r>
      <w:r w:rsidRPr="008F6999">
        <w:rPr>
          <w:rFonts w:asciiTheme="majorBidi" w:hAnsiTheme="majorBidi" w:cstheme="majorBidi"/>
          <w:sz w:val="28"/>
          <w:szCs w:val="28"/>
        </w:rPr>
        <w:t>de</w:t>
      </w:r>
      <w:r w:rsidR="00EA67A4">
        <w:rPr>
          <w:rFonts w:asciiTheme="majorBidi" w:hAnsiTheme="majorBidi" w:cstheme="majorBidi"/>
          <w:sz w:val="28"/>
          <w:szCs w:val="28"/>
        </w:rPr>
        <w:t xml:space="preserve"> </w:t>
      </w:r>
      <w:r w:rsidRPr="008F6999">
        <w:rPr>
          <w:rFonts w:asciiTheme="majorBidi" w:hAnsiTheme="majorBidi" w:cstheme="majorBidi"/>
          <w:sz w:val="28"/>
          <w:szCs w:val="28"/>
        </w:rPr>
        <w:t>satisfaire</w:t>
      </w:r>
      <w:r w:rsidR="00EA67A4">
        <w:rPr>
          <w:rFonts w:asciiTheme="majorBidi" w:hAnsiTheme="majorBidi" w:cstheme="majorBidi"/>
          <w:sz w:val="28"/>
          <w:szCs w:val="28"/>
        </w:rPr>
        <w:t xml:space="preserve"> </w:t>
      </w:r>
      <w:r w:rsidRPr="008F6999">
        <w:rPr>
          <w:rFonts w:asciiTheme="majorBidi" w:hAnsiTheme="majorBidi" w:cstheme="majorBidi"/>
          <w:sz w:val="28"/>
          <w:szCs w:val="28"/>
        </w:rPr>
        <w:t>les</w:t>
      </w:r>
      <w:r w:rsidR="00EA67A4">
        <w:rPr>
          <w:rFonts w:asciiTheme="majorBidi" w:hAnsiTheme="majorBidi" w:cstheme="majorBidi"/>
          <w:sz w:val="28"/>
          <w:szCs w:val="28"/>
        </w:rPr>
        <w:t xml:space="preserve"> </w:t>
      </w:r>
      <w:r w:rsidRPr="008F6999">
        <w:rPr>
          <w:rFonts w:asciiTheme="majorBidi" w:hAnsiTheme="majorBidi" w:cstheme="majorBidi"/>
          <w:sz w:val="28"/>
          <w:szCs w:val="28"/>
        </w:rPr>
        <w:t>leurs» Cadilhon et al (2006). Tandis que, « le modèle de développement agricole de type  conventionnel, productiviste ou non durable, qui a été mis en place depuis les années cinquante pour répondre à la demande croissante de produits agricoles, répond aux besoins du  présent en compromettant la capacité des générations future de répondre à leurs propres besoins » (Parent, 2001, Larochelle, 2011).</w:t>
      </w:r>
    </w:p>
    <w:p w:rsidR="000D3F35" w:rsidRPr="008F6999" w:rsidRDefault="000D3F35" w:rsidP="00C65E4A">
      <w:pPr>
        <w:spacing w:line="312" w:lineRule="auto"/>
        <w:ind w:firstLine="284"/>
        <w:jc w:val="both"/>
        <w:rPr>
          <w:rFonts w:asciiTheme="majorBidi" w:hAnsiTheme="majorBidi" w:cstheme="majorBidi"/>
          <w:sz w:val="28"/>
          <w:szCs w:val="28"/>
        </w:rPr>
      </w:pPr>
      <w:r w:rsidRPr="001207DA">
        <w:rPr>
          <w:rFonts w:asciiTheme="majorBidi" w:hAnsiTheme="majorBidi" w:cstheme="majorBidi"/>
          <w:sz w:val="28"/>
          <w:szCs w:val="28"/>
        </w:rPr>
        <w:t xml:space="preserve">Selon Parent (2001) « </w:t>
      </w:r>
      <w:r w:rsidRPr="008F6999">
        <w:rPr>
          <w:rFonts w:asciiTheme="majorBidi" w:hAnsiTheme="majorBidi" w:cstheme="majorBidi"/>
          <w:sz w:val="28"/>
          <w:szCs w:val="28"/>
        </w:rPr>
        <w:t>un développement durable c'est d'abord un développement qui s'inscrit dans une perspective de long terme et qui peut se mesurer en terme de niveau de revenu, d'équité, d'emploi, d'occupation du territoire et de préservation de l'environnement et de la biodiversité » (Larochelle, 2011).</w:t>
      </w:r>
    </w:p>
    <w:p w:rsidR="000D3F35" w:rsidRPr="008F6999"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développement durable et plus particulièrement l’agriculture durable renvoient à des enjeux politiques planétaires (Hervieu, 2002) qui associent à la solidarité dans le temps (entre les générations), la solidarité dans l’espace (relations nord-sud) et la solidarité entre les différentes couches de la société (Fortun-Lamothe, 2007).</w:t>
      </w:r>
    </w:p>
    <w:p w:rsidR="000D3F35" w:rsidRPr="008F6999"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Cadilhon et al (2006)  rappellent que «l'agriculture doit être économiquement viable, écologiquement saine et  socialement équitable» pour être durable. Ce concept est basé sur l'évaluation des  dimensions économique, environnementale et sociale de la durabilité; trois dimensions  considérées indissociables, dont </w:t>
      </w:r>
      <w:r w:rsidRPr="008F6999">
        <w:rPr>
          <w:rFonts w:asciiTheme="majorBidi" w:hAnsiTheme="majorBidi" w:cstheme="majorBidi"/>
          <w:sz w:val="28"/>
          <w:szCs w:val="28"/>
        </w:rPr>
        <w:lastRenderedPageBreak/>
        <w:t>chacune possède sa propre dynamique et qui doivent être durable simultanément  pour qu'un système agricole puisse être considéré durable (Larochelle, 2011).</w:t>
      </w:r>
    </w:p>
    <w:p w:rsidR="000D3F35" w:rsidRPr="008F6999"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A l’échelle de l’exploitation, Landais (1998) a défini une exploitation durable comme «une exploitation viable, vivable, transmissible et reproductible». La viabilité est pris ici dans sa dimension économique et concerne l’efficacité du système de production et la sécurisation des sources de revenus du système de production agricole face aux aléas du marché et aux incertitudes qui pèsent sur les aides directes. Une exploitation est </w:t>
      </w:r>
      <w:r w:rsidRPr="001207DA">
        <w:rPr>
          <w:rFonts w:asciiTheme="majorBidi" w:hAnsiTheme="majorBidi" w:cstheme="majorBidi"/>
          <w:sz w:val="28"/>
          <w:szCs w:val="28"/>
        </w:rPr>
        <w:t>vivable</w:t>
      </w:r>
      <w:r w:rsidRPr="008F6999">
        <w:rPr>
          <w:rFonts w:asciiTheme="majorBidi" w:hAnsiTheme="majorBidi" w:cstheme="majorBidi"/>
          <w:sz w:val="28"/>
          <w:szCs w:val="28"/>
        </w:rPr>
        <w:t xml:space="preserve"> si elle assure à l’exploitant et à sa famille une vie professionnelle et personnelle décente (dimension sociale). Dans ce cas, les indicateurs ont pour objectif de situer l’agriculteur par rapport à des références sociales telles que le revenu ou le temps de travail, etc. et aussi d’autres aspects plus subjectifs comme la participation à la vie associative ou l’ouverture à des non-agriculteurs (ce qui traduit le mode de relation qu’ils entretiennent avec la société). La transmissibilité concerne la capacité de l'exploitation agricole à perdurer d'une génération à l'autre. Enfin, la reproductibilité s’adresse aux impacts des pratiques agricoles sur leur milieu et à la préservation des ressources naturelles (dimension environnementale) </w:t>
      </w:r>
      <w:r>
        <w:rPr>
          <w:rFonts w:asciiTheme="majorBidi" w:hAnsiTheme="majorBidi" w:cstheme="majorBidi"/>
          <w:sz w:val="28"/>
          <w:szCs w:val="28"/>
        </w:rPr>
        <w:t>(</w:t>
      </w:r>
      <w:r w:rsidRPr="008F6999">
        <w:rPr>
          <w:rFonts w:asciiTheme="majorBidi" w:hAnsiTheme="majorBidi" w:cstheme="majorBidi"/>
          <w:sz w:val="28"/>
          <w:szCs w:val="28"/>
        </w:rPr>
        <w:t>Zahm et al., 2008 ; Fortun-Lamothe, 2012).</w:t>
      </w:r>
    </w:p>
    <w:p w:rsidR="000D3F35" w:rsidRPr="008F6999" w:rsidRDefault="003D3A0A"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t>I.2</w:t>
      </w:r>
      <w:r w:rsidR="000D3F35" w:rsidRPr="008F6999">
        <w:rPr>
          <w:rFonts w:asciiTheme="majorBidi" w:hAnsiTheme="majorBidi" w:cstheme="majorBidi"/>
          <w:b/>
          <w:bCs/>
          <w:sz w:val="28"/>
          <w:szCs w:val="28"/>
        </w:rPr>
        <w:t xml:space="preserve">.Méthodes d’évaluation de la durabilité des exploitations des monogastriques </w:t>
      </w:r>
    </w:p>
    <w:p w:rsidR="000D3F35" w:rsidRPr="008F6999" w:rsidRDefault="003D3A0A"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1.2</w:t>
      </w:r>
      <w:r w:rsidR="000D3F35" w:rsidRPr="008F6999">
        <w:rPr>
          <w:rFonts w:asciiTheme="majorBidi" w:hAnsiTheme="majorBidi" w:cstheme="majorBidi"/>
          <w:b/>
          <w:bCs/>
          <w:sz w:val="28"/>
          <w:szCs w:val="28"/>
        </w:rPr>
        <w:t>.1. Méthode de DIAMOND </w:t>
      </w:r>
    </w:p>
    <w:p w:rsidR="000D3F35" w:rsidRDefault="000D3F35" w:rsidP="00C65E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Il est aujourd’hui admis qu’une évaluation de la durabilité recouvre les 3 dimensions : économique, environnementale et sociale. Pour l’évaluation de niveau de durabilité des exploitations </w:t>
      </w:r>
      <w:r>
        <w:rPr>
          <w:rFonts w:asciiTheme="majorBidi" w:hAnsiTheme="majorBidi" w:cstheme="majorBidi"/>
          <w:sz w:val="28"/>
          <w:szCs w:val="28"/>
        </w:rPr>
        <w:t xml:space="preserve">des volailles, </w:t>
      </w:r>
      <w:r w:rsidRPr="008F6999">
        <w:rPr>
          <w:rFonts w:asciiTheme="majorBidi" w:hAnsiTheme="majorBidi" w:cstheme="majorBidi"/>
          <w:sz w:val="28"/>
          <w:szCs w:val="28"/>
        </w:rPr>
        <w:t xml:space="preserve">la méthode de </w:t>
      </w:r>
      <w:r w:rsidRPr="0023176B">
        <w:rPr>
          <w:rFonts w:asciiTheme="majorBidi" w:hAnsiTheme="majorBidi" w:cstheme="majorBidi"/>
          <w:b/>
          <w:bCs/>
          <w:sz w:val="28"/>
          <w:szCs w:val="28"/>
        </w:rPr>
        <w:t>DIAMOND</w:t>
      </w:r>
      <w:r w:rsidR="00DA5FE1">
        <w:rPr>
          <w:rFonts w:asciiTheme="majorBidi" w:hAnsiTheme="majorBidi" w:cstheme="majorBidi"/>
          <w:b/>
          <w:bCs/>
          <w:sz w:val="28"/>
          <w:szCs w:val="28"/>
        </w:rPr>
        <w:t xml:space="preserve"> </w:t>
      </w:r>
      <w:r>
        <w:rPr>
          <w:rFonts w:asciiTheme="majorBidi" w:hAnsiTheme="majorBidi" w:cstheme="majorBidi"/>
          <w:sz w:val="28"/>
          <w:szCs w:val="28"/>
        </w:rPr>
        <w:t>est adoptée</w:t>
      </w:r>
      <w:r w:rsidRPr="008F6999">
        <w:rPr>
          <w:rFonts w:asciiTheme="majorBidi" w:hAnsiTheme="majorBidi" w:cstheme="majorBidi"/>
          <w:sz w:val="28"/>
          <w:szCs w:val="28"/>
        </w:rPr>
        <w:t xml:space="preserve"> par Fortun-Lamothe et al. (2011), développée pour </w:t>
      </w:r>
      <w:r w:rsidR="00DA5FE1" w:rsidRPr="008F6999">
        <w:rPr>
          <w:rFonts w:asciiTheme="majorBidi" w:hAnsiTheme="majorBidi" w:cstheme="majorBidi"/>
          <w:sz w:val="28"/>
          <w:szCs w:val="28"/>
        </w:rPr>
        <w:t>lapins palmipèdes</w:t>
      </w:r>
      <w:r w:rsidRPr="008F6999">
        <w:rPr>
          <w:rFonts w:asciiTheme="majorBidi" w:hAnsiTheme="majorBidi" w:cstheme="majorBidi"/>
          <w:sz w:val="28"/>
          <w:szCs w:val="28"/>
        </w:rPr>
        <w:t xml:space="preserve"> et utilisable pour l’ensemble des ateliers d’é</w:t>
      </w:r>
      <w:r w:rsidR="00EA67A4">
        <w:rPr>
          <w:rFonts w:asciiTheme="majorBidi" w:hAnsiTheme="majorBidi" w:cstheme="majorBidi"/>
          <w:sz w:val="28"/>
          <w:szCs w:val="28"/>
        </w:rPr>
        <w:t>levage d’animaux monogastrique.</w:t>
      </w:r>
    </w:p>
    <w:p w:rsidR="000D3F35" w:rsidRPr="003D3A0A" w:rsidRDefault="000D3F35" w:rsidP="003D3A0A">
      <w:pPr>
        <w:pStyle w:val="Paragraphedeliste"/>
        <w:numPr>
          <w:ilvl w:val="3"/>
          <w:numId w:val="26"/>
        </w:numPr>
        <w:spacing w:line="312" w:lineRule="auto"/>
        <w:jc w:val="both"/>
        <w:rPr>
          <w:rFonts w:asciiTheme="majorBidi" w:hAnsiTheme="majorBidi" w:cstheme="majorBidi"/>
          <w:b/>
          <w:bCs/>
          <w:sz w:val="28"/>
          <w:szCs w:val="28"/>
        </w:rPr>
      </w:pPr>
      <w:r w:rsidRPr="003D3A0A">
        <w:rPr>
          <w:rFonts w:asciiTheme="majorBidi" w:hAnsiTheme="majorBidi" w:cstheme="majorBidi"/>
          <w:b/>
          <w:bCs/>
          <w:sz w:val="28"/>
          <w:szCs w:val="28"/>
        </w:rPr>
        <w:t xml:space="preserve">Présentation de la méthode DIAMOND </w:t>
      </w:r>
    </w:p>
    <w:p w:rsidR="000D3F35"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méthode</w:t>
      </w:r>
      <w:r w:rsidRPr="008F6999">
        <w:rPr>
          <w:rFonts w:asciiTheme="majorBidi" w:hAnsiTheme="majorBidi" w:cstheme="majorBidi"/>
          <w:b/>
          <w:bCs/>
          <w:sz w:val="28"/>
          <w:szCs w:val="28"/>
        </w:rPr>
        <w:t xml:space="preserve"> DIAMOND</w:t>
      </w:r>
      <w:r w:rsidRPr="008F6999">
        <w:rPr>
          <w:rFonts w:asciiTheme="majorBidi" w:hAnsiTheme="majorBidi" w:cstheme="majorBidi"/>
          <w:sz w:val="28"/>
          <w:szCs w:val="28"/>
        </w:rPr>
        <w:t xml:space="preserve"> « </w:t>
      </w:r>
      <w:r w:rsidRPr="008F6999">
        <w:rPr>
          <w:rFonts w:asciiTheme="majorBidi" w:hAnsiTheme="majorBidi" w:cstheme="majorBidi"/>
          <w:b/>
          <w:bCs/>
          <w:color w:val="CD0000"/>
          <w:sz w:val="28"/>
          <w:szCs w:val="28"/>
        </w:rPr>
        <w:t>D</w:t>
      </w:r>
      <w:r w:rsidRPr="008F6999">
        <w:rPr>
          <w:rFonts w:asciiTheme="majorBidi" w:hAnsiTheme="majorBidi" w:cstheme="majorBidi"/>
          <w:b/>
          <w:bCs/>
          <w:color w:val="C10000"/>
          <w:sz w:val="28"/>
          <w:szCs w:val="28"/>
        </w:rPr>
        <w:t>I</w:t>
      </w:r>
      <w:r w:rsidRPr="008F6999">
        <w:rPr>
          <w:rFonts w:asciiTheme="majorBidi" w:hAnsiTheme="majorBidi" w:cstheme="majorBidi"/>
          <w:b/>
          <w:bCs/>
          <w:color w:val="000000"/>
          <w:sz w:val="28"/>
          <w:szCs w:val="28"/>
        </w:rPr>
        <w:t xml:space="preserve">agnostic de durabilité des ateliers d’élevage des </w:t>
      </w:r>
      <w:r w:rsidRPr="008F6999">
        <w:rPr>
          <w:rFonts w:asciiTheme="majorBidi" w:hAnsiTheme="majorBidi" w:cstheme="majorBidi"/>
          <w:b/>
          <w:bCs/>
          <w:color w:val="C10000"/>
          <w:sz w:val="28"/>
          <w:szCs w:val="28"/>
        </w:rPr>
        <w:t>A</w:t>
      </w:r>
      <w:r w:rsidRPr="008F6999">
        <w:rPr>
          <w:rFonts w:asciiTheme="majorBidi" w:hAnsiTheme="majorBidi" w:cstheme="majorBidi"/>
          <w:b/>
          <w:bCs/>
          <w:color w:val="000000"/>
          <w:sz w:val="28"/>
          <w:szCs w:val="28"/>
        </w:rPr>
        <w:t xml:space="preserve">nimaux </w:t>
      </w:r>
      <w:r w:rsidRPr="008F6999">
        <w:rPr>
          <w:rFonts w:asciiTheme="majorBidi" w:hAnsiTheme="majorBidi" w:cstheme="majorBidi"/>
          <w:b/>
          <w:bCs/>
          <w:color w:val="C10000"/>
          <w:sz w:val="28"/>
          <w:szCs w:val="28"/>
        </w:rPr>
        <w:t>MON</w:t>
      </w:r>
      <w:r w:rsidRPr="008F6999">
        <w:rPr>
          <w:rFonts w:asciiTheme="majorBidi" w:hAnsiTheme="majorBidi" w:cstheme="majorBidi"/>
          <w:b/>
          <w:bCs/>
          <w:color w:val="000000"/>
          <w:sz w:val="28"/>
          <w:szCs w:val="28"/>
        </w:rPr>
        <w:t>ogastiques</w:t>
      </w:r>
      <w:r w:rsidR="00032F4F">
        <w:rPr>
          <w:rFonts w:asciiTheme="majorBidi" w:hAnsiTheme="majorBidi" w:cstheme="majorBidi"/>
          <w:b/>
          <w:bCs/>
          <w:color w:val="000000"/>
          <w:sz w:val="28"/>
          <w:szCs w:val="28"/>
        </w:rPr>
        <w:t xml:space="preserve"> </w:t>
      </w:r>
      <w:r w:rsidRPr="008F6999">
        <w:rPr>
          <w:rFonts w:asciiTheme="majorBidi" w:hAnsiTheme="majorBidi" w:cstheme="majorBidi"/>
          <w:b/>
          <w:bCs/>
          <w:color w:val="C10000"/>
          <w:sz w:val="28"/>
          <w:szCs w:val="28"/>
        </w:rPr>
        <w:t>D</w:t>
      </w:r>
      <w:r w:rsidRPr="008F6999">
        <w:rPr>
          <w:rFonts w:asciiTheme="majorBidi" w:hAnsiTheme="majorBidi" w:cstheme="majorBidi"/>
          <w:b/>
          <w:bCs/>
          <w:color w:val="000000"/>
          <w:sz w:val="28"/>
          <w:szCs w:val="28"/>
        </w:rPr>
        <w:t>éclinable par filière</w:t>
      </w:r>
      <w:r w:rsidRPr="008F6999">
        <w:rPr>
          <w:rFonts w:asciiTheme="majorBidi" w:hAnsiTheme="majorBidi" w:cstheme="majorBidi"/>
          <w:sz w:val="28"/>
          <w:szCs w:val="28"/>
        </w:rPr>
        <w:t> » proposée par Fortun-</w:t>
      </w:r>
      <w:r w:rsidRPr="008F6999">
        <w:rPr>
          <w:rFonts w:asciiTheme="majorBidi" w:hAnsiTheme="majorBidi" w:cstheme="majorBidi"/>
          <w:sz w:val="28"/>
          <w:szCs w:val="28"/>
        </w:rPr>
        <w:lastRenderedPageBreak/>
        <w:t>La</w:t>
      </w:r>
      <w:r w:rsidR="00032F4F">
        <w:rPr>
          <w:rFonts w:asciiTheme="majorBidi" w:hAnsiTheme="majorBidi" w:cstheme="majorBidi"/>
          <w:sz w:val="28"/>
          <w:szCs w:val="28"/>
        </w:rPr>
        <w:t xml:space="preserve"> </w:t>
      </w:r>
      <w:r w:rsidRPr="008F6999">
        <w:rPr>
          <w:rFonts w:asciiTheme="majorBidi" w:hAnsiTheme="majorBidi" w:cstheme="majorBidi"/>
          <w:sz w:val="28"/>
          <w:szCs w:val="28"/>
        </w:rPr>
        <w:t xml:space="preserve">mothe et al. (2011), évalue la durabilité des ateliers d’élevage en s’appuyant sur les trois piliers : économique, environnemental, et social. </w:t>
      </w:r>
    </w:p>
    <w:p w:rsidR="000D3F35" w:rsidRPr="008F6999" w:rsidRDefault="000D3F35" w:rsidP="00C65E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Les acteurs de la filière sont les enjeux du développement durable, l’évaluation de la durabilité, des regards sur le métier, les systèmes, le produit, d’identifier ses atouts et ses limites et de proposer des actions pour progresser. </w:t>
      </w:r>
    </w:p>
    <w:p w:rsidR="000D3F35" w:rsidRPr="008F6999" w:rsidRDefault="000D3F35" w:rsidP="00C65E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méthode de DIAMOND est conçue pour évaluer la durabilité des ateliers d’élevage de monogastriques en conditions de terrain, mais  aussi en recherche et développement pour évaluer la durabilité des innovations, produire des références nationales de durabilité,  pouvoir réaliser des typologies des ateliers (Fortun-Lamothe, 2011).</w:t>
      </w:r>
    </w:p>
    <w:p w:rsidR="000D3F35" w:rsidRPr="008F6999" w:rsidRDefault="000D3F35" w:rsidP="00C65E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utilisateurs de la méthode de DIAMOND sont les acteurs de</w:t>
      </w:r>
      <w:r>
        <w:rPr>
          <w:rFonts w:asciiTheme="majorBidi" w:hAnsiTheme="majorBidi" w:cstheme="majorBidi"/>
          <w:sz w:val="28"/>
          <w:szCs w:val="28"/>
        </w:rPr>
        <w:t xml:space="preserve"> la filière</w:t>
      </w:r>
      <w:r w:rsidRPr="008F6999">
        <w:rPr>
          <w:rFonts w:asciiTheme="majorBidi" w:hAnsiTheme="majorBidi" w:cstheme="majorBidi"/>
          <w:sz w:val="28"/>
          <w:szCs w:val="28"/>
        </w:rPr>
        <w:t xml:space="preserve"> et acteurs de la Recherche et  du Développement (Fortun-Lamothe, 2011).</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Intérêts :</w:t>
      </w:r>
      <w:r w:rsidRPr="008F6999">
        <w:rPr>
          <w:rFonts w:asciiTheme="majorBidi" w:hAnsiTheme="majorBidi" w:cstheme="majorBidi"/>
          <w:sz w:val="28"/>
          <w:szCs w:val="28"/>
        </w:rPr>
        <w:t xml:space="preserve">   Vision partagée, richesse de la démarche participative, adossement aux réseaux de fermes de  références, auto-évaluation (</w:t>
      </w:r>
      <w:r>
        <w:rPr>
          <w:rFonts w:asciiTheme="majorBidi" w:hAnsiTheme="majorBidi" w:cstheme="majorBidi"/>
          <w:sz w:val="28"/>
          <w:szCs w:val="28"/>
        </w:rPr>
        <w:t>Fortun-</w:t>
      </w:r>
      <w:r w:rsidRPr="008F6999">
        <w:rPr>
          <w:rFonts w:asciiTheme="majorBidi" w:hAnsiTheme="majorBidi" w:cstheme="majorBidi"/>
          <w:sz w:val="28"/>
          <w:szCs w:val="28"/>
        </w:rPr>
        <w:t>Lamothe,2011).</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 xml:space="preserve">Limites : </w:t>
      </w:r>
      <w:r w:rsidRPr="008F6999">
        <w:rPr>
          <w:rFonts w:asciiTheme="majorBidi" w:hAnsiTheme="majorBidi" w:cstheme="majorBidi"/>
          <w:sz w:val="28"/>
          <w:szCs w:val="28"/>
        </w:rPr>
        <w:t xml:space="preserve">  Adossement aux réseaux qui entraîne une certaine rigidité dans le choix des indicateurs,  nombreux indicateurs, vocabulaire spécifique (difficulté d’appropriation de la méthode) ; pas facile de  mettre autour de la table un nombre équivalents de représentants des citoyens, consommateurs, éleveurs et techniciens (ces deux derniers étaient beaucoup  plus nombreux). La méthode n’est pas adaptée pour  évaluer un système d’élevage (Fortun-Lamothe.,2011).</w:t>
      </w:r>
    </w:p>
    <w:p w:rsidR="000D3F35" w:rsidRPr="008F6999" w:rsidRDefault="003D3A0A"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1.2</w:t>
      </w:r>
      <w:r w:rsidR="000D3F35" w:rsidRPr="008F6999">
        <w:rPr>
          <w:rFonts w:asciiTheme="majorBidi" w:hAnsiTheme="majorBidi" w:cstheme="majorBidi"/>
          <w:b/>
          <w:bCs/>
          <w:sz w:val="28"/>
          <w:szCs w:val="28"/>
        </w:rPr>
        <w:t>.1.2. Démarche de la construction de la méthode DIAMOND</w:t>
      </w:r>
    </w:p>
    <w:p w:rsidR="000D3F35" w:rsidRPr="008F6999" w:rsidRDefault="000D3F35" w:rsidP="00AD30AE">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L’usage de cet outil comporte quatre étapes : </w:t>
      </w:r>
    </w:p>
    <w:p w:rsidR="000D3F35" w:rsidRPr="00BA27F5" w:rsidRDefault="003D3A0A"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t>1.2</w:t>
      </w:r>
      <w:r w:rsidR="000D3F35" w:rsidRPr="008F6999">
        <w:rPr>
          <w:rFonts w:asciiTheme="majorBidi" w:hAnsiTheme="majorBidi" w:cstheme="majorBidi"/>
          <w:b/>
          <w:bCs/>
          <w:sz w:val="28"/>
          <w:szCs w:val="28"/>
        </w:rPr>
        <w:t>.1.2.1.</w:t>
      </w:r>
      <w:r w:rsidR="000D3F35" w:rsidRPr="008F6999">
        <w:rPr>
          <w:rFonts w:asciiTheme="majorBidi" w:hAnsiTheme="majorBidi" w:cstheme="majorBidi"/>
          <w:sz w:val="28"/>
          <w:szCs w:val="28"/>
        </w:rPr>
        <w:t xml:space="preserve"> Définir le système à évaluer, c’est-à-</w:t>
      </w:r>
      <w:r w:rsidR="000D3F35" w:rsidRPr="00BA27F5">
        <w:rPr>
          <w:rFonts w:asciiTheme="majorBidi" w:hAnsiTheme="majorBidi" w:cstheme="majorBidi"/>
          <w:sz w:val="28"/>
          <w:szCs w:val="28"/>
        </w:rPr>
        <w:t xml:space="preserve">dire délimiter les frontières du système étudié (atelier, exploitation filière, territoire, produit), </w:t>
      </w:r>
    </w:p>
    <w:p w:rsidR="000D3F35" w:rsidRPr="008F6999" w:rsidRDefault="003D3A0A"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t>1.2</w:t>
      </w:r>
      <w:r w:rsidR="000D3F35" w:rsidRPr="00BA27F5">
        <w:rPr>
          <w:rFonts w:asciiTheme="majorBidi" w:hAnsiTheme="majorBidi" w:cstheme="majorBidi"/>
          <w:b/>
          <w:bCs/>
          <w:sz w:val="28"/>
          <w:szCs w:val="28"/>
        </w:rPr>
        <w:t>.1.2.2.</w:t>
      </w:r>
      <w:r w:rsidR="000D3F35" w:rsidRPr="00BA27F5">
        <w:rPr>
          <w:rFonts w:asciiTheme="majorBidi" w:hAnsiTheme="majorBidi" w:cstheme="majorBidi"/>
          <w:sz w:val="28"/>
          <w:szCs w:val="28"/>
        </w:rPr>
        <w:t xml:space="preserve"> Définir les objectifs et critères de durabilité (cette étape consiste à définir, pour chacune des dimensions de la durabilité, les objectifs de durabilité assignés au système de production étudié. Ces</w:t>
      </w:r>
      <w:r w:rsidR="000D3F35" w:rsidRPr="008F6999">
        <w:rPr>
          <w:rFonts w:asciiTheme="majorBidi" w:hAnsiTheme="majorBidi" w:cstheme="majorBidi"/>
          <w:sz w:val="28"/>
          <w:szCs w:val="28"/>
        </w:rPr>
        <w:t xml:space="preserve"> objectifs représentent les résultats que l'on se propose d'atteindre. Les objectifs de durabilité (qui peuvent être déclinés en critères) sont définis dans le cadre d’une démarche participative </w:t>
      </w:r>
      <w:r w:rsidR="000D3F35" w:rsidRPr="008F6999">
        <w:rPr>
          <w:rFonts w:asciiTheme="majorBidi" w:hAnsiTheme="majorBidi" w:cstheme="majorBidi"/>
          <w:sz w:val="28"/>
          <w:szCs w:val="28"/>
        </w:rPr>
        <w:lastRenderedPageBreak/>
        <w:t xml:space="preserve">(Méthode DIAMOND ; Fortun-Lamothe et al., 2011) qui consiste à rassembler l’ensemble des sensibilités sociétales (producteur, consommateur, citoyens, décideurs publiques) afin d’obtenir un consensus d’acteurs sur la définition des objectifs de durabilité (Rey-Valette et al ; 2008).  </w:t>
      </w:r>
    </w:p>
    <w:p w:rsidR="000D3F35" w:rsidRPr="00BA27F5" w:rsidRDefault="003D3A0A" w:rsidP="00C65E4A">
      <w:pPr>
        <w:pStyle w:val="Default"/>
        <w:spacing w:after="200" w:line="312" w:lineRule="auto"/>
        <w:jc w:val="both"/>
        <w:rPr>
          <w:rFonts w:asciiTheme="majorBidi" w:hAnsiTheme="majorBidi" w:cstheme="majorBidi"/>
          <w:sz w:val="28"/>
          <w:szCs w:val="28"/>
        </w:rPr>
      </w:pPr>
      <w:r>
        <w:rPr>
          <w:rFonts w:asciiTheme="majorBidi" w:hAnsiTheme="majorBidi" w:cstheme="majorBidi"/>
          <w:b/>
          <w:bCs/>
          <w:sz w:val="28"/>
          <w:szCs w:val="28"/>
        </w:rPr>
        <w:t>1.2</w:t>
      </w:r>
      <w:r w:rsidR="000D3F35" w:rsidRPr="008F6999">
        <w:rPr>
          <w:rFonts w:asciiTheme="majorBidi" w:hAnsiTheme="majorBidi" w:cstheme="majorBidi"/>
          <w:b/>
          <w:bCs/>
          <w:sz w:val="28"/>
          <w:szCs w:val="28"/>
        </w:rPr>
        <w:t>.1.2.3.</w:t>
      </w:r>
      <w:r w:rsidR="000D3F35" w:rsidRPr="008F6999">
        <w:rPr>
          <w:rFonts w:asciiTheme="majorBidi" w:hAnsiTheme="majorBidi" w:cstheme="majorBidi"/>
          <w:sz w:val="28"/>
          <w:szCs w:val="28"/>
        </w:rPr>
        <w:t xml:space="preserve"> Définir les indicateurs de durabilité pour évaluer la </w:t>
      </w:r>
      <w:r w:rsidR="000D3F35" w:rsidRPr="00BA27F5">
        <w:rPr>
          <w:rFonts w:asciiTheme="majorBidi" w:hAnsiTheme="majorBidi" w:cstheme="majorBidi"/>
          <w:sz w:val="28"/>
          <w:szCs w:val="28"/>
        </w:rPr>
        <w:t xml:space="preserve">réponse du système à chacun des objectifs précédemment définis. </w:t>
      </w:r>
      <w:r w:rsidR="000D3F35" w:rsidRPr="00BA27F5">
        <w:rPr>
          <w:rFonts w:asciiTheme="majorBidi" w:hAnsiTheme="majorBidi" w:cstheme="majorBidi"/>
          <w:color w:val="auto"/>
          <w:sz w:val="28"/>
          <w:szCs w:val="28"/>
        </w:rPr>
        <w:t xml:space="preserve">Le terme « indicateur » est défini comme étant une variable qui peut fournir de l'information de façon directe ou indirecte sur d'autres variables moins accessibles, directement liée à la viabilité d'une entreprise et spécifique à l'échelle économique, sociale et environnementale (Rouchelle, 2011). Bosshard (2000) associe un indicateur à la valeur du critère qu'il représente et du but visé (Rouchelle, 2011). </w:t>
      </w:r>
      <w:r w:rsidR="000D3F35" w:rsidRPr="00BA27F5">
        <w:rPr>
          <w:rFonts w:asciiTheme="majorBidi" w:hAnsiTheme="majorBidi" w:cstheme="majorBidi"/>
          <w:sz w:val="28"/>
          <w:szCs w:val="28"/>
        </w:rPr>
        <w:t xml:space="preserve">Les indicateurs synthétisent ou simplifient des données pertinentes relatives à l’état ou à l’évolution de certains phénomènes. Ce sont des outils de communication et d’aide à la décision qui peuvent prendre une forme tant quantitative que qualitative (Bockstaller et al., 2010). Ils permettent d’appréhender, de façon simplifiée et mesurable, une réalité complexe afin de faciliter la compréhension des systèmes. Bockstaller et Girardin (2003) ont défini qu’un indicateur peut être considéré comme validé s'il est conçu scientifiquement, s’il est sensible et pertinent, et s'il est utile et utilisé par les destinataires finaux. Le développement d’un indicateur est donc un travail scientifique. </w:t>
      </w:r>
    </w:p>
    <w:p w:rsidR="000D3F35" w:rsidRDefault="003D3A0A" w:rsidP="00C65E4A">
      <w:pPr>
        <w:spacing w:before="120" w:line="312" w:lineRule="auto"/>
        <w:jc w:val="both"/>
        <w:rPr>
          <w:rFonts w:asciiTheme="majorBidi" w:hAnsiTheme="majorBidi" w:cstheme="majorBidi"/>
          <w:sz w:val="28"/>
          <w:szCs w:val="28"/>
        </w:rPr>
      </w:pPr>
      <w:r>
        <w:rPr>
          <w:rFonts w:asciiTheme="majorBidi" w:hAnsiTheme="majorBidi" w:cstheme="majorBidi"/>
          <w:b/>
          <w:bCs/>
          <w:sz w:val="28"/>
          <w:szCs w:val="28"/>
        </w:rPr>
        <w:t>1.2</w:t>
      </w:r>
      <w:r w:rsidR="000D3F35" w:rsidRPr="00BA27F5">
        <w:rPr>
          <w:rFonts w:asciiTheme="majorBidi" w:hAnsiTheme="majorBidi" w:cstheme="majorBidi"/>
          <w:b/>
          <w:bCs/>
          <w:sz w:val="28"/>
          <w:szCs w:val="28"/>
        </w:rPr>
        <w:t xml:space="preserve">.1.2.4. </w:t>
      </w:r>
      <w:r w:rsidR="000D3F35" w:rsidRPr="00BA27F5">
        <w:rPr>
          <w:rFonts w:asciiTheme="majorBidi" w:hAnsiTheme="majorBidi" w:cstheme="majorBidi"/>
          <w:sz w:val="28"/>
          <w:szCs w:val="28"/>
        </w:rPr>
        <w:t>Définir la méthode d’interprétation des résultats. Géniaux (2006) décrit qu’en se basant sur les résultats des indicateurs, on fait généralement référence à des notions</w:t>
      </w:r>
      <w:r w:rsidR="000D3F35">
        <w:rPr>
          <w:rFonts w:asciiTheme="majorBidi" w:hAnsiTheme="majorBidi" w:cstheme="majorBidi"/>
          <w:sz w:val="28"/>
          <w:szCs w:val="28"/>
        </w:rPr>
        <w:t xml:space="preserve"> : </w:t>
      </w:r>
    </w:p>
    <w:p w:rsidR="000D3F35" w:rsidRDefault="000D3F35" w:rsidP="00C65E4A">
      <w:pPr>
        <w:spacing w:before="120" w:line="312" w:lineRule="auto"/>
        <w:jc w:val="both"/>
        <w:rPr>
          <w:rFonts w:asciiTheme="majorBidi" w:hAnsiTheme="majorBidi" w:cstheme="majorBidi"/>
          <w:sz w:val="28"/>
          <w:szCs w:val="28"/>
        </w:rPr>
      </w:pPr>
      <w:r>
        <w:rPr>
          <w:rFonts w:asciiTheme="majorBidi" w:hAnsiTheme="majorBidi" w:cstheme="majorBidi"/>
          <w:sz w:val="28"/>
          <w:szCs w:val="28"/>
        </w:rPr>
        <w:t xml:space="preserve">- </w:t>
      </w:r>
      <w:r w:rsidRPr="00BA27F5">
        <w:rPr>
          <w:rFonts w:asciiTheme="majorBidi" w:hAnsiTheme="majorBidi" w:cstheme="majorBidi"/>
          <w:sz w:val="28"/>
          <w:szCs w:val="28"/>
        </w:rPr>
        <w:t xml:space="preserve">de seuil (correspond à une valeur de référence scientifiquement établie à partir de laquelle le phénomène décrit change de statut, présente des discontinuités notables, des changements de régimes ou des irréversibilités), </w:t>
      </w:r>
    </w:p>
    <w:p w:rsidR="000D3F35" w:rsidRDefault="000D3F35" w:rsidP="00C65E4A">
      <w:pPr>
        <w:spacing w:before="120" w:line="312" w:lineRule="auto"/>
        <w:jc w:val="both"/>
        <w:rPr>
          <w:rFonts w:asciiTheme="majorBidi" w:hAnsiTheme="majorBidi" w:cstheme="majorBidi"/>
          <w:sz w:val="28"/>
          <w:szCs w:val="28"/>
        </w:rPr>
      </w:pPr>
      <w:r>
        <w:rPr>
          <w:rFonts w:asciiTheme="majorBidi" w:hAnsiTheme="majorBidi" w:cstheme="majorBidi"/>
          <w:sz w:val="28"/>
          <w:szCs w:val="28"/>
        </w:rPr>
        <w:t xml:space="preserve">- </w:t>
      </w:r>
      <w:r w:rsidRPr="00BA27F5">
        <w:rPr>
          <w:rFonts w:asciiTheme="majorBidi" w:hAnsiTheme="majorBidi" w:cstheme="majorBidi"/>
          <w:sz w:val="28"/>
          <w:szCs w:val="28"/>
        </w:rPr>
        <w:t xml:space="preserve">de valeur critique (qui renvoie à des normes et/ou des standards acceptés collectivement), </w:t>
      </w:r>
    </w:p>
    <w:p w:rsidR="000D3F35" w:rsidRDefault="000D3F35" w:rsidP="00C65E4A">
      <w:pPr>
        <w:spacing w:before="120" w:line="312" w:lineRule="auto"/>
        <w:jc w:val="both"/>
        <w:rPr>
          <w:rFonts w:asciiTheme="majorBidi" w:hAnsiTheme="majorBidi" w:cstheme="majorBidi"/>
          <w:sz w:val="28"/>
          <w:szCs w:val="28"/>
        </w:rPr>
      </w:pPr>
      <w:r>
        <w:rPr>
          <w:rFonts w:asciiTheme="majorBidi" w:hAnsiTheme="majorBidi" w:cstheme="majorBidi"/>
          <w:sz w:val="28"/>
          <w:szCs w:val="28"/>
        </w:rPr>
        <w:t xml:space="preserve">- </w:t>
      </w:r>
      <w:r w:rsidRPr="00BA27F5">
        <w:rPr>
          <w:rFonts w:asciiTheme="majorBidi" w:hAnsiTheme="majorBidi" w:cstheme="majorBidi"/>
          <w:sz w:val="28"/>
          <w:szCs w:val="28"/>
        </w:rPr>
        <w:t xml:space="preserve">de cible (qui fixe un objectif à atteindre qui tient compte des efforts et des coûts), </w:t>
      </w:r>
    </w:p>
    <w:p w:rsidR="000D3F35" w:rsidRPr="00BA27F5" w:rsidRDefault="000D3F35" w:rsidP="00C65E4A">
      <w:pPr>
        <w:pStyle w:val="Paragraphedeliste"/>
        <w:numPr>
          <w:ilvl w:val="0"/>
          <w:numId w:val="11"/>
        </w:numPr>
        <w:spacing w:before="120" w:line="312" w:lineRule="auto"/>
        <w:jc w:val="both"/>
        <w:rPr>
          <w:rFonts w:asciiTheme="majorBidi" w:hAnsiTheme="majorBidi" w:cstheme="majorBidi"/>
          <w:sz w:val="28"/>
          <w:szCs w:val="28"/>
        </w:rPr>
      </w:pPr>
      <w:r w:rsidRPr="00BA27F5">
        <w:rPr>
          <w:rFonts w:asciiTheme="majorBidi" w:hAnsiTheme="majorBidi" w:cstheme="majorBidi"/>
          <w:sz w:val="28"/>
          <w:szCs w:val="28"/>
        </w:rPr>
        <w:lastRenderedPageBreak/>
        <w:t xml:space="preserve">de performance relative (qui s’appuie sur les performances des autres systèmes). </w:t>
      </w:r>
    </w:p>
    <w:p w:rsidR="000D3F35" w:rsidRPr="008F6999" w:rsidRDefault="000D3F35" w:rsidP="00AD30AE">
      <w:pPr>
        <w:pStyle w:val="Default"/>
        <w:spacing w:before="120" w:after="200" w:line="312" w:lineRule="auto"/>
        <w:ind w:firstLine="284"/>
        <w:jc w:val="both"/>
        <w:rPr>
          <w:rFonts w:asciiTheme="majorBidi" w:hAnsiTheme="majorBidi" w:cstheme="majorBidi"/>
          <w:sz w:val="28"/>
          <w:szCs w:val="28"/>
        </w:rPr>
      </w:pPr>
      <w:r w:rsidRPr="00BA27F5">
        <w:rPr>
          <w:rFonts w:asciiTheme="majorBidi" w:hAnsiTheme="majorBidi" w:cstheme="majorBidi"/>
          <w:sz w:val="28"/>
          <w:szCs w:val="28"/>
        </w:rPr>
        <w:t xml:space="preserve">L’interprétation des résultats peut se faire en se reposant sur une agrégation des données (méthodes IDEA, DIAMOND…). L’agrégation des </w:t>
      </w:r>
      <w:r w:rsidRPr="008F6999">
        <w:rPr>
          <w:rFonts w:asciiTheme="majorBidi" w:hAnsiTheme="majorBidi" w:cstheme="majorBidi"/>
          <w:sz w:val="28"/>
          <w:szCs w:val="28"/>
        </w:rPr>
        <w:t xml:space="preserve">données vise à faciliter la comparaison des systèmes en limitant la quantité d’information à comparer. Son inconvénient est qu’elle peut rendre inaccessible une partie de l’information contenue dans les indicateurs. Elle pose aussi la question du troncage d’information et des compensations possibles au sein des parties agrégées (Botreau et al., 2007). </w:t>
      </w:r>
    </w:p>
    <w:p w:rsidR="000D3F35" w:rsidRPr="008F6999" w:rsidRDefault="000D3F35" w:rsidP="00AD30AE">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valeur finale de durabilité de l’atelier correspond à la plus petite des trois notes (environnement, social  ou économique). On ne peut pas compenser les notes entre piliers. </w:t>
      </w:r>
    </w:p>
    <w:p w:rsidR="000D3F35" w:rsidRPr="008F6999" w:rsidRDefault="003D3A0A"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1-2</w:t>
      </w:r>
      <w:r w:rsidR="000D3F35" w:rsidRPr="008F6999">
        <w:rPr>
          <w:rFonts w:asciiTheme="majorBidi" w:hAnsiTheme="majorBidi" w:cstheme="majorBidi"/>
          <w:b/>
          <w:bCs/>
          <w:sz w:val="28"/>
          <w:szCs w:val="28"/>
        </w:rPr>
        <w:t xml:space="preserve">-2 La méthode IDEA </w:t>
      </w:r>
    </w:p>
    <w:p w:rsidR="000D3F35" w:rsidRPr="008F6999" w:rsidRDefault="000D3F35" w:rsidP="00AD30AE">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Développée par un groupe de chercheurs, d’enseignants et de techniciens à la demande du Ministère de l’agriculture, la méthode IDEA (Vilain et al., 2008 ; Zahm et al., 2008) répond à un double objectif : (i) formaliser le cadre théorique du concept d'exploitation agricole durable pour les besoins de l'enseignement agronomique; (ii) rendre opérationnel ce concept dans un objectif managérial pour permettre à un (ou des) agriculteur(s) qui souhaite(nt) s'engager dans une démarche d'agriculture durable d'évaluer son (leur) niveau de performance globale dans une démarche pédagogique d'auto-évaluation. Pour faciliter son appropriation pédagogique mais aussi donner un caractère instrumental à la méthode, ses auteurs ont fait le choix d'adopter une approche « orientée indicateurs » (Zahm, 2013).</w:t>
      </w:r>
    </w:p>
    <w:p w:rsidR="000D3F35" w:rsidRPr="008F6999" w:rsidRDefault="000D3F35" w:rsidP="00AD30AE">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méthode des Indicateurs de Durabilité des Exploitations Agricoles (IDEA) a été élaborée</w:t>
      </w:r>
      <w:r w:rsidR="008E2BA1">
        <w:rPr>
          <w:rFonts w:asciiTheme="majorBidi" w:hAnsiTheme="majorBidi" w:cstheme="majorBidi"/>
          <w:sz w:val="28"/>
          <w:szCs w:val="28"/>
        </w:rPr>
        <w:t xml:space="preserve"> </w:t>
      </w:r>
      <w:r w:rsidRPr="008F6999">
        <w:rPr>
          <w:rFonts w:asciiTheme="majorBidi" w:hAnsiTheme="majorBidi" w:cstheme="majorBidi"/>
          <w:sz w:val="28"/>
          <w:szCs w:val="28"/>
        </w:rPr>
        <w:t>pour effectuer un diagnostic de durabilité des exploitations à partir d’enquêtes directes auprès</w:t>
      </w:r>
      <w:r w:rsidR="008E2BA1">
        <w:rPr>
          <w:rFonts w:asciiTheme="majorBidi" w:hAnsiTheme="majorBidi" w:cstheme="majorBidi"/>
          <w:sz w:val="28"/>
          <w:szCs w:val="28"/>
        </w:rPr>
        <w:t xml:space="preserve"> </w:t>
      </w:r>
      <w:r w:rsidRPr="008F6999">
        <w:rPr>
          <w:rFonts w:asciiTheme="majorBidi" w:hAnsiTheme="majorBidi" w:cstheme="majorBidi"/>
          <w:sz w:val="28"/>
          <w:szCs w:val="28"/>
        </w:rPr>
        <w:t>des exploitants (Vilain, 2003 ; Cadilhon, 2006). Les fondements théoriques de cette méthode se situent dans la lignée de l’approche systémique utilisée dans les sciences agronomiques depuis de nombreuses années en France (Sebillotte, 1996).</w:t>
      </w:r>
    </w:p>
    <w:p w:rsidR="000D3F35" w:rsidRDefault="000D3F35" w:rsidP="00AD30AE">
      <w:pPr>
        <w:autoSpaceDE w:val="0"/>
        <w:autoSpaceDN w:val="0"/>
        <w:adjustRightInd w:val="0"/>
        <w:spacing w:line="312" w:lineRule="auto"/>
        <w:ind w:firstLine="284"/>
        <w:rPr>
          <w:rFonts w:asciiTheme="majorBidi" w:hAnsiTheme="majorBidi" w:cstheme="majorBidi"/>
          <w:sz w:val="28"/>
          <w:szCs w:val="28"/>
        </w:rPr>
      </w:pPr>
      <w:r w:rsidRPr="008F6999">
        <w:rPr>
          <w:rFonts w:asciiTheme="majorBidi" w:hAnsiTheme="majorBidi" w:cstheme="majorBidi"/>
          <w:sz w:val="28"/>
          <w:szCs w:val="28"/>
        </w:rPr>
        <w:lastRenderedPageBreak/>
        <w:t>La méthode IDEA est structurée en objectifs regroupés au sein de trois échelles de durabilité. Chacune de ces trois échelles est subdivisée en trois ou quatre composantes (soit 10 composantes au total), regroupant au total 4</w:t>
      </w:r>
      <w:r>
        <w:rPr>
          <w:rFonts w:asciiTheme="majorBidi" w:hAnsiTheme="majorBidi" w:cstheme="majorBidi"/>
          <w:sz w:val="28"/>
          <w:szCs w:val="28"/>
        </w:rPr>
        <w:t>2</w:t>
      </w:r>
      <w:r w:rsidRPr="008F6999">
        <w:rPr>
          <w:rFonts w:asciiTheme="majorBidi" w:hAnsiTheme="majorBidi" w:cstheme="majorBidi"/>
          <w:sz w:val="28"/>
          <w:szCs w:val="28"/>
        </w:rPr>
        <w:t xml:space="preserve"> indicateurs.</w:t>
      </w:r>
      <w:r w:rsidR="008E2BA1">
        <w:rPr>
          <w:rFonts w:asciiTheme="majorBidi" w:hAnsiTheme="majorBidi" w:cstheme="majorBidi"/>
          <w:sz w:val="28"/>
          <w:szCs w:val="28"/>
        </w:rPr>
        <w:t xml:space="preserve"> </w:t>
      </w:r>
      <w:r w:rsidRPr="008F6999">
        <w:rPr>
          <w:rFonts w:asciiTheme="majorBidi" w:hAnsiTheme="majorBidi" w:cstheme="majorBidi"/>
          <w:sz w:val="28"/>
          <w:szCs w:val="28"/>
        </w:rPr>
        <w:t>Cette méthode permet ensuite d’agglomérer les scores sans  compensation entre pilier(Girardin et al., 2004 ; Fortun-Lamothe et al., 2011) (Tableau</w:t>
      </w:r>
      <w:r w:rsidR="00EA67A4">
        <w:rPr>
          <w:rFonts w:asciiTheme="majorBidi" w:hAnsiTheme="majorBidi" w:cstheme="majorBidi"/>
          <w:sz w:val="28"/>
          <w:szCs w:val="28"/>
        </w:rPr>
        <w:t>1</w:t>
      </w:r>
      <w:r w:rsidRPr="008F6999">
        <w:rPr>
          <w:rFonts w:asciiTheme="majorBidi" w:hAnsiTheme="majorBidi" w:cstheme="majorBidi"/>
          <w:sz w:val="28"/>
          <w:szCs w:val="28"/>
        </w:rPr>
        <w:t xml:space="preserve">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p w:rsidR="00EA67A4" w:rsidRDefault="00EA67A4" w:rsidP="00C65E4A">
      <w:pPr>
        <w:autoSpaceDE w:val="0"/>
        <w:autoSpaceDN w:val="0"/>
        <w:adjustRightInd w:val="0"/>
        <w:spacing w:line="312" w:lineRule="auto"/>
        <w:jc w:val="center"/>
        <w:rPr>
          <w:rFonts w:asciiTheme="majorBidi" w:hAnsiTheme="majorBidi" w:cstheme="majorBidi"/>
          <w:b/>
          <w:bCs/>
          <w:sz w:val="28"/>
          <w:szCs w:val="28"/>
        </w:rPr>
      </w:pPr>
    </w:p>
    <w:p w:rsidR="00EA67A4" w:rsidRDefault="00EA67A4" w:rsidP="00C65E4A">
      <w:pPr>
        <w:autoSpaceDE w:val="0"/>
        <w:autoSpaceDN w:val="0"/>
        <w:adjustRightInd w:val="0"/>
        <w:spacing w:line="312" w:lineRule="auto"/>
        <w:jc w:val="center"/>
        <w:rPr>
          <w:rFonts w:asciiTheme="majorBidi" w:hAnsiTheme="majorBidi" w:cstheme="majorBidi"/>
          <w:b/>
          <w:bCs/>
          <w:sz w:val="28"/>
          <w:szCs w:val="28"/>
        </w:rPr>
      </w:pPr>
    </w:p>
    <w:p w:rsidR="00EA67A4" w:rsidRDefault="00EA67A4" w:rsidP="00C65E4A">
      <w:pPr>
        <w:autoSpaceDE w:val="0"/>
        <w:autoSpaceDN w:val="0"/>
        <w:adjustRightInd w:val="0"/>
        <w:spacing w:line="312" w:lineRule="auto"/>
        <w:jc w:val="center"/>
        <w:rPr>
          <w:rFonts w:asciiTheme="majorBidi" w:hAnsiTheme="majorBidi" w:cstheme="majorBidi"/>
          <w:b/>
          <w:bCs/>
          <w:sz w:val="28"/>
          <w:szCs w:val="28"/>
        </w:rPr>
      </w:pPr>
    </w:p>
    <w:p w:rsidR="00AD30AE" w:rsidRDefault="00AD30AE" w:rsidP="00C65E4A">
      <w:pPr>
        <w:autoSpaceDE w:val="0"/>
        <w:autoSpaceDN w:val="0"/>
        <w:adjustRightInd w:val="0"/>
        <w:spacing w:line="312" w:lineRule="auto"/>
        <w:jc w:val="center"/>
        <w:rPr>
          <w:rFonts w:asciiTheme="majorBidi" w:hAnsiTheme="majorBidi" w:cstheme="majorBidi"/>
          <w:b/>
          <w:bCs/>
          <w:sz w:val="28"/>
          <w:szCs w:val="28"/>
        </w:rPr>
      </w:pPr>
    </w:p>
    <w:p w:rsidR="00AD30AE" w:rsidRDefault="00AD30AE" w:rsidP="00C65E4A">
      <w:pPr>
        <w:autoSpaceDE w:val="0"/>
        <w:autoSpaceDN w:val="0"/>
        <w:adjustRightInd w:val="0"/>
        <w:spacing w:line="312" w:lineRule="auto"/>
        <w:jc w:val="center"/>
        <w:rPr>
          <w:rFonts w:asciiTheme="majorBidi" w:hAnsiTheme="majorBidi" w:cstheme="majorBidi"/>
          <w:b/>
          <w:bCs/>
          <w:sz w:val="28"/>
          <w:szCs w:val="28"/>
        </w:rPr>
      </w:pPr>
    </w:p>
    <w:p w:rsidR="00AD30AE" w:rsidRDefault="00AD30AE" w:rsidP="00C65E4A">
      <w:pPr>
        <w:autoSpaceDE w:val="0"/>
        <w:autoSpaceDN w:val="0"/>
        <w:adjustRightInd w:val="0"/>
        <w:spacing w:line="312" w:lineRule="auto"/>
        <w:jc w:val="center"/>
        <w:rPr>
          <w:rFonts w:asciiTheme="majorBidi" w:hAnsiTheme="majorBidi" w:cstheme="majorBidi"/>
          <w:b/>
          <w:bCs/>
          <w:sz w:val="28"/>
          <w:szCs w:val="28"/>
        </w:rPr>
      </w:pPr>
    </w:p>
    <w:p w:rsidR="00EA67A4" w:rsidRDefault="00EA67A4" w:rsidP="00C65E4A">
      <w:pPr>
        <w:autoSpaceDE w:val="0"/>
        <w:autoSpaceDN w:val="0"/>
        <w:adjustRightInd w:val="0"/>
        <w:spacing w:line="312" w:lineRule="auto"/>
        <w:jc w:val="center"/>
        <w:rPr>
          <w:rFonts w:asciiTheme="majorBidi" w:hAnsiTheme="majorBidi" w:cstheme="majorBidi"/>
          <w:b/>
          <w:bCs/>
          <w:sz w:val="28"/>
          <w:szCs w:val="28"/>
        </w:rPr>
      </w:pPr>
    </w:p>
    <w:p w:rsidR="00EA67A4" w:rsidRDefault="00EA67A4" w:rsidP="00C65E4A">
      <w:pPr>
        <w:autoSpaceDE w:val="0"/>
        <w:autoSpaceDN w:val="0"/>
        <w:adjustRightInd w:val="0"/>
        <w:spacing w:line="312" w:lineRule="auto"/>
        <w:jc w:val="center"/>
        <w:rPr>
          <w:rFonts w:asciiTheme="majorBidi" w:hAnsiTheme="majorBidi" w:cstheme="majorBidi"/>
          <w:b/>
          <w:bCs/>
          <w:sz w:val="28"/>
          <w:szCs w:val="28"/>
        </w:rPr>
      </w:pPr>
    </w:p>
    <w:p w:rsidR="005179E4" w:rsidRDefault="005179E4"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3D3A0A" w:rsidRDefault="003D3A0A" w:rsidP="00C65E4A">
      <w:pPr>
        <w:autoSpaceDE w:val="0"/>
        <w:autoSpaceDN w:val="0"/>
        <w:adjustRightInd w:val="0"/>
        <w:spacing w:line="312" w:lineRule="auto"/>
        <w:jc w:val="center"/>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537103">
        <w:rPr>
          <w:rFonts w:asciiTheme="majorBidi" w:hAnsiTheme="majorBidi" w:cstheme="majorBidi"/>
          <w:b/>
          <w:bCs/>
          <w:sz w:val="28"/>
          <w:szCs w:val="28"/>
        </w:rPr>
        <w:lastRenderedPageBreak/>
        <w:t>Tableau</w:t>
      </w:r>
      <w:r w:rsidR="00EA67A4">
        <w:rPr>
          <w:rFonts w:asciiTheme="majorBidi" w:hAnsiTheme="majorBidi" w:cstheme="majorBidi"/>
          <w:b/>
          <w:bCs/>
          <w:sz w:val="28"/>
          <w:szCs w:val="28"/>
        </w:rPr>
        <w:t xml:space="preserve"> </w:t>
      </w:r>
      <w:r w:rsidR="00A90688">
        <w:rPr>
          <w:rFonts w:asciiTheme="majorBidi" w:hAnsiTheme="majorBidi" w:cstheme="majorBidi"/>
          <w:b/>
          <w:bCs/>
          <w:sz w:val="28"/>
          <w:szCs w:val="28"/>
        </w:rPr>
        <w:t>1</w:t>
      </w:r>
      <w:r w:rsidR="00A90688" w:rsidRPr="008F6999">
        <w:rPr>
          <w:rFonts w:asciiTheme="majorBidi" w:hAnsiTheme="majorBidi" w:cstheme="majorBidi"/>
          <w:sz w:val="28"/>
          <w:szCs w:val="28"/>
        </w:rPr>
        <w:t xml:space="preserve"> :</w:t>
      </w:r>
      <w:r w:rsidRPr="008F6999">
        <w:rPr>
          <w:rFonts w:asciiTheme="majorBidi" w:hAnsiTheme="majorBidi" w:cstheme="majorBidi"/>
          <w:sz w:val="28"/>
          <w:szCs w:val="28"/>
        </w:rPr>
        <w:t xml:space="preserve"> Les 10 composantes de la méthode IDEA</w:t>
      </w:r>
    </w:p>
    <w:tbl>
      <w:tblPr>
        <w:tblStyle w:val="Grilledutableau"/>
        <w:tblW w:w="0" w:type="auto"/>
        <w:jc w:val="center"/>
        <w:tblInd w:w="-300" w:type="dxa"/>
        <w:tblLook w:val="04A0"/>
      </w:tblPr>
      <w:tblGrid>
        <w:gridCol w:w="2818"/>
        <w:gridCol w:w="4820"/>
      </w:tblGrid>
      <w:tr w:rsidR="000D3F35" w:rsidRPr="008F6999" w:rsidTr="00EA67A4">
        <w:trPr>
          <w:jc w:val="center"/>
        </w:trPr>
        <w:tc>
          <w:tcPr>
            <w:tcW w:w="2818"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Echelles</w:t>
            </w:r>
          </w:p>
        </w:tc>
        <w:tc>
          <w:tcPr>
            <w:tcW w:w="4820"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Composantes</w:t>
            </w:r>
          </w:p>
        </w:tc>
      </w:tr>
      <w:tr w:rsidR="000D3F35" w:rsidRPr="008F6999" w:rsidTr="00EA67A4">
        <w:trPr>
          <w:jc w:val="center"/>
        </w:trPr>
        <w:tc>
          <w:tcPr>
            <w:tcW w:w="2818"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Agro-écologique</w:t>
            </w:r>
            <w:r>
              <w:rPr>
                <w:rFonts w:asciiTheme="majorBidi" w:hAnsiTheme="majorBidi" w:cstheme="majorBidi"/>
                <w:sz w:val="28"/>
                <w:szCs w:val="28"/>
              </w:rPr>
              <w:t xml:space="preserve"> (A)</w:t>
            </w:r>
          </w:p>
        </w:tc>
        <w:tc>
          <w:tcPr>
            <w:tcW w:w="4820"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Diversité du système de production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Organisation de l’espace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Pratiques agricoles ;</w:t>
            </w:r>
          </w:p>
        </w:tc>
      </w:tr>
      <w:tr w:rsidR="000D3F35" w:rsidRPr="008F6999" w:rsidTr="00EA67A4">
        <w:trPr>
          <w:jc w:val="center"/>
        </w:trPr>
        <w:tc>
          <w:tcPr>
            <w:tcW w:w="2818"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Socio-territoriale</w:t>
            </w:r>
            <w:r>
              <w:rPr>
                <w:rFonts w:asciiTheme="majorBidi" w:hAnsiTheme="majorBidi" w:cstheme="majorBidi"/>
                <w:sz w:val="28"/>
                <w:szCs w:val="28"/>
              </w:rPr>
              <w:t xml:space="preserve"> (B)</w:t>
            </w:r>
          </w:p>
        </w:tc>
        <w:tc>
          <w:tcPr>
            <w:tcW w:w="4820"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Qualité des produits et des territoires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Emploi et services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Ethique et développement humain ;</w:t>
            </w:r>
          </w:p>
        </w:tc>
      </w:tr>
      <w:tr w:rsidR="000D3F35" w:rsidRPr="008F6999" w:rsidTr="00EA67A4">
        <w:trPr>
          <w:jc w:val="center"/>
        </w:trPr>
        <w:tc>
          <w:tcPr>
            <w:tcW w:w="2818"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Economique</w:t>
            </w:r>
            <w:r>
              <w:rPr>
                <w:rFonts w:asciiTheme="majorBidi" w:hAnsiTheme="majorBidi" w:cstheme="majorBidi"/>
                <w:sz w:val="28"/>
                <w:szCs w:val="28"/>
              </w:rPr>
              <w:t xml:space="preserve"> (C)</w:t>
            </w:r>
          </w:p>
        </w:tc>
        <w:tc>
          <w:tcPr>
            <w:tcW w:w="4820"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Viabilité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Indépendance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Transmissibilité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Efficience.</w:t>
            </w:r>
          </w:p>
        </w:tc>
      </w:tr>
    </w:tbl>
    <w:p w:rsidR="000D3F35" w:rsidRPr="008F6999" w:rsidRDefault="00016CE8" w:rsidP="00C65E4A">
      <w:pPr>
        <w:autoSpaceDE w:val="0"/>
        <w:autoSpaceDN w:val="0"/>
        <w:adjustRightInd w:val="0"/>
        <w:spacing w:line="312" w:lineRule="auto"/>
        <w:rPr>
          <w:rFonts w:asciiTheme="majorBidi" w:hAnsiTheme="majorBidi" w:cstheme="majorBidi"/>
          <w:sz w:val="28"/>
          <w:szCs w:val="28"/>
        </w:rPr>
      </w:pPr>
      <w:r>
        <w:rPr>
          <w:rFonts w:asciiTheme="majorBidi" w:hAnsiTheme="majorBidi" w:cstheme="majorBidi"/>
          <w:b/>
          <w:bCs/>
          <w:sz w:val="28"/>
          <w:szCs w:val="28"/>
        </w:rPr>
        <w:t xml:space="preserve">                                                                      </w:t>
      </w:r>
      <w:r w:rsidR="000D3F35" w:rsidRPr="00E64A02">
        <w:rPr>
          <w:rFonts w:asciiTheme="majorBidi" w:hAnsiTheme="majorBidi" w:cstheme="majorBidi"/>
          <w:b/>
          <w:bCs/>
          <w:sz w:val="28"/>
          <w:szCs w:val="28"/>
        </w:rPr>
        <w:t>Source</w:t>
      </w:r>
      <w:r w:rsidR="000D3F35">
        <w:rPr>
          <w:rFonts w:asciiTheme="majorBidi" w:hAnsiTheme="majorBidi" w:cstheme="majorBidi"/>
          <w:sz w:val="28"/>
          <w:szCs w:val="28"/>
        </w:rPr>
        <w:t xml:space="preserve"> : </w:t>
      </w:r>
      <w:r w:rsidR="000D3F35" w:rsidRPr="008F6999">
        <w:rPr>
          <w:rFonts w:asciiTheme="majorBidi" w:hAnsiTheme="majorBidi" w:cstheme="majorBidi"/>
          <w:sz w:val="28"/>
          <w:szCs w:val="28"/>
        </w:rPr>
        <w:t xml:space="preserve">Girardin et </w:t>
      </w:r>
      <w:r w:rsidRPr="008F6999">
        <w:rPr>
          <w:rFonts w:asciiTheme="majorBidi" w:hAnsiTheme="majorBidi" w:cstheme="majorBidi"/>
          <w:sz w:val="28"/>
          <w:szCs w:val="28"/>
        </w:rPr>
        <w:t>al.</w:t>
      </w:r>
      <w:r>
        <w:rPr>
          <w:rFonts w:asciiTheme="majorBidi" w:hAnsiTheme="majorBidi" w:cstheme="majorBidi"/>
          <w:sz w:val="28"/>
          <w:szCs w:val="28"/>
        </w:rPr>
        <w:t xml:space="preserve"> (</w:t>
      </w:r>
      <w:r w:rsidR="000D3F35" w:rsidRPr="008F6999">
        <w:rPr>
          <w:rFonts w:asciiTheme="majorBidi" w:hAnsiTheme="majorBidi" w:cstheme="majorBidi"/>
          <w:sz w:val="28"/>
          <w:szCs w:val="28"/>
        </w:rPr>
        <w:t>2004</w:t>
      </w:r>
      <w:r w:rsidR="000D3F35">
        <w:rPr>
          <w:rFonts w:asciiTheme="majorBidi" w:hAnsiTheme="majorBidi" w:cstheme="majorBidi"/>
          <w:sz w:val="28"/>
          <w:szCs w:val="28"/>
        </w:rPr>
        <w:t>).</w:t>
      </w:r>
    </w:p>
    <w:p w:rsidR="000D3F35" w:rsidRPr="008F6999" w:rsidRDefault="000D3F35" w:rsidP="00AD30AE">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L’échelle (A) de performance agro-écologique s’appuie sur les trois principes agronomiques de l’agriculture intégrée (biodiversité, organisation spatiale l'espace productif ou non et gestion environnementale des pratiques agricoles) (Viaux, 2003). L’échelle (B) de performance socio-territoriale rend compte de l’ancrage de l’exploitant dans son territoire et dans la société, en se référant aux principes d’éthique et de développement humain, et cherche à rendre compte de sa contribution à la durabilité du territoire auquel il appartient. Elle renvoie à l'analyse des liens intrinsèques de l’agriculteur avec son territoire et pose la question de la contribution de l'exploitation agricole à la fourniture de services environnementaux et sociaux et au développement du territoire au sein duquel elle s'ancre. Enfin, l’échelle (C) rend compte de la performance économique de l’exploitation agricole en s'intéressant à sa viabilité économique, mais également à son efficience dans la gestion des ressources, à son caractère de pérennité dans </w:t>
      </w:r>
      <w:r w:rsidRPr="008F6999">
        <w:rPr>
          <w:rFonts w:asciiTheme="majorBidi" w:hAnsiTheme="majorBidi" w:cstheme="majorBidi"/>
          <w:sz w:val="28"/>
          <w:szCs w:val="28"/>
        </w:rPr>
        <w:lastRenderedPageBreak/>
        <w:t>le temps (vu par sa faculté à être transmissible) et à son indépendance (Girardin et al., 2004 ; Zahm et al., 2013).</w:t>
      </w:r>
    </w:p>
    <w:p w:rsidR="000D3F35" w:rsidRPr="008F6999" w:rsidRDefault="000D3F35" w:rsidP="00AD30AE">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Au sein de chacune des trois échelles, les composantes sont pondérées afin que chaque échelle</w:t>
      </w:r>
      <w:r w:rsidR="00DA5FE1">
        <w:rPr>
          <w:rFonts w:asciiTheme="majorBidi" w:hAnsiTheme="majorBidi" w:cstheme="majorBidi"/>
          <w:sz w:val="28"/>
          <w:szCs w:val="28"/>
        </w:rPr>
        <w:t xml:space="preserve"> </w:t>
      </w:r>
      <w:r w:rsidRPr="008F6999">
        <w:rPr>
          <w:rFonts w:asciiTheme="majorBidi" w:hAnsiTheme="majorBidi" w:cstheme="majorBidi"/>
          <w:sz w:val="28"/>
          <w:szCs w:val="28"/>
        </w:rPr>
        <w:t>soit notée sur 100. La notation est établie à partir d’un système de points attribués à l’aide d’</w:t>
      </w:r>
      <w:r w:rsidR="00DA5FE1" w:rsidRPr="008F6999">
        <w:rPr>
          <w:rFonts w:asciiTheme="majorBidi" w:hAnsiTheme="majorBidi" w:cstheme="majorBidi"/>
          <w:sz w:val="28"/>
          <w:szCs w:val="28"/>
        </w:rPr>
        <w:t>un abaque</w:t>
      </w:r>
      <w:r w:rsidRPr="008F6999">
        <w:rPr>
          <w:rFonts w:asciiTheme="majorBidi" w:hAnsiTheme="majorBidi" w:cstheme="majorBidi"/>
          <w:sz w:val="28"/>
          <w:szCs w:val="28"/>
        </w:rPr>
        <w:t xml:space="preserve"> en fonction de la valeur de la variable considérée. Par contre, au sein de chaque composante, les valeurs maximales des indicateurs</w:t>
      </w:r>
      <w:r w:rsidR="00DA5FE1">
        <w:rPr>
          <w:rFonts w:asciiTheme="majorBidi" w:hAnsiTheme="majorBidi" w:cstheme="majorBidi"/>
          <w:sz w:val="28"/>
          <w:szCs w:val="28"/>
        </w:rPr>
        <w:t xml:space="preserve"> </w:t>
      </w:r>
      <w:r w:rsidRPr="008F6999">
        <w:rPr>
          <w:rFonts w:asciiTheme="majorBidi" w:hAnsiTheme="majorBidi" w:cstheme="majorBidi"/>
          <w:sz w:val="28"/>
          <w:szCs w:val="28"/>
        </w:rPr>
        <w:t xml:space="preserve">sont plafonnées de façon différente pour refléter la plus grande importance de tel ou tel aspect (Cadilhon et al., 2006).Plus la note est élevée, plus l’exploitation est considérée comme durable (performante) pour l’échelle considérée. Pour chaque échelle, les valeurs calculées des indicateurs sont agrégées par composante d’un même thème. Quant à l'appréciation finale de durabilité (performance globale), elle correspond à la valeur la plus faible des trois échelles de durabilité. Cette règle exprime à la fois le principe des facteurs limitants (Zahm, 2013). </w:t>
      </w:r>
    </w:p>
    <w:p w:rsidR="000D3F35" w:rsidRPr="008F6999" w:rsidRDefault="000D3F35" w:rsidP="00AD30AE">
      <w:pPr>
        <w:autoSpaceDE w:val="0"/>
        <w:autoSpaceDN w:val="0"/>
        <w:adjustRightInd w:val="0"/>
        <w:spacing w:line="312" w:lineRule="auto"/>
        <w:ind w:firstLine="284"/>
        <w:jc w:val="both"/>
        <w:rPr>
          <w:rFonts w:asciiTheme="majorBidi" w:hAnsiTheme="majorBidi" w:cstheme="majorBidi"/>
          <w:b/>
          <w:bCs/>
          <w:sz w:val="28"/>
          <w:szCs w:val="28"/>
        </w:rPr>
      </w:pPr>
      <w:r w:rsidRPr="008F6999">
        <w:rPr>
          <w:rFonts w:asciiTheme="majorBidi" w:hAnsiTheme="majorBidi" w:cstheme="majorBidi"/>
          <w:sz w:val="28"/>
          <w:szCs w:val="28"/>
        </w:rPr>
        <w:t>Il est important de souligner que les auteurs d’IDEA considèrent que le système d’exploitation</w:t>
      </w:r>
      <w:r w:rsidR="0012375F">
        <w:rPr>
          <w:rFonts w:asciiTheme="majorBidi" w:hAnsiTheme="majorBidi" w:cstheme="majorBidi"/>
          <w:sz w:val="28"/>
          <w:szCs w:val="28"/>
        </w:rPr>
        <w:t xml:space="preserve"> </w:t>
      </w:r>
      <w:r w:rsidRPr="008F6999">
        <w:rPr>
          <w:rFonts w:asciiTheme="majorBidi" w:hAnsiTheme="majorBidi" w:cstheme="majorBidi"/>
          <w:sz w:val="28"/>
          <w:szCs w:val="28"/>
        </w:rPr>
        <w:t>idéal pour répondre aux objectifs de durabilité est un système associant des cultures végétales à</w:t>
      </w:r>
      <w:r w:rsidR="0012375F">
        <w:rPr>
          <w:rFonts w:asciiTheme="majorBidi" w:hAnsiTheme="majorBidi" w:cstheme="majorBidi"/>
          <w:sz w:val="28"/>
          <w:szCs w:val="28"/>
        </w:rPr>
        <w:t xml:space="preserve"> </w:t>
      </w:r>
      <w:r w:rsidRPr="008F6999">
        <w:rPr>
          <w:rFonts w:asciiTheme="majorBidi" w:hAnsiTheme="majorBidi" w:cstheme="majorBidi"/>
          <w:sz w:val="28"/>
          <w:szCs w:val="28"/>
        </w:rPr>
        <w:t xml:space="preserve">des ateliers de production animale. </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Intérêts :</w:t>
      </w:r>
      <w:r w:rsidRPr="008F6999">
        <w:rPr>
          <w:rFonts w:asciiTheme="majorBidi" w:hAnsiTheme="majorBidi" w:cstheme="majorBidi"/>
          <w:sz w:val="28"/>
          <w:szCs w:val="28"/>
        </w:rPr>
        <w:t xml:space="preserve"> Une des premières méthodes d’évaluation de la durabilité, simple, évolutive, adaptée à plusieurs  systèmes de production (Fortun-Lamothe et al., 2011). </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Limites :</w:t>
      </w:r>
      <w:r w:rsidRPr="008F6999">
        <w:rPr>
          <w:rFonts w:asciiTheme="majorBidi" w:hAnsiTheme="majorBidi" w:cstheme="majorBidi"/>
          <w:sz w:val="28"/>
          <w:szCs w:val="28"/>
        </w:rPr>
        <w:t xml:space="preserve"> Méthode un peu simpliste parfois sur certains indicateurs. Il n’y a pas de lien direct entre objectifs et indicateurs, dans les premières versions. La philosophie polyculture élevage sous-jacente est forte. Les  données sont tronquées en cas de scores négatifs, d’où une perte d’information. La méthode n’est donc  pas adaptée pour évaluer un atelier d’élevage (Fortun-Lamothe et al., 2011).</w:t>
      </w:r>
    </w:p>
    <w:p w:rsidR="00F9307A" w:rsidRDefault="00F9307A" w:rsidP="00C65E4A">
      <w:pPr>
        <w:spacing w:line="312" w:lineRule="auto"/>
        <w:jc w:val="both"/>
        <w:rPr>
          <w:rFonts w:asciiTheme="majorBidi" w:hAnsiTheme="majorBidi" w:cstheme="majorBidi"/>
          <w:sz w:val="28"/>
          <w:szCs w:val="28"/>
        </w:rPr>
      </w:pPr>
    </w:p>
    <w:p w:rsidR="00F9307A" w:rsidRDefault="00F9307A" w:rsidP="00C65E4A">
      <w:pPr>
        <w:spacing w:line="312" w:lineRule="auto"/>
        <w:jc w:val="both"/>
        <w:rPr>
          <w:rFonts w:asciiTheme="majorBidi" w:hAnsiTheme="majorBidi" w:cstheme="majorBidi"/>
          <w:sz w:val="28"/>
          <w:szCs w:val="28"/>
        </w:rPr>
      </w:pPr>
    </w:p>
    <w:p w:rsidR="00F9307A" w:rsidRPr="008F6999" w:rsidRDefault="00F9307A" w:rsidP="00C65E4A">
      <w:pPr>
        <w:spacing w:line="312" w:lineRule="auto"/>
        <w:jc w:val="both"/>
        <w:rPr>
          <w:rFonts w:asciiTheme="majorBidi" w:hAnsiTheme="majorBidi" w:cstheme="majorBidi"/>
          <w:sz w:val="28"/>
          <w:szCs w:val="28"/>
        </w:rPr>
      </w:pPr>
    </w:p>
    <w:p w:rsidR="000D3F35" w:rsidRPr="008F6999" w:rsidRDefault="00F9307A"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1</w:t>
      </w:r>
      <w:r w:rsidR="003D3A0A">
        <w:rPr>
          <w:rFonts w:asciiTheme="majorBidi" w:hAnsiTheme="majorBidi" w:cstheme="majorBidi"/>
          <w:b/>
          <w:bCs/>
          <w:sz w:val="28"/>
          <w:szCs w:val="28"/>
        </w:rPr>
        <w:t>.2</w:t>
      </w:r>
      <w:r w:rsidR="000D3F35" w:rsidRPr="008F6999">
        <w:rPr>
          <w:rFonts w:asciiTheme="majorBidi" w:hAnsiTheme="majorBidi" w:cstheme="majorBidi"/>
          <w:b/>
          <w:bCs/>
          <w:sz w:val="28"/>
          <w:szCs w:val="28"/>
        </w:rPr>
        <w:t xml:space="preserve">.3.Méthode AVIBIO </w:t>
      </w:r>
    </w:p>
    <w:p w:rsidR="000D3F35" w:rsidRPr="008F6999" w:rsidRDefault="000D3F35" w:rsidP="00F9307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L’AVIBIO c’est une méthode et un outil d’évaluation de la durabilité des  filières avicoles biologiques par Isabelle Bouvarel (ITAVI) </w:t>
      </w:r>
    </w:p>
    <w:p w:rsidR="000D3F35" w:rsidRPr="008F6999" w:rsidRDefault="000D3F35" w:rsidP="00F9307A">
      <w:pPr>
        <w:autoSpaceDE w:val="0"/>
        <w:autoSpaceDN w:val="0"/>
        <w:adjustRightInd w:val="0"/>
        <w:spacing w:line="312" w:lineRule="auto"/>
        <w:ind w:firstLine="284"/>
        <w:jc w:val="both"/>
        <w:rPr>
          <w:rFonts w:asciiTheme="majorBidi" w:hAnsiTheme="majorBidi" w:cstheme="majorBidi"/>
          <w:b/>
          <w:bCs/>
          <w:sz w:val="28"/>
          <w:szCs w:val="28"/>
        </w:rPr>
      </w:pPr>
      <w:r w:rsidRPr="008F6999">
        <w:rPr>
          <w:rFonts w:asciiTheme="majorBidi" w:hAnsiTheme="majorBidi" w:cstheme="majorBidi"/>
          <w:sz w:val="28"/>
          <w:szCs w:val="28"/>
        </w:rPr>
        <w:t>Dans un contexte de demande accrue en produits issus de 1'agriculture biologique (AB), de modification du règlement</w:t>
      </w:r>
      <w:r w:rsidR="00DA5FE1">
        <w:rPr>
          <w:rFonts w:asciiTheme="majorBidi" w:hAnsiTheme="majorBidi" w:cstheme="majorBidi"/>
          <w:sz w:val="28"/>
          <w:szCs w:val="28"/>
        </w:rPr>
        <w:t xml:space="preserve"> </w:t>
      </w:r>
      <w:r w:rsidRPr="008F6999">
        <w:rPr>
          <w:rFonts w:asciiTheme="majorBidi" w:hAnsiTheme="majorBidi" w:cstheme="majorBidi"/>
          <w:sz w:val="28"/>
          <w:szCs w:val="28"/>
        </w:rPr>
        <w:t>européen sur les productions AB et de volontés d'évoluer vers une production « durable »,les travaux réalisés dans le cadre du projet AviBio, «Des systèmes durables pour dynamiser l'</w:t>
      </w:r>
      <w:r w:rsidRPr="008F6999">
        <w:rPr>
          <w:rFonts w:asciiTheme="majorBidi" w:hAnsiTheme="majorBidi" w:cstheme="majorBidi"/>
          <w:color w:val="FF0000"/>
          <w:sz w:val="28"/>
          <w:szCs w:val="28"/>
        </w:rPr>
        <w:t>Avi</w:t>
      </w:r>
      <w:r w:rsidRPr="008F6999">
        <w:rPr>
          <w:rFonts w:asciiTheme="majorBidi" w:hAnsiTheme="majorBidi" w:cstheme="majorBidi"/>
          <w:sz w:val="28"/>
          <w:szCs w:val="28"/>
        </w:rPr>
        <w:t xml:space="preserve">culture </w:t>
      </w:r>
      <w:r w:rsidRPr="008F6999">
        <w:rPr>
          <w:rFonts w:asciiTheme="majorBidi" w:hAnsiTheme="majorBidi" w:cstheme="majorBidi"/>
          <w:color w:val="FF0000"/>
          <w:sz w:val="28"/>
          <w:szCs w:val="28"/>
        </w:rPr>
        <w:t>BIO</w:t>
      </w:r>
      <w:r w:rsidRPr="008F6999">
        <w:rPr>
          <w:rFonts w:asciiTheme="majorBidi" w:hAnsiTheme="majorBidi" w:cstheme="majorBidi"/>
          <w:sz w:val="28"/>
          <w:szCs w:val="28"/>
        </w:rPr>
        <w:t>logique» ont été lancés en 2009. II s'agit de</w:t>
      </w:r>
      <w:r w:rsidR="00E21E7E">
        <w:rPr>
          <w:rFonts w:asciiTheme="majorBidi" w:hAnsiTheme="majorBidi" w:cstheme="majorBidi"/>
          <w:sz w:val="28"/>
          <w:szCs w:val="28"/>
        </w:rPr>
        <w:t xml:space="preserve"> </w:t>
      </w:r>
      <w:r w:rsidRPr="008F6999">
        <w:rPr>
          <w:rFonts w:asciiTheme="majorBidi" w:hAnsiTheme="majorBidi" w:cstheme="majorBidi"/>
          <w:sz w:val="28"/>
          <w:szCs w:val="28"/>
        </w:rPr>
        <w:t>favoriser un développement durable des filières avicoles biologiques en France. Ceci</w:t>
      </w:r>
      <w:r w:rsidR="00E21E7E">
        <w:rPr>
          <w:rFonts w:asciiTheme="majorBidi" w:hAnsiTheme="majorBidi" w:cstheme="majorBidi"/>
          <w:sz w:val="28"/>
          <w:szCs w:val="28"/>
        </w:rPr>
        <w:t xml:space="preserve"> </w:t>
      </w:r>
      <w:r w:rsidRPr="008F6999">
        <w:rPr>
          <w:rFonts w:asciiTheme="majorBidi" w:hAnsiTheme="majorBidi" w:cstheme="majorBidi"/>
          <w:sz w:val="28"/>
          <w:szCs w:val="28"/>
        </w:rPr>
        <w:t>renvoie à la fois à des objectifs environnementaux, économiques et sociaux à atteindre, mais également aune posture dynamique (positionnement en termes</w:t>
      </w:r>
      <w:r w:rsidR="00E21E7E">
        <w:rPr>
          <w:rFonts w:asciiTheme="majorBidi" w:hAnsiTheme="majorBidi" w:cstheme="majorBidi"/>
          <w:sz w:val="28"/>
          <w:szCs w:val="28"/>
        </w:rPr>
        <w:t xml:space="preserve"> </w:t>
      </w:r>
      <w:r w:rsidRPr="008F6999">
        <w:rPr>
          <w:rFonts w:asciiTheme="majorBidi" w:hAnsiTheme="majorBidi" w:cstheme="majorBidi"/>
          <w:sz w:val="28"/>
          <w:szCs w:val="28"/>
        </w:rPr>
        <w:t>d'amélioration continue, de recherche de marges de</w:t>
      </w:r>
      <w:r w:rsidR="00E21E7E">
        <w:rPr>
          <w:rFonts w:asciiTheme="majorBidi" w:hAnsiTheme="majorBidi" w:cstheme="majorBidi"/>
          <w:sz w:val="28"/>
          <w:szCs w:val="28"/>
        </w:rPr>
        <w:t xml:space="preserve"> </w:t>
      </w:r>
      <w:r w:rsidRPr="008F6999">
        <w:rPr>
          <w:rFonts w:asciiTheme="majorBidi" w:hAnsiTheme="majorBidi" w:cstheme="majorBidi"/>
          <w:sz w:val="28"/>
          <w:szCs w:val="28"/>
        </w:rPr>
        <w:t>progrès) et a un recours àl' évaluation (Capitaine et</w:t>
      </w:r>
      <w:r w:rsidR="00E21E7E">
        <w:rPr>
          <w:rFonts w:asciiTheme="majorBidi" w:hAnsiTheme="majorBidi" w:cstheme="majorBidi"/>
          <w:sz w:val="28"/>
          <w:szCs w:val="28"/>
        </w:rPr>
        <w:t xml:space="preserve"> </w:t>
      </w:r>
      <w:r>
        <w:rPr>
          <w:rFonts w:asciiTheme="majorBidi" w:hAnsiTheme="majorBidi" w:cstheme="majorBidi"/>
          <w:sz w:val="28"/>
          <w:szCs w:val="28"/>
        </w:rPr>
        <w:t xml:space="preserve">al., (2009) ; </w:t>
      </w:r>
      <w:r w:rsidRPr="008F6999">
        <w:rPr>
          <w:rFonts w:asciiTheme="majorBidi" w:hAnsiTheme="majorBidi" w:cstheme="majorBidi"/>
          <w:sz w:val="28"/>
          <w:szCs w:val="28"/>
        </w:rPr>
        <w:t xml:space="preserve">Pottiez et al., </w:t>
      </w:r>
      <w:r>
        <w:rPr>
          <w:rFonts w:asciiTheme="majorBidi" w:hAnsiTheme="majorBidi" w:cstheme="majorBidi"/>
          <w:sz w:val="28"/>
          <w:szCs w:val="28"/>
        </w:rPr>
        <w:t>(</w:t>
      </w:r>
      <w:r w:rsidRPr="008F6999">
        <w:rPr>
          <w:rFonts w:asciiTheme="majorBidi" w:hAnsiTheme="majorBidi" w:cstheme="majorBidi"/>
          <w:sz w:val="28"/>
          <w:szCs w:val="28"/>
        </w:rPr>
        <w:t>2011).</w:t>
      </w:r>
    </w:p>
    <w:p w:rsidR="000D3F35" w:rsidRPr="008F6999" w:rsidRDefault="000D3F35" w:rsidP="00F9307A">
      <w:pPr>
        <w:spacing w:line="312" w:lineRule="auto"/>
        <w:ind w:firstLine="284"/>
        <w:jc w:val="both"/>
        <w:rPr>
          <w:rFonts w:asciiTheme="majorBidi" w:hAnsiTheme="majorBidi" w:cstheme="majorBidi"/>
          <w:sz w:val="28"/>
          <w:szCs w:val="28"/>
        </w:rPr>
      </w:pPr>
      <w:r w:rsidRPr="006F70A1">
        <w:rPr>
          <w:rFonts w:asciiTheme="majorBidi" w:hAnsiTheme="majorBidi" w:cstheme="majorBidi"/>
          <w:sz w:val="28"/>
          <w:szCs w:val="28"/>
        </w:rPr>
        <w:t>Le projet AVIBIO est conçu pour « Viser le mieux » d’ici 2020 pour les filières avicoles biologiques. Cet outil répond au besoin  de se situer au niveau de la</w:t>
      </w:r>
      <w:r w:rsidRPr="008F6999">
        <w:rPr>
          <w:rFonts w:asciiTheme="majorBidi" w:hAnsiTheme="majorBidi" w:cstheme="majorBidi"/>
          <w:sz w:val="28"/>
          <w:szCs w:val="28"/>
        </w:rPr>
        <w:t xml:space="preserve"> production mais aussi de la filière.</w:t>
      </w:r>
      <w:r w:rsidR="00E21E7E">
        <w:rPr>
          <w:rFonts w:asciiTheme="majorBidi" w:hAnsiTheme="majorBidi" w:cstheme="majorBidi"/>
          <w:sz w:val="28"/>
          <w:szCs w:val="28"/>
        </w:rPr>
        <w:t xml:space="preserve"> </w:t>
      </w:r>
      <w:r w:rsidRPr="008F6999">
        <w:rPr>
          <w:rFonts w:asciiTheme="majorBidi" w:hAnsiTheme="majorBidi" w:cstheme="majorBidi"/>
          <w:sz w:val="28"/>
          <w:szCs w:val="28"/>
        </w:rPr>
        <w:t xml:space="preserve">Il concerne l’ensemble de la chaîne de production : sélection, accouvage, multiplication,  élevage, Fabricants d’Aliments du Bétail (FAB), abattoirs, découpe, transformation et distribution (Fortun-Lamothe, 2011). </w:t>
      </w:r>
    </w:p>
    <w:p w:rsidR="000D3F35" w:rsidRPr="003C498F" w:rsidRDefault="000D3F35" w:rsidP="00F9307A">
      <w:pPr>
        <w:spacing w:line="312" w:lineRule="auto"/>
        <w:ind w:firstLine="284"/>
        <w:jc w:val="both"/>
        <w:rPr>
          <w:rFonts w:asciiTheme="majorBidi" w:hAnsiTheme="majorBidi" w:cstheme="majorBidi"/>
          <w:sz w:val="28"/>
          <w:szCs w:val="28"/>
        </w:rPr>
      </w:pPr>
      <w:r w:rsidRPr="003C498F">
        <w:rPr>
          <w:rFonts w:asciiTheme="majorBidi" w:hAnsiTheme="majorBidi" w:cstheme="majorBidi"/>
          <w:sz w:val="28"/>
          <w:szCs w:val="28"/>
        </w:rPr>
        <w:t>L’enquête et la bibliographie ont permis d’établir une liste d’objectifs, de les hiérarchiser et de sélectionner  les 10 plus importants. Le groupe décisionnel a finalement choisi des objectifs, puis les a déclinés en  critères et en indicateurs. Pour les renseigner, la</w:t>
      </w:r>
      <w:r w:rsidR="00E21E7E">
        <w:rPr>
          <w:rFonts w:asciiTheme="majorBidi" w:hAnsiTheme="majorBidi" w:cstheme="majorBidi"/>
          <w:sz w:val="28"/>
          <w:szCs w:val="28"/>
        </w:rPr>
        <w:t xml:space="preserve"> </w:t>
      </w:r>
      <w:r w:rsidRPr="003C498F">
        <w:rPr>
          <w:rFonts w:asciiTheme="majorBidi" w:hAnsiTheme="majorBidi" w:cstheme="majorBidi"/>
          <w:sz w:val="28"/>
          <w:szCs w:val="28"/>
        </w:rPr>
        <w:t>bibliographie, des enquêtes et entretiens avec des experts ont permis d’établir des références adaptées. Des échelles ont ensuite été définies dans le cadre  du groupe décisionnel. Des scores ont été attribués à chaque stade de l’échelle. L’évaluation repose au  final sur ces notes. Les critères les plus limitant ont été identifiés pour dégager des pistes d’amélioration à  développer à l’échelle de la filière et proposer des marges de progrès les plus adaptées, ces marges de  progrès étant souvent envisageables à plusieurs niveaux (Fortun-_Lamothe, 2011).</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lastRenderedPageBreak/>
        <w:t>Intérêts :</w:t>
      </w:r>
      <w:r w:rsidRPr="008F6999">
        <w:rPr>
          <w:rFonts w:asciiTheme="majorBidi" w:hAnsiTheme="majorBidi" w:cstheme="majorBidi"/>
          <w:sz w:val="28"/>
          <w:szCs w:val="28"/>
        </w:rPr>
        <w:t xml:space="preserve"> Les partenaires ont trouvé la démarche de co-construction intéressante, elle permet une bonne  a</w:t>
      </w:r>
      <w:r w:rsidR="00E21E7E">
        <w:rPr>
          <w:rFonts w:asciiTheme="majorBidi" w:hAnsiTheme="majorBidi" w:cstheme="majorBidi"/>
          <w:sz w:val="28"/>
          <w:szCs w:val="28"/>
        </w:rPr>
        <w:t xml:space="preserve"> </w:t>
      </w:r>
      <w:r w:rsidRPr="008F6999">
        <w:rPr>
          <w:rFonts w:asciiTheme="majorBidi" w:hAnsiTheme="majorBidi" w:cstheme="majorBidi"/>
          <w:sz w:val="28"/>
          <w:szCs w:val="28"/>
        </w:rPr>
        <w:t>ppropriation de l’outil et de la notion de développement durable par les acteurs. C’est un outil filière pour se situer et évaluer différentes stratégies. C’est également un outil RED  pour  mettre en perspective des résultats de recherche et développement  vis-à-vis du développement durable, se poser de nouvelles  questions, ou poser des questions différemment. C’est également un outil pour les collectivités territoriales  et l’Etat, pour l’aide à la décision. C’est enfin un outil pour la formation des enseignants et des élèves (Fortun-_Lamothe, 2011).</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Limites :</w:t>
      </w:r>
      <w:r w:rsidRPr="008F6999">
        <w:rPr>
          <w:rFonts w:asciiTheme="majorBidi" w:hAnsiTheme="majorBidi" w:cstheme="majorBidi"/>
          <w:sz w:val="28"/>
          <w:szCs w:val="28"/>
        </w:rPr>
        <w:t xml:space="preserve"> manque de données économiques au niveau de la filière, manque de références pour les ACV  (besoin de données AB), difficultés méthodologiques pour le calcul des scores et le choix de la  pondération, pour éviter certaines compensations (Fortun-_Lamothe, 2011).</w:t>
      </w:r>
    </w:p>
    <w:p w:rsidR="000D3F35" w:rsidRPr="008F6999" w:rsidRDefault="003D3A0A"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t>I.3</w:t>
      </w:r>
      <w:r w:rsidR="000D3F35" w:rsidRPr="008F6999">
        <w:rPr>
          <w:rFonts w:asciiTheme="majorBidi" w:hAnsiTheme="majorBidi" w:cstheme="majorBidi"/>
          <w:b/>
          <w:bCs/>
          <w:sz w:val="28"/>
          <w:szCs w:val="28"/>
        </w:rPr>
        <w:t>. Démarche d’évaluation de la durabilité agricole :</w:t>
      </w:r>
    </w:p>
    <w:p w:rsidR="000D3F35" w:rsidRDefault="000D3F35" w:rsidP="00F9307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Cadilhon et al (2006) rappellent que «l'agriculture doit être économiquement viable, écologiquement saine et  socialement équitable» pour être durable. Ce concept est basé sur l'évaluation des  dimensions économique, environnementale et sociale de la durabilité; trois dimensions  considérées indissociables, dont chacune possède sa propre dynamique et qui doivent être durable simultanément  pour qu'un système agricole puisse être considéré durable.</w:t>
      </w:r>
    </w:p>
    <w:p w:rsidR="000D3F35" w:rsidRPr="003D3A0A" w:rsidRDefault="000D3F35" w:rsidP="003D3A0A">
      <w:pPr>
        <w:pStyle w:val="Paragraphedeliste"/>
        <w:numPr>
          <w:ilvl w:val="2"/>
          <w:numId w:val="27"/>
        </w:numPr>
        <w:spacing w:line="312" w:lineRule="auto"/>
        <w:jc w:val="both"/>
        <w:rPr>
          <w:rFonts w:asciiTheme="majorBidi" w:hAnsiTheme="majorBidi" w:cstheme="majorBidi"/>
          <w:sz w:val="28"/>
          <w:szCs w:val="28"/>
        </w:rPr>
      </w:pPr>
      <w:r w:rsidRPr="003D3A0A">
        <w:rPr>
          <w:rFonts w:asciiTheme="majorBidi" w:hAnsiTheme="majorBidi" w:cstheme="majorBidi"/>
          <w:b/>
          <w:bCs/>
          <w:sz w:val="28"/>
          <w:szCs w:val="28"/>
        </w:rPr>
        <w:t>Selon la méthode de DIAMOND</w:t>
      </w:r>
    </w:p>
    <w:p w:rsidR="000D3F35" w:rsidRPr="008F6999" w:rsidRDefault="000D3F35" w:rsidP="00F9307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Pour la méthode DIAMOND (Fortun-Lamothe et al., 2011), les objectifs de la durabilité sont définis dans le cadre d’une démarche participative ;  il s’agit de rassembler l’ensemble des sensibilités sociétales (producteur, consommateur, citoyens, décideurs publiques) afin d’obtenir un consensus d’acteurs sur la définition des objectifs de durabilité (Rey-Valette et al ; 2008). Laurence Fortun-Lamothe (2012). Toutefois, cet objectif nécessite de disposer d’une (de) méthode(s) d’évaluation multicritère de la durabilité. Il est fréquent que les méthodes disponibles ne répondent pas exactement aux besoins des utilisateurs potentiels qui les adaptent ou en développent de nouvelles (Fortun-Lamothe, 2012).</w:t>
      </w:r>
    </w:p>
    <w:p w:rsidR="000D3F35" w:rsidRDefault="000D3F35" w:rsidP="00F9307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lastRenderedPageBreak/>
        <w:t xml:space="preserve">La méthode </w:t>
      </w:r>
      <w:r w:rsidRPr="008F6999">
        <w:rPr>
          <w:rFonts w:asciiTheme="majorBidi" w:hAnsiTheme="majorBidi" w:cstheme="majorBidi"/>
          <w:b/>
          <w:bCs/>
          <w:sz w:val="28"/>
          <w:szCs w:val="28"/>
        </w:rPr>
        <w:t>DIAMOND</w:t>
      </w:r>
      <w:r w:rsidRPr="008F6999">
        <w:rPr>
          <w:rFonts w:asciiTheme="majorBidi" w:hAnsiTheme="majorBidi" w:cstheme="majorBidi"/>
          <w:sz w:val="28"/>
          <w:szCs w:val="28"/>
        </w:rPr>
        <w:t xml:space="preserve"> évalue la durabilité des exploitations de monogastriques à partir de six (06) objectifs, intégrant les trois dimensions de la durabilité (écologique, sociale et économi</w:t>
      </w:r>
      <w:r>
        <w:rPr>
          <w:rFonts w:asciiTheme="majorBidi" w:hAnsiTheme="majorBidi" w:cstheme="majorBidi"/>
          <w:sz w:val="28"/>
          <w:szCs w:val="28"/>
        </w:rPr>
        <w:t>que), deux objectifs par pilier</w:t>
      </w:r>
      <w:r w:rsidRPr="008F6999">
        <w:rPr>
          <w:rFonts w:asciiTheme="majorBidi" w:hAnsiTheme="majorBidi" w:cstheme="majorBidi"/>
          <w:sz w:val="28"/>
          <w:szCs w:val="28"/>
        </w:rPr>
        <w:t xml:space="preserve"> : </w:t>
      </w:r>
    </w:p>
    <w:p w:rsidR="000D3F35"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i) rentabilité, flexibilité et adaptabilité dans le pilier économie, ii) gestion des ressources de façon économe et production des ressources renouvelables ainsi que la protection des écosystèmes dans le pilier  environnement et iii) préservation de la qualité de vie et les conditions de travail du producteur et de répondre aux demandes du citoyen</w:t>
      </w:r>
      <w:r w:rsidRPr="008F6999">
        <w:rPr>
          <w:rFonts w:ascii="Cambria Math" w:hAnsi="Cambria Math" w:cs="Cambria Math"/>
          <w:sz w:val="28"/>
          <w:szCs w:val="28"/>
        </w:rPr>
        <w:t>‐</w:t>
      </w:r>
      <w:r w:rsidRPr="008F6999">
        <w:rPr>
          <w:rFonts w:asciiTheme="majorBidi" w:hAnsiTheme="majorBidi" w:cstheme="majorBidi"/>
          <w:sz w:val="28"/>
          <w:szCs w:val="28"/>
        </w:rPr>
        <w:t xml:space="preserve">consommateur dans pilier social. Trente (30) critères au total sont déterminés, réparties en dix par pilier et cinq par objectif général. </w:t>
      </w:r>
    </w:p>
    <w:p w:rsidR="000D3F35" w:rsidRPr="008F6999" w:rsidRDefault="003D3A0A" w:rsidP="00C65E4A">
      <w:pPr>
        <w:autoSpaceDE w:val="0"/>
        <w:autoSpaceDN w:val="0"/>
        <w:adjustRightInd w:val="0"/>
        <w:spacing w:line="312" w:lineRule="auto"/>
        <w:jc w:val="both"/>
        <w:rPr>
          <w:rFonts w:asciiTheme="majorBidi" w:hAnsiTheme="majorBidi" w:cstheme="majorBidi"/>
          <w:b/>
          <w:bCs/>
          <w:color w:val="000000" w:themeColor="text1"/>
          <w:sz w:val="28"/>
          <w:szCs w:val="28"/>
        </w:rPr>
      </w:pPr>
      <w:r>
        <w:rPr>
          <w:rFonts w:asciiTheme="majorBidi" w:hAnsiTheme="majorBidi" w:cstheme="majorBidi"/>
          <w:b/>
          <w:bCs/>
          <w:sz w:val="28"/>
          <w:szCs w:val="28"/>
        </w:rPr>
        <w:t>1.3</w:t>
      </w:r>
      <w:r w:rsidR="000D3F35" w:rsidRPr="008F6999">
        <w:rPr>
          <w:rFonts w:asciiTheme="majorBidi" w:hAnsiTheme="majorBidi" w:cstheme="majorBidi"/>
          <w:b/>
          <w:bCs/>
          <w:sz w:val="28"/>
          <w:szCs w:val="28"/>
        </w:rPr>
        <w:t xml:space="preserve">.1.1.  Critères du pilier de </w:t>
      </w:r>
      <w:r w:rsidR="000D3F35" w:rsidRPr="008F6999">
        <w:rPr>
          <w:rFonts w:asciiTheme="majorBidi" w:hAnsiTheme="majorBidi" w:cstheme="majorBidi"/>
          <w:b/>
          <w:bCs/>
          <w:color w:val="000000" w:themeColor="text1"/>
          <w:sz w:val="28"/>
          <w:szCs w:val="28"/>
        </w:rPr>
        <w:t>durabilité sociale</w:t>
      </w:r>
    </w:p>
    <w:p w:rsidR="000D3F35" w:rsidRPr="008F6999" w:rsidRDefault="000D3F35" w:rsidP="00F9307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color w:val="000000" w:themeColor="text1"/>
          <w:sz w:val="28"/>
          <w:szCs w:val="28"/>
        </w:rPr>
        <w:t>Elle caractérise l'insertion de l'exploitation dans son territoire et dans la société. Elle cherche à évaluer la qualité de vie de l’agriculteur et le poids des services marchands ou non marchands qu’il rend au territoire et à la société</w:t>
      </w:r>
      <w:r w:rsidRPr="008F6999">
        <w:rPr>
          <w:rFonts w:asciiTheme="majorBidi" w:hAnsiTheme="majorBidi" w:cstheme="majorBidi"/>
          <w:sz w:val="28"/>
          <w:szCs w:val="28"/>
        </w:rPr>
        <w:t>(Laajimi, 2009). En ce sens, elle permet une réflexion sur des enjeux dépassant la seule exploitation agricole.</w:t>
      </w:r>
    </w:p>
    <w:p w:rsidR="000D3F35" w:rsidRPr="008F6999" w:rsidRDefault="000D3F35" w:rsidP="00F9307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On peut noter que dans cette échelle plusieurs indicateurs sont qualitatifs (qualité architecturale du bâti, qualité paysagère des abords) et certains sont même subjectifs (pérennité probable, l’intensité de travail, la qualité de vie et le sentiment d’isolement) </w:t>
      </w:r>
      <w:r w:rsidRPr="00BF2DDC">
        <w:rPr>
          <w:rFonts w:asciiTheme="majorBidi" w:hAnsiTheme="majorBidi" w:cstheme="majorBidi"/>
          <w:sz w:val="28"/>
          <w:szCs w:val="28"/>
        </w:rPr>
        <w:t>et établis d’après le ressenti de l’agriculteur</w:t>
      </w:r>
      <w:r w:rsidRPr="008F6999">
        <w:rPr>
          <w:rFonts w:asciiTheme="majorBidi" w:hAnsiTheme="majorBidi" w:cstheme="majorBidi"/>
          <w:sz w:val="28"/>
          <w:szCs w:val="28"/>
        </w:rPr>
        <w:t xml:space="preserve"> (Fortun-lamothe, 2007).</w:t>
      </w:r>
    </w:p>
    <w:p w:rsidR="000D3F35" w:rsidRPr="008F6999" w:rsidRDefault="000D3F35" w:rsidP="00F9307A">
      <w:pPr>
        <w:pStyle w:val="Default"/>
        <w:spacing w:after="200"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Les critères de l’échelle de la durabilité </w:t>
      </w:r>
      <w:r w:rsidRPr="008F6999">
        <w:rPr>
          <w:rFonts w:asciiTheme="majorBidi" w:hAnsiTheme="majorBidi" w:cstheme="majorBidi"/>
          <w:color w:val="000000" w:themeColor="text1"/>
          <w:sz w:val="28"/>
          <w:szCs w:val="28"/>
        </w:rPr>
        <w:t>sociale</w:t>
      </w:r>
      <w:r w:rsidR="00E21E7E">
        <w:rPr>
          <w:rFonts w:asciiTheme="majorBidi" w:hAnsiTheme="majorBidi" w:cstheme="majorBidi"/>
          <w:sz w:val="28"/>
          <w:szCs w:val="28"/>
        </w:rPr>
        <w:t xml:space="preserve"> se </w:t>
      </w:r>
      <w:r w:rsidRPr="008F6999">
        <w:rPr>
          <w:rFonts w:asciiTheme="majorBidi" w:hAnsiTheme="majorBidi" w:cstheme="majorBidi"/>
          <w:sz w:val="28"/>
          <w:szCs w:val="28"/>
        </w:rPr>
        <w:t xml:space="preserve"> réfèrent davantage à l’éthique et au développement humain, caractéristiques essentielles des systèmes agricoles durables (Laajimi et Ben Nasr, 2010). Selon Richard (2010), l’ensemble des indicateurs sociaux sera divisé en trois catégories, à savoir :</w:t>
      </w:r>
    </w:p>
    <w:p w:rsidR="000D3F35" w:rsidRPr="008F6999" w:rsidRDefault="000D3F35" w:rsidP="00C65E4A">
      <w:pPr>
        <w:pStyle w:val="Paragraphedeliste"/>
        <w:numPr>
          <w:ilvl w:val="0"/>
          <w:numId w:val="7"/>
        </w:numPr>
        <w:autoSpaceDE w:val="0"/>
        <w:autoSpaceDN w:val="0"/>
        <w:adjustRightInd w:val="0"/>
        <w:spacing w:line="312" w:lineRule="auto"/>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les indicateurs sociaux internes, qui reflètent le bien-être de l’agriculteur</w:t>
      </w:r>
      <w:r>
        <w:rPr>
          <w:rFonts w:asciiTheme="majorBidi" w:hAnsiTheme="majorBidi" w:cstheme="majorBidi"/>
          <w:color w:val="000000"/>
          <w:sz w:val="28"/>
          <w:szCs w:val="28"/>
        </w:rPr>
        <w:t xml:space="preserve">, </w:t>
      </w:r>
      <w:r w:rsidRPr="008F6999">
        <w:rPr>
          <w:rFonts w:asciiTheme="majorBidi" w:hAnsiTheme="majorBidi" w:cstheme="majorBidi"/>
          <w:color w:val="000000"/>
          <w:sz w:val="28"/>
          <w:szCs w:val="28"/>
        </w:rPr>
        <w:t>de sa famille et des travailleurs de la ferme</w:t>
      </w:r>
      <w:r w:rsidR="00E21E7E">
        <w:rPr>
          <w:rFonts w:asciiTheme="majorBidi" w:hAnsiTheme="majorBidi" w:cstheme="majorBidi"/>
          <w:color w:val="000000"/>
          <w:sz w:val="28"/>
          <w:szCs w:val="28"/>
        </w:rPr>
        <w:t xml:space="preserve"> </w:t>
      </w:r>
      <w:r w:rsidRPr="0045076E">
        <w:rPr>
          <w:rFonts w:asciiTheme="majorBidi" w:hAnsiTheme="majorBidi" w:cstheme="majorBidi"/>
          <w:sz w:val="28"/>
          <w:szCs w:val="28"/>
        </w:rPr>
        <w:t>(Repos et organisation du temps, p</w:t>
      </w:r>
      <w:r>
        <w:rPr>
          <w:rFonts w:asciiTheme="majorBidi" w:hAnsiTheme="majorBidi" w:cstheme="majorBidi"/>
          <w:sz w:val="28"/>
          <w:szCs w:val="28"/>
        </w:rPr>
        <w:t>énibilité du travail, s</w:t>
      </w:r>
      <w:r w:rsidRPr="008F6999">
        <w:rPr>
          <w:rFonts w:asciiTheme="majorBidi" w:hAnsiTheme="majorBidi" w:cstheme="majorBidi"/>
          <w:color w:val="000000"/>
          <w:sz w:val="28"/>
          <w:szCs w:val="28"/>
        </w:rPr>
        <w:t>ervices non-agricoles</w:t>
      </w:r>
      <w:r>
        <w:rPr>
          <w:rFonts w:asciiTheme="majorBidi" w:hAnsiTheme="majorBidi" w:cstheme="majorBidi"/>
          <w:sz w:val="28"/>
          <w:szCs w:val="28"/>
        </w:rPr>
        <w:t xml:space="preserve"> …) ; </w:t>
      </w:r>
      <w:r w:rsidRPr="008F6999">
        <w:rPr>
          <w:rFonts w:asciiTheme="majorBidi" w:hAnsiTheme="majorBidi" w:cstheme="majorBidi"/>
          <w:color w:val="000000"/>
          <w:sz w:val="28"/>
          <w:szCs w:val="28"/>
        </w:rPr>
        <w:t xml:space="preserve">ils comprennent également le bien-être </w:t>
      </w:r>
      <w:r w:rsidRPr="0045076E">
        <w:rPr>
          <w:rFonts w:asciiTheme="majorBidi" w:hAnsiTheme="majorBidi" w:cstheme="majorBidi"/>
          <w:sz w:val="28"/>
          <w:szCs w:val="28"/>
        </w:rPr>
        <w:t xml:space="preserve">animal </w:t>
      </w:r>
      <w:r>
        <w:rPr>
          <w:rFonts w:asciiTheme="majorBidi" w:hAnsiTheme="majorBidi" w:cstheme="majorBidi"/>
          <w:sz w:val="28"/>
          <w:szCs w:val="28"/>
        </w:rPr>
        <w:t>(</w:t>
      </w:r>
      <w:r w:rsidRPr="0045076E">
        <w:rPr>
          <w:rFonts w:asciiTheme="majorBidi" w:hAnsiTheme="majorBidi" w:cstheme="majorBidi"/>
          <w:sz w:val="28"/>
          <w:szCs w:val="28"/>
        </w:rPr>
        <w:t xml:space="preserve">milieu de vie respectueux </w:t>
      </w:r>
      <w:r>
        <w:rPr>
          <w:rFonts w:asciiTheme="majorBidi" w:hAnsiTheme="majorBidi" w:cstheme="majorBidi"/>
          <w:color w:val="000000"/>
          <w:sz w:val="28"/>
          <w:szCs w:val="28"/>
        </w:rPr>
        <w:t>du bien-être animal, p</w:t>
      </w:r>
      <w:r w:rsidRPr="008F6999">
        <w:rPr>
          <w:rFonts w:asciiTheme="majorBidi" w:hAnsiTheme="majorBidi" w:cstheme="majorBidi"/>
          <w:color w:val="000000"/>
          <w:sz w:val="28"/>
          <w:szCs w:val="28"/>
        </w:rPr>
        <w:t>ratiques d'élevage respectueuses du bien-être animal,</w:t>
      </w:r>
      <w:r>
        <w:rPr>
          <w:rFonts w:asciiTheme="majorBidi" w:hAnsiTheme="majorBidi" w:cstheme="majorBidi"/>
          <w:color w:val="000000"/>
          <w:sz w:val="28"/>
          <w:szCs w:val="28"/>
        </w:rPr>
        <w:t>).</w:t>
      </w:r>
    </w:p>
    <w:p w:rsidR="000D3F35" w:rsidRPr="008F6999" w:rsidRDefault="000D3F35" w:rsidP="00C65E4A">
      <w:pPr>
        <w:pStyle w:val="Paragraphedeliste"/>
        <w:numPr>
          <w:ilvl w:val="0"/>
          <w:numId w:val="7"/>
        </w:numPr>
        <w:autoSpaceDE w:val="0"/>
        <w:autoSpaceDN w:val="0"/>
        <w:adjustRightInd w:val="0"/>
        <w:spacing w:line="312" w:lineRule="auto"/>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lastRenderedPageBreak/>
        <w:t xml:space="preserve">Les indicateurs sociaux externes, qui sont liés au regard que la société porte sur l’exploitation agricole, et donc sur l’acceptabilité des pratiques et l’intégration de l’exploitation dans le milieu social (Qualité et traçabilité, </w:t>
      </w:r>
      <w:r>
        <w:rPr>
          <w:rFonts w:asciiTheme="majorBidi" w:hAnsiTheme="majorBidi" w:cstheme="majorBidi"/>
          <w:color w:val="000000"/>
          <w:sz w:val="28"/>
          <w:szCs w:val="28"/>
        </w:rPr>
        <w:t>i</w:t>
      </w:r>
      <w:r w:rsidRPr="008F6999">
        <w:rPr>
          <w:rFonts w:asciiTheme="majorBidi" w:hAnsiTheme="majorBidi" w:cstheme="majorBidi"/>
          <w:color w:val="000000"/>
          <w:sz w:val="28"/>
          <w:szCs w:val="28"/>
        </w:rPr>
        <w:t xml:space="preserve">mplication dans le milieu, </w:t>
      </w:r>
      <w:r>
        <w:rPr>
          <w:rFonts w:asciiTheme="majorBidi" w:hAnsiTheme="majorBidi" w:cstheme="majorBidi"/>
          <w:color w:val="000000"/>
          <w:sz w:val="28"/>
          <w:szCs w:val="28"/>
        </w:rPr>
        <w:t>i</w:t>
      </w:r>
      <w:r w:rsidRPr="008F6999">
        <w:rPr>
          <w:rFonts w:asciiTheme="majorBidi" w:hAnsiTheme="majorBidi" w:cstheme="majorBidi"/>
          <w:color w:val="000000"/>
          <w:sz w:val="28"/>
          <w:szCs w:val="28"/>
        </w:rPr>
        <w:t>nsertion dans la vie locale</w:t>
      </w:r>
      <w:r>
        <w:rPr>
          <w:rFonts w:asciiTheme="majorBidi" w:hAnsiTheme="majorBidi" w:cstheme="majorBidi"/>
          <w:color w:val="000000"/>
          <w:sz w:val="28"/>
          <w:szCs w:val="28"/>
        </w:rPr>
        <w:t xml:space="preserve"> …</w:t>
      </w:r>
      <w:r w:rsidRPr="008F6999">
        <w:rPr>
          <w:rFonts w:asciiTheme="majorBidi" w:hAnsiTheme="majorBidi" w:cstheme="majorBidi"/>
          <w:color w:val="000000"/>
          <w:sz w:val="28"/>
          <w:szCs w:val="28"/>
        </w:rPr>
        <w:t>)</w:t>
      </w:r>
      <w:r>
        <w:rPr>
          <w:rFonts w:asciiTheme="majorBidi" w:hAnsiTheme="majorBidi" w:cstheme="majorBidi"/>
          <w:color w:val="000000"/>
          <w:sz w:val="28"/>
          <w:szCs w:val="28"/>
        </w:rPr>
        <w:t>.</w:t>
      </w:r>
    </w:p>
    <w:p w:rsidR="00EA322D" w:rsidRDefault="000D3F35" w:rsidP="00EA322D">
      <w:pPr>
        <w:pStyle w:val="Paragraphedeliste"/>
        <w:numPr>
          <w:ilvl w:val="0"/>
          <w:numId w:val="7"/>
        </w:numPr>
        <w:autoSpaceDE w:val="0"/>
        <w:autoSpaceDN w:val="0"/>
        <w:adjustRightInd w:val="0"/>
        <w:spacing w:line="312" w:lineRule="auto"/>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Les indicateurs socio-économiques, comme leur nom l’indique clairement, font le lien entre le soc</w:t>
      </w:r>
      <w:r w:rsidRPr="008F6999">
        <w:rPr>
          <w:rFonts w:asciiTheme="majorBidi" w:hAnsiTheme="majorBidi" w:cstheme="majorBidi"/>
          <w:sz w:val="28"/>
          <w:szCs w:val="28"/>
        </w:rPr>
        <w:t>ial</w:t>
      </w:r>
      <w:r w:rsidRPr="008F6999">
        <w:rPr>
          <w:rFonts w:asciiTheme="majorBidi" w:hAnsiTheme="majorBidi" w:cstheme="majorBidi"/>
          <w:color w:val="000000"/>
          <w:sz w:val="28"/>
          <w:szCs w:val="28"/>
        </w:rPr>
        <w:t xml:space="preserve"> et l’économique (Viabilité socio-économique et emploi filière courte). Un exemple parlant pour illustrer cette catégorie est la question de la transmissibilité de l’exploitation qui sera basée sur des calculs de rentabilité et des coûts de reprise mais également sur la volonté des jeunes</w:t>
      </w:r>
    </w:p>
    <w:p w:rsidR="000D3F35" w:rsidRPr="00EA322D" w:rsidRDefault="000D3F35" w:rsidP="00EA322D">
      <w:pPr>
        <w:pStyle w:val="Paragraphedeliste"/>
        <w:numPr>
          <w:ilvl w:val="0"/>
          <w:numId w:val="7"/>
        </w:numPr>
        <w:autoSpaceDE w:val="0"/>
        <w:autoSpaceDN w:val="0"/>
        <w:adjustRightInd w:val="0"/>
        <w:spacing w:line="312" w:lineRule="auto"/>
        <w:jc w:val="both"/>
        <w:rPr>
          <w:rFonts w:asciiTheme="majorBidi" w:hAnsiTheme="majorBidi" w:cstheme="majorBidi"/>
          <w:color w:val="000000"/>
          <w:sz w:val="28"/>
          <w:szCs w:val="28"/>
        </w:rPr>
      </w:pPr>
      <w:r w:rsidRPr="00EA322D">
        <w:rPr>
          <w:rFonts w:asciiTheme="majorBidi" w:hAnsiTheme="majorBidi" w:cstheme="majorBidi"/>
          <w:color w:val="000000"/>
          <w:sz w:val="28"/>
          <w:szCs w:val="28"/>
        </w:rPr>
        <w:t>de reprendre des exploitations et donc sur l’image de l’agriculture et l’appréciation du métier d’agriculteur.</w:t>
      </w:r>
    </w:p>
    <w:p w:rsidR="000D3F35" w:rsidRPr="008F6999" w:rsidRDefault="000D3F35" w:rsidP="00EA322D">
      <w:pPr>
        <w:autoSpaceDE w:val="0"/>
        <w:autoSpaceDN w:val="0"/>
        <w:adjustRightInd w:val="0"/>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sz w:val="28"/>
          <w:szCs w:val="28"/>
        </w:rPr>
        <w:t>La dimension économique sera sans doute enclavée si la durabilité sociale n’est pas intégrée dans le système du développement. En effet, ces deux dimensions sont complémentaire : elles mettent l’accent sur la satisfaction des besoins essentielles d’un coté et s’intéressent à l’idée de renforcement des capacités humaines en termes du capital humain et capital social afin d’assurer une meilleure accumulation de ces capacités qui soient nécessaire à leur satisfaction, de l’autre coté (Henni et Dubois).</w:t>
      </w:r>
    </w:p>
    <w:p w:rsidR="000D3F35" w:rsidRPr="008F6999" w:rsidRDefault="003D3A0A" w:rsidP="00C65E4A">
      <w:pPr>
        <w:pStyle w:val="Paragraphedeliste"/>
        <w:autoSpaceDE w:val="0"/>
        <w:autoSpaceDN w:val="0"/>
        <w:adjustRightInd w:val="0"/>
        <w:spacing w:line="312" w:lineRule="auto"/>
        <w:ind w:left="0"/>
        <w:jc w:val="both"/>
        <w:rPr>
          <w:rFonts w:asciiTheme="majorBidi" w:hAnsiTheme="majorBidi" w:cstheme="majorBidi"/>
          <w:b/>
          <w:bCs/>
          <w:sz w:val="28"/>
          <w:szCs w:val="28"/>
        </w:rPr>
      </w:pPr>
      <w:r>
        <w:rPr>
          <w:rFonts w:asciiTheme="majorBidi" w:hAnsiTheme="majorBidi" w:cstheme="majorBidi"/>
          <w:b/>
          <w:bCs/>
          <w:sz w:val="28"/>
          <w:szCs w:val="28"/>
        </w:rPr>
        <w:t>1.3</w:t>
      </w:r>
      <w:r w:rsidR="000D3F35" w:rsidRPr="008F6999">
        <w:rPr>
          <w:rFonts w:asciiTheme="majorBidi" w:hAnsiTheme="majorBidi" w:cstheme="majorBidi"/>
          <w:b/>
          <w:bCs/>
          <w:sz w:val="28"/>
          <w:szCs w:val="28"/>
        </w:rPr>
        <w:t>.1.2. Critères de pilier de durabilité économique</w:t>
      </w:r>
    </w:p>
    <w:p w:rsidR="000D3F35" w:rsidRPr="008F6999" w:rsidRDefault="000D3F35" w:rsidP="00EA322D">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durabilité économique contient 10 critères traduisant la santé financière et la fonction entre</w:t>
      </w:r>
      <w:r>
        <w:rPr>
          <w:rFonts w:asciiTheme="majorBidi" w:hAnsiTheme="majorBidi" w:cstheme="majorBidi"/>
          <w:sz w:val="28"/>
          <w:szCs w:val="28"/>
        </w:rPr>
        <w:t>preneuriale de l’exploitation</w:t>
      </w:r>
      <w:r w:rsidRPr="008F6999">
        <w:rPr>
          <w:rFonts w:asciiTheme="majorBidi" w:hAnsiTheme="majorBidi" w:cstheme="majorBidi"/>
          <w:sz w:val="28"/>
          <w:szCs w:val="28"/>
        </w:rPr>
        <w:t>. On distingue principalement les critères de résultats (analyse de la performance économique à court terme) et les critères exprimant l’évolution de l’exploitation à long terme qui reflètent la capacité de l’exploitation à perdurer d’une génération à l’autre (Fortun-Lamothe, 2007).</w:t>
      </w:r>
    </w:p>
    <w:p w:rsidR="000D3F35" w:rsidRPr="008F6999" w:rsidRDefault="000D3F35" w:rsidP="000B3A89">
      <w:pPr>
        <w:autoSpaceDE w:val="0"/>
        <w:autoSpaceDN w:val="0"/>
        <w:adjustRightInd w:val="0"/>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sz w:val="28"/>
          <w:szCs w:val="28"/>
        </w:rPr>
        <w:t>La durabilité économique à court terme est exprimée par la viabilité économique, l’efficacité de la main-d'œuvre, l’efficience du processus productif, la rentabilité économique et l’indépendance technique ; tandis que, la durabilité économique à long terme est exprimée par le de degré de s</w:t>
      </w:r>
      <w:r w:rsidRPr="008F6999">
        <w:rPr>
          <w:rFonts w:asciiTheme="majorBidi" w:hAnsiTheme="majorBidi" w:cstheme="majorBidi"/>
          <w:color w:val="000000"/>
          <w:sz w:val="28"/>
          <w:szCs w:val="28"/>
        </w:rPr>
        <w:t>pécialisation économique, la sensibilité aux aides directes, l’autonomie financière, la transmissibilité et la polyvalence de l'outil de production.</w:t>
      </w:r>
    </w:p>
    <w:p w:rsidR="000D3F35" w:rsidRPr="008F6999" w:rsidRDefault="000D3F35" w:rsidP="00C65E4A">
      <w:pPr>
        <w:autoSpaceDE w:val="0"/>
        <w:autoSpaceDN w:val="0"/>
        <w:adjustRightInd w:val="0"/>
        <w:spacing w:line="312" w:lineRule="auto"/>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lastRenderedPageBreak/>
        <w:t xml:space="preserve">Malheureusement, ces indicateurs sont très difficiles à appréhender. Beaucoup de méthodes se basent sur des calculs liés à la comptabilité de l’exploitation, qui est rarement complète et/ou accessible. Des solutions ont donc dû être trouvées afin de pouvoir évaluer cet aspect (Richard, 2010). </w:t>
      </w:r>
    </w:p>
    <w:p w:rsidR="000D3F35" w:rsidRPr="008F6999" w:rsidRDefault="003D3A0A" w:rsidP="003D3A0A">
      <w:pPr>
        <w:autoSpaceDE w:val="0"/>
        <w:autoSpaceDN w:val="0"/>
        <w:adjustRightInd w:val="0"/>
        <w:spacing w:line="312" w:lineRule="auto"/>
        <w:jc w:val="both"/>
        <w:rPr>
          <w:rFonts w:asciiTheme="majorBidi" w:hAnsiTheme="majorBidi" w:cstheme="majorBidi"/>
          <w:b/>
          <w:bCs/>
          <w:sz w:val="28"/>
          <w:szCs w:val="28"/>
        </w:rPr>
      </w:pPr>
      <w:r>
        <w:rPr>
          <w:rFonts w:asciiTheme="majorBidi" w:hAnsiTheme="majorBidi" w:cstheme="majorBidi"/>
          <w:b/>
          <w:bCs/>
          <w:sz w:val="28"/>
          <w:szCs w:val="28"/>
        </w:rPr>
        <w:t>1.3.</w:t>
      </w:r>
      <w:r w:rsidR="000D3F35" w:rsidRPr="008F6999">
        <w:rPr>
          <w:rFonts w:asciiTheme="majorBidi" w:hAnsiTheme="majorBidi" w:cstheme="majorBidi"/>
          <w:b/>
          <w:bCs/>
          <w:sz w:val="28"/>
          <w:szCs w:val="28"/>
        </w:rPr>
        <w:t>1.3. Critères de pilier de durabilité écologique</w:t>
      </w:r>
    </w:p>
    <w:p w:rsidR="000D3F35" w:rsidRPr="008F6999" w:rsidRDefault="000D3F35" w:rsidP="000B3A89">
      <w:pPr>
        <w:autoSpaceDE w:val="0"/>
        <w:autoSpaceDN w:val="0"/>
        <w:adjustRightInd w:val="0"/>
        <w:spacing w:line="312" w:lineRule="auto"/>
        <w:ind w:firstLine="284"/>
        <w:jc w:val="both"/>
        <w:rPr>
          <w:rFonts w:asciiTheme="majorBidi" w:hAnsiTheme="majorBidi" w:cstheme="majorBidi"/>
          <w:sz w:val="28"/>
          <w:szCs w:val="28"/>
        </w:rPr>
      </w:pPr>
      <w:r w:rsidRPr="003F403E">
        <w:rPr>
          <w:rFonts w:asciiTheme="majorBidi" w:hAnsiTheme="majorBidi" w:cstheme="majorBidi"/>
          <w:sz w:val="28"/>
          <w:szCs w:val="28"/>
        </w:rPr>
        <w:t xml:space="preserve">Les critères de l’échelle </w:t>
      </w:r>
      <w:r w:rsidRPr="003F403E">
        <w:rPr>
          <w:rFonts w:asciiTheme="majorBidi" w:hAnsiTheme="majorBidi" w:cstheme="majorBidi"/>
          <w:b/>
          <w:bCs/>
          <w:sz w:val="28"/>
          <w:szCs w:val="28"/>
        </w:rPr>
        <w:t>écologique</w:t>
      </w:r>
      <w:r w:rsidRPr="003F403E">
        <w:rPr>
          <w:rFonts w:asciiTheme="majorBidi" w:hAnsiTheme="majorBidi" w:cstheme="majorBidi"/>
          <w:sz w:val="28"/>
          <w:szCs w:val="28"/>
        </w:rPr>
        <w:t xml:space="preserve"> ils mesurent l’adoption de bonnes pratiques par le producteur. Ils doivent permettre une bonne efficacité économique pour un </w:t>
      </w:r>
      <w:r w:rsidRPr="008F6999">
        <w:rPr>
          <w:rFonts w:asciiTheme="majorBidi" w:hAnsiTheme="majorBidi" w:cstheme="majorBidi"/>
          <w:sz w:val="28"/>
          <w:szCs w:val="28"/>
        </w:rPr>
        <w:t>coût écologique aussi faible que possible (Laajimi, Ben Nasr, 2010). On distingue de objectifs généraux :   l’u</w:t>
      </w:r>
      <w:r w:rsidRPr="008F6999">
        <w:rPr>
          <w:rFonts w:asciiTheme="majorBidi" w:hAnsiTheme="majorBidi" w:cstheme="majorBidi"/>
          <w:color w:val="000000"/>
          <w:sz w:val="28"/>
          <w:szCs w:val="28"/>
        </w:rPr>
        <w:t>tilisation de façon économe les ressources et produit des ressources renouvelables  (production de ressources renouvelables, utilisation d'énergie fossile, consommation d'eau, utilisation pour production de biomasse, lien au sol), et protège les écosystèmes : ressources biologiques et environnement physique (quantité et gestion des sous-</w:t>
      </w:r>
      <w:r>
        <w:rPr>
          <w:rFonts w:asciiTheme="majorBidi" w:hAnsiTheme="majorBidi" w:cstheme="majorBidi"/>
          <w:color w:val="000000"/>
          <w:sz w:val="28"/>
          <w:szCs w:val="28"/>
        </w:rPr>
        <w:t>produits et déchets d’élevage, m</w:t>
      </w:r>
      <w:r w:rsidRPr="008F6999">
        <w:rPr>
          <w:rFonts w:asciiTheme="majorBidi" w:hAnsiTheme="majorBidi" w:cstheme="majorBidi"/>
          <w:color w:val="000000"/>
          <w:sz w:val="28"/>
          <w:szCs w:val="28"/>
        </w:rPr>
        <w:t xml:space="preserve">aintien de la biodiversité, </w:t>
      </w:r>
      <w:r>
        <w:rPr>
          <w:rFonts w:asciiTheme="majorBidi" w:hAnsiTheme="majorBidi" w:cstheme="majorBidi"/>
          <w:color w:val="000000"/>
          <w:sz w:val="28"/>
          <w:szCs w:val="28"/>
        </w:rPr>
        <w:t>mesures d'hygiène, p</w:t>
      </w:r>
      <w:r w:rsidRPr="008F6999">
        <w:rPr>
          <w:rFonts w:asciiTheme="majorBidi" w:hAnsiTheme="majorBidi" w:cstheme="majorBidi"/>
          <w:color w:val="000000"/>
          <w:sz w:val="28"/>
          <w:szCs w:val="28"/>
        </w:rPr>
        <w:t xml:space="preserve">rophylaxie, </w:t>
      </w:r>
      <w:r>
        <w:rPr>
          <w:rFonts w:asciiTheme="majorBidi" w:hAnsiTheme="majorBidi" w:cstheme="majorBidi"/>
          <w:color w:val="000000"/>
          <w:sz w:val="28"/>
          <w:szCs w:val="28"/>
        </w:rPr>
        <w:t>u</w:t>
      </w:r>
      <w:r w:rsidRPr="008F6999">
        <w:rPr>
          <w:rFonts w:asciiTheme="majorBidi" w:hAnsiTheme="majorBidi" w:cstheme="majorBidi"/>
          <w:color w:val="000000"/>
          <w:sz w:val="28"/>
          <w:szCs w:val="28"/>
        </w:rPr>
        <w:t>tilisation des antibiotiques).</w:t>
      </w:r>
    </w:p>
    <w:p w:rsidR="000D3F35" w:rsidRPr="003D3A0A" w:rsidRDefault="000D3F35" w:rsidP="003D3A0A">
      <w:pPr>
        <w:pStyle w:val="Paragraphedeliste"/>
        <w:numPr>
          <w:ilvl w:val="2"/>
          <w:numId w:val="29"/>
        </w:numPr>
        <w:spacing w:line="312" w:lineRule="auto"/>
        <w:rPr>
          <w:rFonts w:asciiTheme="majorBidi" w:hAnsiTheme="majorBidi" w:cstheme="majorBidi"/>
          <w:b/>
          <w:bCs/>
          <w:sz w:val="28"/>
          <w:szCs w:val="28"/>
        </w:rPr>
      </w:pPr>
      <w:r w:rsidRPr="003D3A0A">
        <w:rPr>
          <w:rFonts w:asciiTheme="majorBidi" w:hAnsiTheme="majorBidi" w:cstheme="majorBidi"/>
          <w:b/>
          <w:bCs/>
          <w:sz w:val="28"/>
          <w:szCs w:val="28"/>
        </w:rPr>
        <w:t xml:space="preserve">Selon la méthode IDEA </w:t>
      </w:r>
    </w:p>
    <w:p w:rsidR="000D3F35" w:rsidRPr="008F6999" w:rsidRDefault="000D3F35" w:rsidP="000B3A89">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méthode est structurée en objectifs regroupés au sein de trois échelles de</w:t>
      </w:r>
      <w:r w:rsidR="00462FC8">
        <w:rPr>
          <w:rFonts w:asciiTheme="majorBidi" w:hAnsiTheme="majorBidi" w:cstheme="majorBidi"/>
          <w:sz w:val="28"/>
          <w:szCs w:val="28"/>
        </w:rPr>
        <w:t xml:space="preserve"> </w:t>
      </w:r>
      <w:r w:rsidRPr="008F6999">
        <w:rPr>
          <w:rFonts w:asciiTheme="majorBidi" w:hAnsiTheme="majorBidi" w:cstheme="majorBidi"/>
          <w:sz w:val="28"/>
          <w:szCs w:val="28"/>
        </w:rPr>
        <w:t>durabilité. Chacune de ces trois échelles est subdivisée en trois ou quatre</w:t>
      </w:r>
      <w:r w:rsidR="00462FC8">
        <w:rPr>
          <w:rFonts w:asciiTheme="majorBidi" w:hAnsiTheme="majorBidi" w:cstheme="majorBidi"/>
          <w:sz w:val="28"/>
          <w:szCs w:val="28"/>
        </w:rPr>
        <w:t xml:space="preserve"> </w:t>
      </w:r>
      <w:r w:rsidRPr="008F6999">
        <w:rPr>
          <w:rFonts w:asciiTheme="majorBidi" w:hAnsiTheme="majorBidi" w:cstheme="majorBidi"/>
          <w:sz w:val="28"/>
          <w:szCs w:val="28"/>
        </w:rPr>
        <w:t>composantes qui regroupent les indicateurs.</w:t>
      </w:r>
    </w:p>
    <w:p w:rsidR="000D3F35" w:rsidRPr="008F6999" w:rsidRDefault="000D3F35" w:rsidP="00C65E4A">
      <w:pPr>
        <w:pStyle w:val="Paragraphedeliste"/>
        <w:numPr>
          <w:ilvl w:val="3"/>
          <w:numId w:val="6"/>
        </w:num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L'échelle de durabilité économique</w:t>
      </w:r>
      <w:r>
        <w:rPr>
          <w:rFonts w:asciiTheme="majorBidi" w:hAnsiTheme="majorBidi" w:cstheme="majorBidi"/>
          <w:b/>
          <w:bCs/>
          <w:sz w:val="28"/>
          <w:szCs w:val="28"/>
        </w:rPr>
        <w:t> </w:t>
      </w:r>
    </w:p>
    <w:p w:rsidR="000D3F35" w:rsidRPr="008F6999" w:rsidRDefault="000D3F35" w:rsidP="000B3A89">
      <w:pPr>
        <w:pStyle w:val="Default"/>
        <w:spacing w:after="200"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Lynam et Herdt (1989) et Tisdell (1996) considère le secteur économique comme étant un aspect incontournable de la durabilité en milieu agricole (Larochelle, 2011). Les objectifs de l’échelle de durabilité économique précisent des fonctions essentielles liées à la fonction entrepreneuriale de l’exploitation.</w:t>
      </w:r>
    </w:p>
    <w:p w:rsidR="000D3F35" w:rsidRPr="008F6999"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L’analyse des résultats économiques dépasse la seule prise en compte de la performance économique vu sous l’angle de la rentabilité économique ou financière à court terme mais analyse aussi le degré d’indépendance économique, la capacité de transmissibilité de l’exploitation et l’efficience de son processus productif. Sur une échelle maximale de 100, chacune de ces quatre composantes est plafonnée entre 20 et 25 unités (Zahm,2008).</w:t>
      </w:r>
    </w:p>
    <w:tbl>
      <w:tblPr>
        <w:tblW w:w="0" w:type="auto"/>
        <w:tblBorders>
          <w:top w:val="nil"/>
          <w:left w:val="nil"/>
          <w:bottom w:val="nil"/>
          <w:right w:val="nil"/>
        </w:tblBorders>
        <w:tblLayout w:type="fixed"/>
        <w:tblLook w:val="0000"/>
      </w:tblPr>
      <w:tblGrid>
        <w:gridCol w:w="9180"/>
      </w:tblGrid>
      <w:tr w:rsidR="000D3F35" w:rsidRPr="008F6999" w:rsidTr="00EA67A4">
        <w:trPr>
          <w:trHeight w:val="140"/>
        </w:trPr>
        <w:tc>
          <w:tcPr>
            <w:tcW w:w="9180" w:type="dxa"/>
          </w:tcPr>
          <w:p w:rsidR="000D3F35" w:rsidRPr="008F6999" w:rsidRDefault="000D3F35" w:rsidP="00C65E4A">
            <w:pPr>
              <w:autoSpaceDE w:val="0"/>
              <w:autoSpaceDN w:val="0"/>
              <w:adjustRightInd w:val="0"/>
              <w:spacing w:line="312" w:lineRule="auto"/>
              <w:rPr>
                <w:rFonts w:asciiTheme="majorBidi" w:hAnsiTheme="majorBidi" w:cstheme="majorBidi"/>
                <w:color w:val="000000"/>
                <w:sz w:val="28"/>
                <w:szCs w:val="28"/>
              </w:rPr>
            </w:pPr>
            <w:r>
              <w:rPr>
                <w:rFonts w:asciiTheme="majorBidi" w:hAnsiTheme="majorBidi" w:cstheme="majorBidi"/>
                <w:color w:val="000000"/>
                <w:sz w:val="28"/>
                <w:szCs w:val="28"/>
              </w:rPr>
              <w:lastRenderedPageBreak/>
              <w:t>Les indicateurs de la d</w:t>
            </w:r>
            <w:r w:rsidRPr="008F6999">
              <w:rPr>
                <w:rFonts w:asciiTheme="majorBidi" w:hAnsiTheme="majorBidi" w:cstheme="majorBidi"/>
                <w:color w:val="000000"/>
                <w:sz w:val="28"/>
                <w:szCs w:val="28"/>
              </w:rPr>
              <w:t>urabilité économique</w:t>
            </w:r>
            <w:r>
              <w:rPr>
                <w:rFonts w:asciiTheme="majorBidi" w:hAnsiTheme="majorBidi" w:cstheme="majorBidi"/>
                <w:color w:val="000000"/>
                <w:sz w:val="28"/>
                <w:szCs w:val="28"/>
              </w:rPr>
              <w:t xml:space="preserve"> sont les suivants :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Viabilité économique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Taux de spécialisation </w:t>
            </w:r>
            <w:r>
              <w:rPr>
                <w:rFonts w:asciiTheme="majorBidi" w:hAnsiTheme="majorBidi" w:cstheme="majorBidi"/>
                <w:color w:val="000000"/>
                <w:sz w:val="28"/>
                <w:szCs w:val="28"/>
              </w:rPr>
              <w:t>é</w:t>
            </w:r>
            <w:r w:rsidRPr="008F6999">
              <w:rPr>
                <w:rFonts w:asciiTheme="majorBidi" w:hAnsiTheme="majorBidi" w:cstheme="majorBidi"/>
                <w:color w:val="000000"/>
                <w:sz w:val="28"/>
                <w:szCs w:val="28"/>
              </w:rPr>
              <w:t xml:space="preserve">conomique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Autonomie financière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Sensibilité aux aides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Transmissibilité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Efficience du processus productif </w:t>
            </w:r>
          </w:p>
        </w:tc>
      </w:tr>
    </w:tbl>
    <w:p w:rsidR="000D3F35" w:rsidRPr="005179E4" w:rsidRDefault="000D3F35" w:rsidP="00C65E4A">
      <w:pPr>
        <w:pStyle w:val="Paragraphedeliste"/>
        <w:numPr>
          <w:ilvl w:val="3"/>
          <w:numId w:val="6"/>
        </w:numPr>
        <w:spacing w:line="312" w:lineRule="auto"/>
        <w:jc w:val="both"/>
        <w:rPr>
          <w:rFonts w:asciiTheme="majorBidi" w:hAnsiTheme="majorBidi" w:cstheme="majorBidi"/>
          <w:b/>
          <w:bCs/>
          <w:sz w:val="28"/>
          <w:szCs w:val="28"/>
        </w:rPr>
      </w:pPr>
      <w:r w:rsidRPr="005179E4">
        <w:rPr>
          <w:rFonts w:asciiTheme="majorBidi" w:hAnsiTheme="majorBidi" w:cstheme="majorBidi"/>
          <w:b/>
          <w:bCs/>
          <w:sz w:val="28"/>
          <w:szCs w:val="28"/>
        </w:rPr>
        <w:t>L’échelle agro-écologique </w:t>
      </w:r>
    </w:p>
    <w:p w:rsidR="000D3F35" w:rsidRPr="008F6999"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L’échelle agro-écologique se réfère aux principes agronomiques de l’agriculture intégrée (Viaux, 1999).Cette échelle est structurée en trois composantes de même importance</w:t>
      </w:r>
      <w:r>
        <w:rPr>
          <w:rFonts w:asciiTheme="majorBidi" w:hAnsiTheme="majorBidi" w:cstheme="majorBidi"/>
          <w:sz w:val="28"/>
          <w:szCs w:val="28"/>
        </w:rPr>
        <w:t xml:space="preserve"> (plafonnées à 33 et 34 points)</w:t>
      </w:r>
      <w:r w:rsidRPr="008F6999">
        <w:rPr>
          <w:rFonts w:asciiTheme="majorBidi" w:hAnsiTheme="majorBidi" w:cstheme="majorBidi"/>
          <w:sz w:val="28"/>
          <w:szCs w:val="28"/>
        </w:rPr>
        <w:t xml:space="preserve"> qui contr</w:t>
      </w:r>
      <w:r>
        <w:rPr>
          <w:rFonts w:asciiTheme="majorBidi" w:hAnsiTheme="majorBidi" w:cstheme="majorBidi"/>
          <w:sz w:val="28"/>
          <w:szCs w:val="28"/>
        </w:rPr>
        <w:t>ibuent de façon interdépendante</w:t>
      </w:r>
      <w:r w:rsidRPr="008F6999">
        <w:rPr>
          <w:rFonts w:asciiTheme="majorBidi" w:hAnsiTheme="majorBidi" w:cstheme="majorBidi"/>
          <w:sz w:val="28"/>
          <w:szCs w:val="28"/>
        </w:rPr>
        <w:t xml:space="preserve"> à l’analyse de la durabilité des modes de production. Ces 3 composantes : diversité domestique (4 indicateurs), organisation de l’espace (7 indicateurs) et prati</w:t>
      </w:r>
      <w:r>
        <w:rPr>
          <w:rFonts w:asciiTheme="majorBidi" w:hAnsiTheme="majorBidi" w:cstheme="majorBidi"/>
          <w:sz w:val="28"/>
          <w:szCs w:val="28"/>
        </w:rPr>
        <w:t>ques agricoles (7 indicateurs)</w:t>
      </w:r>
      <w:r w:rsidRPr="008F6999">
        <w:rPr>
          <w:rFonts w:asciiTheme="majorBidi" w:hAnsiTheme="majorBidi" w:cstheme="majorBidi"/>
          <w:sz w:val="28"/>
          <w:szCs w:val="28"/>
        </w:rPr>
        <w:t xml:space="preserve"> sont structurées de telle façon qu’elles laissent la place à de multiples combinaisons techniques possibles dans le choix des pratiques et stratégies de l’agriculteur pour atteindre un objectif de systèmes agricoles le plus autonome et économe en ressources (Zahm,2008).</w:t>
      </w:r>
    </w:p>
    <w:tbl>
      <w:tblPr>
        <w:tblW w:w="0" w:type="auto"/>
        <w:tblBorders>
          <w:top w:val="nil"/>
          <w:left w:val="nil"/>
          <w:bottom w:val="nil"/>
          <w:right w:val="nil"/>
        </w:tblBorders>
        <w:tblLayout w:type="fixed"/>
        <w:tblLook w:val="0000"/>
      </w:tblPr>
      <w:tblGrid>
        <w:gridCol w:w="5637"/>
        <w:gridCol w:w="992"/>
        <w:gridCol w:w="567"/>
        <w:gridCol w:w="1984"/>
      </w:tblGrid>
      <w:tr w:rsidR="000D3F35" w:rsidRPr="003F403E" w:rsidTr="00EA67A4">
        <w:trPr>
          <w:trHeight w:val="140"/>
        </w:trPr>
        <w:tc>
          <w:tcPr>
            <w:tcW w:w="9180" w:type="dxa"/>
            <w:gridSpan w:val="4"/>
          </w:tcPr>
          <w:p w:rsidR="000D3F35" w:rsidRPr="003F403E" w:rsidRDefault="000D3F35" w:rsidP="00C65E4A">
            <w:pPr>
              <w:autoSpaceDE w:val="0"/>
              <w:autoSpaceDN w:val="0"/>
              <w:adjustRightInd w:val="0"/>
              <w:spacing w:line="312" w:lineRule="auto"/>
              <w:jc w:val="both"/>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Les indicateurs de la durabilité agroécologique sont présentés comme suit (Symilav, 2011) :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Diversité des cultures annuelles et temporaires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Diversité des cultures pérennes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Diversité animale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Valorisation et conservation du patrimoine génétique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Assolement </w:t>
            </w:r>
          </w:p>
        </w:tc>
      </w:tr>
      <w:tr w:rsidR="000D3F35" w:rsidRPr="003F403E" w:rsidTr="00EA67A4">
        <w:trPr>
          <w:gridAfter w:val="1"/>
          <w:wAfter w:w="1984" w:type="dxa"/>
          <w:trHeight w:val="120"/>
        </w:trPr>
        <w:tc>
          <w:tcPr>
            <w:tcW w:w="7196" w:type="dxa"/>
            <w:gridSpan w:val="3"/>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lastRenderedPageBreak/>
              <w:t xml:space="preserve">Dimension des parcelles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Gestion des matières organiques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Zones de régulation écologique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Contribution aux enjeux environnementaux du territoire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Valorisation de l'espace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Gestion des surfaces fourragères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Fertilisation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Effluents organiques liquides </w:t>
            </w:r>
          </w:p>
        </w:tc>
      </w:tr>
      <w:tr w:rsidR="000D3F35" w:rsidRPr="003F403E" w:rsidTr="00EA67A4">
        <w:trPr>
          <w:gridAfter w:val="2"/>
          <w:wAfter w:w="2551" w:type="dxa"/>
          <w:trHeight w:val="120"/>
        </w:trPr>
        <w:tc>
          <w:tcPr>
            <w:tcW w:w="6629" w:type="dxa"/>
            <w:gridSpan w:val="2"/>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Pesticides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Traitements vétérinaires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Protection de la ressource des sols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Gestion de la ressource en eau </w:t>
            </w:r>
          </w:p>
        </w:tc>
      </w:tr>
      <w:tr w:rsidR="000D3F35" w:rsidRPr="003F403E" w:rsidTr="00EA67A4">
        <w:trPr>
          <w:gridAfter w:val="3"/>
          <w:wAfter w:w="3543" w:type="dxa"/>
          <w:trHeight w:val="120"/>
        </w:trPr>
        <w:tc>
          <w:tcPr>
            <w:tcW w:w="5637" w:type="dxa"/>
          </w:tcPr>
          <w:p w:rsidR="000D3F35" w:rsidRPr="003F403E"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3F403E">
              <w:rPr>
                <w:rFonts w:asciiTheme="majorBidi" w:hAnsiTheme="majorBidi" w:cstheme="majorBidi"/>
                <w:color w:val="000000"/>
                <w:sz w:val="28"/>
                <w:szCs w:val="28"/>
              </w:rPr>
              <w:t xml:space="preserve">Dépendance énergétique </w:t>
            </w:r>
          </w:p>
        </w:tc>
      </w:tr>
    </w:tbl>
    <w:p w:rsidR="000D3F35" w:rsidRPr="008F6999" w:rsidRDefault="000D3F35" w:rsidP="000B3A89">
      <w:pPr>
        <w:spacing w:line="312" w:lineRule="auto"/>
        <w:ind w:firstLine="284"/>
        <w:jc w:val="both"/>
        <w:rPr>
          <w:rFonts w:asciiTheme="majorBidi" w:hAnsiTheme="majorBidi" w:cstheme="majorBidi"/>
          <w:sz w:val="28"/>
          <w:szCs w:val="28"/>
        </w:rPr>
      </w:pPr>
      <w:r w:rsidRPr="003F403E">
        <w:rPr>
          <w:rFonts w:asciiTheme="majorBidi" w:hAnsiTheme="majorBidi" w:cstheme="majorBidi"/>
          <w:sz w:val="28"/>
          <w:szCs w:val="28"/>
        </w:rPr>
        <w:t xml:space="preserve">La composante diversité est introduite dans l’analyse pour tenir compte du fait </w:t>
      </w:r>
      <w:r w:rsidRPr="008F6999">
        <w:rPr>
          <w:rFonts w:asciiTheme="majorBidi" w:hAnsiTheme="majorBidi" w:cstheme="majorBidi"/>
          <w:sz w:val="28"/>
          <w:szCs w:val="28"/>
        </w:rPr>
        <w:t>qu’une agriculture économe, autonome et non polluante s'appuie sur un niveau important de diversité des productions afin de prendre en compte les complémentarités et les processus de régulation naturels qui fonctionnent dans les différents types d'écosystèmes cultivés (Zahm,2008 ) .</w:t>
      </w:r>
    </w:p>
    <w:p w:rsidR="000D3F35" w:rsidRPr="008F6999"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composante organisation de l’espace : en agro-écologie, l’organisation de l’espace et du parcellaire sont des déterminants importants des processus de régulation écologique en permettant de limiter la prolifération des  bio agresseurs et la dépendance aux pesticides (rotations longues, maillage des parcelles, zones de régulation écologique, …). Les indicateurs associés concernent l’organisation du parcellaire, la gestion des milieux non directement productifs et la valorisation des espaces (Zahm,</w:t>
      </w:r>
      <w:r w:rsidR="00016CE8">
        <w:rPr>
          <w:rFonts w:asciiTheme="majorBidi" w:hAnsiTheme="majorBidi" w:cstheme="majorBidi"/>
          <w:sz w:val="28"/>
          <w:szCs w:val="28"/>
        </w:rPr>
        <w:t xml:space="preserve"> </w:t>
      </w:r>
      <w:r w:rsidRPr="008F6999">
        <w:rPr>
          <w:rFonts w:asciiTheme="majorBidi" w:hAnsiTheme="majorBidi" w:cstheme="majorBidi"/>
          <w:sz w:val="28"/>
          <w:szCs w:val="28"/>
        </w:rPr>
        <w:t>2008).</w:t>
      </w:r>
    </w:p>
    <w:p w:rsidR="000D3F35" w:rsidRPr="008F6999"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lastRenderedPageBreak/>
        <w:t>La composante pratique agricole analyse l’intensité de pression environnementale en fonction des choix et itinéraires techniques de l’agriculteur (niveau de fertilisation, intensité des traitements phytosanitaires, consommation en énergie fossile, etc</w:t>
      </w:r>
      <w:r>
        <w:rPr>
          <w:rFonts w:asciiTheme="majorBidi" w:hAnsiTheme="majorBidi" w:cstheme="majorBidi"/>
          <w:sz w:val="28"/>
          <w:szCs w:val="28"/>
        </w:rPr>
        <w:t>.</w:t>
      </w:r>
      <w:r w:rsidRPr="008F6999">
        <w:rPr>
          <w:rFonts w:asciiTheme="majorBidi" w:hAnsiTheme="majorBidi" w:cstheme="majorBidi"/>
          <w:sz w:val="28"/>
          <w:szCs w:val="28"/>
        </w:rPr>
        <w:t>) (Zahm,</w:t>
      </w:r>
      <w:r w:rsidR="00016CE8">
        <w:rPr>
          <w:rFonts w:asciiTheme="majorBidi" w:hAnsiTheme="majorBidi" w:cstheme="majorBidi"/>
          <w:sz w:val="28"/>
          <w:szCs w:val="28"/>
        </w:rPr>
        <w:t xml:space="preserve"> </w:t>
      </w:r>
      <w:r w:rsidRPr="008F6999">
        <w:rPr>
          <w:rFonts w:asciiTheme="majorBidi" w:hAnsiTheme="majorBidi" w:cstheme="majorBidi"/>
          <w:sz w:val="28"/>
          <w:szCs w:val="28"/>
        </w:rPr>
        <w:t>2008).</w:t>
      </w:r>
    </w:p>
    <w:p w:rsidR="000D3F35"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Sur un plan agronomique, le choix des indicateurs de ces trois composantes est fonction de leur capacité à mettre en avant des systèmes agricoles susceptibles d’auto-entretenir leur fertilité et leur potentiel productif à long terme, capacité corrélée à une gestion agro-écologique des ressources naturelles (Zahm,2008).</w:t>
      </w:r>
    </w:p>
    <w:p w:rsidR="000D3F35" w:rsidRPr="008F6999" w:rsidRDefault="000D3F35" w:rsidP="00C65E4A">
      <w:pPr>
        <w:pStyle w:val="Paragraphedeliste"/>
        <w:numPr>
          <w:ilvl w:val="3"/>
          <w:numId w:val="6"/>
        </w:numPr>
        <w:spacing w:line="312" w:lineRule="auto"/>
        <w:jc w:val="both"/>
        <w:rPr>
          <w:rFonts w:asciiTheme="majorBidi" w:hAnsiTheme="majorBidi" w:cstheme="majorBidi"/>
          <w:b/>
          <w:bCs/>
          <w:sz w:val="28"/>
          <w:szCs w:val="28"/>
        </w:rPr>
      </w:pPr>
      <w:r w:rsidRPr="008F6999">
        <w:rPr>
          <w:rFonts w:asciiTheme="majorBidi" w:hAnsiTheme="majorBidi" w:cstheme="majorBidi"/>
          <w:b/>
          <w:bCs/>
          <w:sz w:val="28"/>
          <w:szCs w:val="28"/>
        </w:rPr>
        <w:t>L’échelle socio-territoriale </w:t>
      </w:r>
    </w:p>
    <w:p w:rsidR="000D3F35" w:rsidRPr="008F6999" w:rsidRDefault="000D3F35" w:rsidP="000B3A89">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objectifs définis par la dimension socio-territoriale visent le développement humain, la citoyenneté, l’éthique, la cohérence et le développement local ainsi qu’une prise</w:t>
      </w:r>
      <w:r w:rsidR="00DA5FE1">
        <w:rPr>
          <w:rFonts w:asciiTheme="majorBidi" w:hAnsiTheme="majorBidi" w:cstheme="majorBidi"/>
          <w:sz w:val="28"/>
          <w:szCs w:val="28"/>
        </w:rPr>
        <w:t xml:space="preserve"> </w:t>
      </w:r>
      <w:r w:rsidRPr="008F6999">
        <w:rPr>
          <w:rFonts w:asciiTheme="majorBidi" w:hAnsiTheme="majorBidi" w:cstheme="majorBidi"/>
          <w:sz w:val="28"/>
          <w:szCs w:val="28"/>
        </w:rPr>
        <w:t>de responsabilité dans une structure et la résidence sur ou à proximité de l’exploitation (M’Hamdi et al., 2009). Elle permet d’évaluer la qualité de vie de l’agriculteur et le poids des services marchands ou non marchands qu’il rend au territoire et à la société. En ce sens, elle permet une réflexion sur des enjeux dépassant la seule exploitation agricole (Zahm,</w:t>
      </w:r>
      <w:r w:rsidR="00DA5FE1">
        <w:rPr>
          <w:rFonts w:asciiTheme="majorBidi" w:hAnsiTheme="majorBidi" w:cstheme="majorBidi"/>
          <w:sz w:val="28"/>
          <w:szCs w:val="28"/>
        </w:rPr>
        <w:t xml:space="preserve"> </w:t>
      </w:r>
      <w:r w:rsidRPr="008F6999">
        <w:rPr>
          <w:rFonts w:asciiTheme="majorBidi" w:hAnsiTheme="majorBidi" w:cstheme="majorBidi"/>
          <w:sz w:val="28"/>
          <w:szCs w:val="28"/>
        </w:rPr>
        <w:t>2008).</w:t>
      </w:r>
    </w:p>
    <w:p w:rsidR="000D3F35" w:rsidRPr="008F6999"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trois composantes de la durabilité socio-territoriale (qualité des produits, emploi et services, éthique et développement humain) ont le même poids et sont plafonnées à 33 et 34 points sur une échelle maximale de 100. En pratique, cette échelle associe et pondère des pratiques et des comportements quantifiables avec des éléments plus qualitatifs (tels que la qualité architecturale du bâti, la qualité paysagère des abords) (Vilain,</w:t>
      </w:r>
      <w:r w:rsidR="00016CE8">
        <w:rPr>
          <w:rFonts w:asciiTheme="majorBidi" w:hAnsiTheme="majorBidi" w:cstheme="majorBidi"/>
          <w:sz w:val="28"/>
          <w:szCs w:val="28"/>
        </w:rPr>
        <w:t xml:space="preserve"> </w:t>
      </w:r>
      <w:r w:rsidRPr="008F6999">
        <w:rPr>
          <w:rFonts w:asciiTheme="majorBidi" w:hAnsiTheme="majorBidi" w:cstheme="majorBidi"/>
          <w:sz w:val="28"/>
          <w:szCs w:val="28"/>
        </w:rPr>
        <w:t>2003).</w:t>
      </w:r>
    </w:p>
    <w:p w:rsidR="000D3F35" w:rsidRDefault="000D3F35" w:rsidP="000B3A89">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Certaines valeurs d’indicateurs comme la pérennité probable, l’intensité de travail, la qualité de vie et le sentiment d’isolement </w:t>
      </w:r>
      <w:r w:rsidRPr="00537103">
        <w:rPr>
          <w:rFonts w:asciiTheme="majorBidi" w:hAnsiTheme="majorBidi" w:cstheme="majorBidi"/>
          <w:sz w:val="28"/>
          <w:szCs w:val="28"/>
        </w:rPr>
        <w:t xml:space="preserve">sont auto-déclaratives et estimées par l’agriculteur. </w:t>
      </w:r>
    </w:p>
    <w:p w:rsidR="008E4A4A" w:rsidRDefault="008E4A4A" w:rsidP="000B3A89">
      <w:pPr>
        <w:spacing w:line="312" w:lineRule="auto"/>
        <w:ind w:firstLine="284"/>
        <w:jc w:val="both"/>
        <w:rPr>
          <w:rFonts w:asciiTheme="majorBidi" w:hAnsiTheme="majorBidi" w:cstheme="majorBidi"/>
          <w:sz w:val="28"/>
          <w:szCs w:val="28"/>
        </w:rPr>
      </w:pPr>
    </w:p>
    <w:p w:rsidR="008E4A4A" w:rsidRPr="00537103" w:rsidRDefault="008E4A4A" w:rsidP="000B3A89">
      <w:pPr>
        <w:spacing w:line="312" w:lineRule="auto"/>
        <w:ind w:firstLine="284"/>
        <w:jc w:val="both"/>
        <w:rPr>
          <w:rFonts w:asciiTheme="majorBidi" w:hAnsiTheme="majorBidi" w:cstheme="majorBidi"/>
          <w:sz w:val="28"/>
          <w:szCs w:val="28"/>
        </w:rPr>
      </w:pPr>
    </w:p>
    <w:tbl>
      <w:tblPr>
        <w:tblW w:w="0" w:type="auto"/>
        <w:tblBorders>
          <w:top w:val="nil"/>
          <w:left w:val="nil"/>
          <w:bottom w:val="nil"/>
          <w:right w:val="nil"/>
        </w:tblBorders>
        <w:tblLayout w:type="fixed"/>
        <w:tblLook w:val="0000"/>
      </w:tblPr>
      <w:tblGrid>
        <w:gridCol w:w="9180"/>
      </w:tblGrid>
      <w:tr w:rsidR="000D3F35" w:rsidRPr="008F6999" w:rsidTr="00EA67A4">
        <w:trPr>
          <w:trHeight w:val="140"/>
        </w:trPr>
        <w:tc>
          <w:tcPr>
            <w:tcW w:w="9180" w:type="dxa"/>
          </w:tcPr>
          <w:p w:rsidR="000D3F35" w:rsidRPr="008F6999" w:rsidRDefault="000D3F35" w:rsidP="00C65E4A">
            <w:pPr>
              <w:autoSpaceDE w:val="0"/>
              <w:autoSpaceDN w:val="0"/>
              <w:adjustRightInd w:val="0"/>
              <w:spacing w:line="312" w:lineRule="auto"/>
              <w:rPr>
                <w:rFonts w:asciiTheme="majorBidi" w:hAnsiTheme="majorBidi" w:cstheme="majorBidi"/>
                <w:color w:val="000000"/>
                <w:sz w:val="28"/>
                <w:szCs w:val="28"/>
              </w:rPr>
            </w:pPr>
            <w:r>
              <w:rPr>
                <w:rFonts w:asciiTheme="majorBidi" w:hAnsiTheme="majorBidi" w:cstheme="majorBidi"/>
                <w:color w:val="000000"/>
                <w:sz w:val="28"/>
                <w:szCs w:val="28"/>
              </w:rPr>
              <w:lastRenderedPageBreak/>
              <w:t>Les indicateurs de la d</w:t>
            </w:r>
            <w:r w:rsidRPr="008F6999">
              <w:rPr>
                <w:rFonts w:asciiTheme="majorBidi" w:hAnsiTheme="majorBidi" w:cstheme="majorBidi"/>
                <w:color w:val="000000"/>
                <w:sz w:val="28"/>
                <w:szCs w:val="28"/>
              </w:rPr>
              <w:t>urabilité socio-territoriale</w:t>
            </w:r>
            <w:r>
              <w:rPr>
                <w:rFonts w:asciiTheme="majorBidi" w:hAnsiTheme="majorBidi" w:cstheme="majorBidi"/>
                <w:color w:val="000000"/>
                <w:sz w:val="28"/>
                <w:szCs w:val="28"/>
              </w:rPr>
              <w:t xml:space="preserve"> sont les suivantes :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Démarche de qualité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Valorisation du patrimoine bâti et du paysage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Gestion des déchets non organiques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Accessibilité de l’espace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Implication sociale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Valorisation par filières courtes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Autonomie et valorisation des ressources locales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Services, pluriactivité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Contribution à l’emploi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Travail collectif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Pérennité probable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Contribution à l’équilibre alimentaire mondial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Bien-être animal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Formation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Intensité de travail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Qualité de vie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Isolement </w:t>
            </w:r>
          </w:p>
        </w:tc>
      </w:tr>
      <w:tr w:rsidR="000D3F35" w:rsidRPr="008F6999" w:rsidTr="00EA67A4">
        <w:trPr>
          <w:trHeight w:val="120"/>
        </w:trPr>
        <w:tc>
          <w:tcPr>
            <w:tcW w:w="9180" w:type="dxa"/>
          </w:tcPr>
          <w:p w:rsidR="000D3F35" w:rsidRPr="008F6999" w:rsidRDefault="000D3F35" w:rsidP="00C65E4A">
            <w:pPr>
              <w:pStyle w:val="Paragraphedeliste"/>
              <w:numPr>
                <w:ilvl w:val="0"/>
                <w:numId w:val="7"/>
              </w:numPr>
              <w:autoSpaceDE w:val="0"/>
              <w:autoSpaceDN w:val="0"/>
              <w:adjustRightInd w:val="0"/>
              <w:spacing w:line="312" w:lineRule="auto"/>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Accueil, hygiène et sécurité </w:t>
            </w:r>
          </w:p>
        </w:tc>
      </w:tr>
    </w:tbl>
    <w:p w:rsidR="000D3F35" w:rsidRPr="008F6999" w:rsidRDefault="000D3F35" w:rsidP="00C65E4A">
      <w:pPr>
        <w:spacing w:line="312" w:lineRule="auto"/>
        <w:jc w:val="both"/>
        <w:rPr>
          <w:rFonts w:asciiTheme="majorBidi" w:hAnsiTheme="majorBidi" w:cstheme="majorBidi"/>
          <w:sz w:val="28"/>
          <w:szCs w:val="28"/>
        </w:rPr>
      </w:pPr>
    </w:p>
    <w:p w:rsidR="005179E4" w:rsidRDefault="005179E4" w:rsidP="00C65E4A">
      <w:pPr>
        <w:spacing w:line="240" w:lineRule="auto"/>
        <w:rPr>
          <w:rFonts w:asciiTheme="majorBidi" w:hAnsiTheme="majorBidi" w:cstheme="majorBidi"/>
          <w:b/>
          <w:bCs/>
          <w:sz w:val="28"/>
          <w:szCs w:val="28"/>
        </w:rPr>
      </w:pPr>
    </w:p>
    <w:p w:rsidR="005179E4" w:rsidRDefault="005179E4" w:rsidP="00C65E4A">
      <w:pPr>
        <w:spacing w:line="240" w:lineRule="auto"/>
        <w:rPr>
          <w:rFonts w:asciiTheme="majorBidi" w:hAnsiTheme="majorBidi" w:cstheme="majorBidi"/>
          <w:b/>
          <w:bCs/>
          <w:sz w:val="28"/>
          <w:szCs w:val="28"/>
        </w:rPr>
      </w:pPr>
    </w:p>
    <w:p w:rsidR="008E4A4A" w:rsidRDefault="008E4A4A" w:rsidP="00C65E4A">
      <w:pPr>
        <w:spacing w:line="240" w:lineRule="auto"/>
        <w:rPr>
          <w:rFonts w:asciiTheme="majorBidi" w:hAnsiTheme="majorBidi" w:cstheme="majorBidi"/>
          <w:b/>
          <w:bCs/>
          <w:sz w:val="28"/>
          <w:szCs w:val="28"/>
        </w:rPr>
      </w:pPr>
    </w:p>
    <w:p w:rsidR="000D3F35" w:rsidRPr="008F6999" w:rsidRDefault="000D3F35" w:rsidP="00C65E4A">
      <w:pPr>
        <w:spacing w:line="240" w:lineRule="auto"/>
        <w:rPr>
          <w:rFonts w:asciiTheme="majorBidi" w:hAnsiTheme="majorBidi" w:cstheme="majorBidi"/>
          <w:b/>
          <w:bCs/>
          <w:sz w:val="28"/>
          <w:szCs w:val="28"/>
        </w:rPr>
      </w:pPr>
      <w:r w:rsidRPr="008F6999">
        <w:rPr>
          <w:rFonts w:asciiTheme="majorBidi" w:hAnsiTheme="majorBidi" w:cstheme="majorBidi"/>
          <w:b/>
          <w:bCs/>
          <w:sz w:val="28"/>
          <w:szCs w:val="28"/>
        </w:rPr>
        <w:lastRenderedPageBreak/>
        <w:t xml:space="preserve">II. Importance de la filière avicole </w:t>
      </w:r>
    </w:p>
    <w:p w:rsidR="000D3F35" w:rsidRPr="008F6999" w:rsidRDefault="000D3F35" w:rsidP="00C65E4A">
      <w:pPr>
        <w:spacing w:line="240" w:lineRule="auto"/>
        <w:rPr>
          <w:rFonts w:asciiTheme="majorBidi" w:hAnsiTheme="majorBidi" w:cstheme="majorBidi"/>
          <w:b/>
          <w:bCs/>
          <w:sz w:val="28"/>
          <w:szCs w:val="28"/>
        </w:rPr>
      </w:pPr>
      <w:r w:rsidRPr="008F6999">
        <w:rPr>
          <w:rFonts w:asciiTheme="majorBidi" w:hAnsiTheme="majorBidi" w:cstheme="majorBidi"/>
          <w:b/>
          <w:bCs/>
          <w:sz w:val="28"/>
          <w:szCs w:val="28"/>
        </w:rPr>
        <w:t xml:space="preserve">II.1. Importance économique </w:t>
      </w:r>
    </w:p>
    <w:p w:rsidR="000D3F35" w:rsidRPr="008F6999" w:rsidRDefault="00016CE8" w:rsidP="00C65E4A">
      <w:pPr>
        <w:spacing w:line="240" w:lineRule="auto"/>
        <w:rPr>
          <w:rFonts w:asciiTheme="majorBidi" w:hAnsiTheme="majorBidi" w:cstheme="majorBidi"/>
          <w:b/>
          <w:bCs/>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.1.1. Création de l’emploi </w:t>
      </w:r>
    </w:p>
    <w:p w:rsidR="000D3F35" w:rsidRDefault="000D3F35" w:rsidP="008E4A4A">
      <w:pPr>
        <w:spacing w:line="312" w:lineRule="auto"/>
        <w:ind w:firstLine="284"/>
        <w:jc w:val="both"/>
        <w:rPr>
          <w:rFonts w:asciiTheme="majorBidi" w:eastAsiaTheme="minorHAnsi" w:hAnsiTheme="majorBidi" w:cstheme="majorBidi"/>
          <w:sz w:val="28"/>
          <w:szCs w:val="28"/>
          <w:lang w:eastAsia="en-US"/>
        </w:rPr>
      </w:pPr>
      <w:r w:rsidRPr="008F6999">
        <w:rPr>
          <w:rFonts w:asciiTheme="majorBidi" w:hAnsiTheme="majorBidi" w:cstheme="majorBidi"/>
          <w:sz w:val="28"/>
          <w:szCs w:val="28"/>
        </w:rPr>
        <w:t xml:space="preserve">La filière avicole constitue un secteur pourvoyeur d’emplois et contribue à la </w:t>
      </w:r>
      <w:r w:rsidRPr="008F6999">
        <w:rPr>
          <w:rFonts w:asciiTheme="majorBidi" w:eastAsiaTheme="minorHAnsi" w:hAnsiTheme="majorBidi" w:cstheme="majorBidi"/>
          <w:sz w:val="28"/>
          <w:szCs w:val="28"/>
          <w:lang w:eastAsia="en-US"/>
        </w:rPr>
        <w:t>stabilisation sociale</w:t>
      </w:r>
      <w:r w:rsidRPr="008F6999">
        <w:rPr>
          <w:rFonts w:asciiTheme="majorBidi" w:hAnsiTheme="majorBidi" w:cstheme="majorBidi"/>
          <w:sz w:val="28"/>
          <w:szCs w:val="28"/>
        </w:rPr>
        <w:t xml:space="preserve">. Elle emploie des cadres et des agents et des hommes et femmes dans les différents secteurs de la filière : la production, la transformation, le stockage et la commercialisation. Selon le ministre de l’agriculture et de développement rural, </w:t>
      </w:r>
      <w:r w:rsidRPr="008F6999">
        <w:rPr>
          <w:rFonts w:asciiTheme="majorBidi" w:eastAsiaTheme="minorHAnsi" w:hAnsiTheme="majorBidi" w:cstheme="majorBidi"/>
          <w:sz w:val="28"/>
          <w:szCs w:val="28"/>
          <w:lang w:eastAsia="en-US"/>
        </w:rPr>
        <w:t xml:space="preserve">en 2013, </w:t>
      </w:r>
      <w:r>
        <w:rPr>
          <w:rFonts w:asciiTheme="majorBidi" w:eastAsiaTheme="minorHAnsi" w:hAnsiTheme="majorBidi" w:cstheme="majorBidi"/>
          <w:sz w:val="28"/>
          <w:szCs w:val="28"/>
          <w:lang w:eastAsia="en-US"/>
        </w:rPr>
        <w:t xml:space="preserve">la filière avicole offre </w:t>
      </w:r>
      <w:r w:rsidRPr="008F6999">
        <w:rPr>
          <w:rFonts w:asciiTheme="majorBidi" w:eastAsiaTheme="minorHAnsi" w:hAnsiTheme="majorBidi" w:cstheme="majorBidi"/>
          <w:sz w:val="28"/>
          <w:szCs w:val="28"/>
          <w:lang w:eastAsia="en-US"/>
        </w:rPr>
        <w:t>près de 100000 emplois directs dont 20000 éleveurs de poulets de chair, ce qui n’est pas négligeable en termes de sauvegarde de la production nationale (Kaci, 2013).</w:t>
      </w:r>
    </w:p>
    <w:p w:rsidR="000D3F35" w:rsidRPr="008F6999" w:rsidRDefault="00016CE8"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 xml:space="preserve">.1.1.1. Dans les ateliers d’élevage avicole  </w:t>
      </w:r>
    </w:p>
    <w:p w:rsidR="000D3F35" w:rsidRPr="008F6999" w:rsidRDefault="000D3F35" w:rsidP="008E4A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données concernant les effectifs et les capacités de production avicole dans la wilaya de M’sila sont indiquées dans le tableau</w:t>
      </w:r>
      <w:r w:rsidR="00462FC8">
        <w:rPr>
          <w:rFonts w:asciiTheme="majorBidi" w:hAnsiTheme="majorBidi" w:cstheme="majorBidi"/>
          <w:sz w:val="28"/>
          <w:szCs w:val="28"/>
        </w:rPr>
        <w:t xml:space="preserve"> 2</w:t>
      </w:r>
      <w:r w:rsidRPr="008F6999">
        <w:rPr>
          <w:rFonts w:asciiTheme="majorBidi" w:hAnsiTheme="majorBidi" w:cstheme="majorBidi"/>
          <w:sz w:val="28"/>
          <w:szCs w:val="28"/>
        </w:rPr>
        <w:t xml:space="preserve"> .</w:t>
      </w:r>
    </w:p>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 xml:space="preserve">Tableau2 : </w:t>
      </w:r>
      <w:r w:rsidRPr="008F6999">
        <w:rPr>
          <w:rFonts w:asciiTheme="majorBidi" w:hAnsiTheme="majorBidi" w:cstheme="majorBidi"/>
          <w:sz w:val="28"/>
          <w:szCs w:val="28"/>
        </w:rPr>
        <w:t>Effectifs et capacités de production avicole dans la wilaya de M’sila</w:t>
      </w:r>
      <w:r w:rsidRPr="008F6999">
        <w:rPr>
          <w:rFonts w:asciiTheme="majorBidi" w:hAnsiTheme="majorBidi" w:cstheme="majorBidi"/>
          <w:bCs/>
          <w:sz w:val="28"/>
          <w:szCs w:val="28"/>
        </w:rPr>
        <w:t xml:space="preserve"> (2014).</w:t>
      </w:r>
    </w:p>
    <w:tbl>
      <w:tblPr>
        <w:tblStyle w:val="Grilledutableau"/>
        <w:tblW w:w="0" w:type="auto"/>
        <w:jc w:val="center"/>
        <w:tblInd w:w="-425" w:type="dxa"/>
        <w:tblLayout w:type="fixed"/>
        <w:tblLook w:val="04A0"/>
      </w:tblPr>
      <w:tblGrid>
        <w:gridCol w:w="2267"/>
        <w:gridCol w:w="1842"/>
        <w:gridCol w:w="1489"/>
        <w:gridCol w:w="2977"/>
      </w:tblGrid>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Désignation </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Nombre d’éleveurs</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Nombre bâtiments</w:t>
            </w:r>
          </w:p>
        </w:tc>
        <w:tc>
          <w:tcPr>
            <w:tcW w:w="297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Capacité de production (sujets)</w:t>
            </w:r>
          </w:p>
        </w:tc>
      </w:tr>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Poulet de chair</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640</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780</w:t>
            </w:r>
          </w:p>
        </w:tc>
        <w:tc>
          <w:tcPr>
            <w:tcW w:w="2977" w:type="dxa"/>
          </w:tcPr>
          <w:p w:rsidR="000D3F35" w:rsidRPr="00763FF0" w:rsidRDefault="000D3F35" w:rsidP="00C65E4A">
            <w:pPr>
              <w:spacing w:line="312" w:lineRule="auto"/>
              <w:jc w:val="center"/>
              <w:rPr>
                <w:rFonts w:asciiTheme="majorBidi" w:hAnsiTheme="majorBidi" w:cstheme="majorBidi"/>
                <w:b/>
                <w:bCs/>
                <w:sz w:val="28"/>
                <w:szCs w:val="28"/>
              </w:rPr>
            </w:pPr>
            <w:r w:rsidRPr="00537103">
              <w:rPr>
                <w:rFonts w:asciiTheme="majorBidi" w:hAnsiTheme="majorBidi" w:cstheme="majorBidi"/>
                <w:sz w:val="26"/>
                <w:szCs w:val="26"/>
              </w:rPr>
              <w:t>4948</w:t>
            </w:r>
            <w:r w:rsidRPr="00537103">
              <w:rPr>
                <w:rFonts w:asciiTheme="majorBidi" w:hAnsiTheme="majorBidi" w:cstheme="majorBidi"/>
                <w:b/>
                <w:bCs/>
                <w:sz w:val="28"/>
                <w:szCs w:val="28"/>
              </w:rPr>
              <w:t>.000</w:t>
            </w:r>
          </w:p>
        </w:tc>
      </w:tr>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Poules pondeuses</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103</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122</w:t>
            </w:r>
          </w:p>
        </w:tc>
        <w:tc>
          <w:tcPr>
            <w:tcW w:w="297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940.000</w:t>
            </w:r>
          </w:p>
        </w:tc>
      </w:tr>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Repro-chair</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07</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14</w:t>
            </w:r>
          </w:p>
        </w:tc>
        <w:tc>
          <w:tcPr>
            <w:tcW w:w="297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77.000</w:t>
            </w:r>
          </w:p>
        </w:tc>
      </w:tr>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Repro-ponte </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02</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02</w:t>
            </w:r>
          </w:p>
        </w:tc>
        <w:tc>
          <w:tcPr>
            <w:tcW w:w="297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8.000</w:t>
            </w:r>
          </w:p>
        </w:tc>
      </w:tr>
      <w:tr w:rsidR="000D3F35" w:rsidRPr="008F6999" w:rsidTr="00EA67A4">
        <w:trPr>
          <w:jc w:val="center"/>
        </w:trPr>
        <w:tc>
          <w:tcPr>
            <w:tcW w:w="2267" w:type="dxa"/>
          </w:tcPr>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Total </w:t>
            </w:r>
          </w:p>
        </w:tc>
        <w:tc>
          <w:tcPr>
            <w:tcW w:w="1842"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752</w:t>
            </w:r>
          </w:p>
        </w:tc>
        <w:tc>
          <w:tcPr>
            <w:tcW w:w="1489"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918</w:t>
            </w:r>
          </w:p>
        </w:tc>
        <w:tc>
          <w:tcPr>
            <w:tcW w:w="297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3.525.000</w:t>
            </w:r>
          </w:p>
        </w:tc>
      </w:tr>
    </w:tbl>
    <w:p w:rsidR="000D3F35" w:rsidRPr="008F6999" w:rsidRDefault="00B07CBC" w:rsidP="00C65E4A">
      <w:pPr>
        <w:spacing w:line="312" w:lineRule="auto"/>
        <w:rPr>
          <w:rFonts w:asciiTheme="majorBidi" w:hAnsiTheme="majorBidi" w:cstheme="majorBidi"/>
          <w:bCs/>
          <w:sz w:val="28"/>
          <w:szCs w:val="28"/>
        </w:rPr>
      </w:pPr>
      <w:r>
        <w:rPr>
          <w:rFonts w:asciiTheme="majorBidi" w:hAnsiTheme="majorBidi" w:cstheme="majorBidi"/>
          <w:b/>
          <w:bCs/>
          <w:sz w:val="28"/>
          <w:szCs w:val="28"/>
        </w:rPr>
        <w:t xml:space="preserve">   </w:t>
      </w:r>
      <w:r w:rsidR="000D3F35" w:rsidRPr="008F6999">
        <w:rPr>
          <w:rFonts w:asciiTheme="majorBidi" w:hAnsiTheme="majorBidi" w:cstheme="majorBidi"/>
          <w:b/>
          <w:bCs/>
          <w:sz w:val="28"/>
          <w:szCs w:val="28"/>
        </w:rPr>
        <w:t xml:space="preserve">Source : </w:t>
      </w:r>
      <w:r w:rsidR="000D3F35" w:rsidRPr="008F6999">
        <w:rPr>
          <w:rFonts w:asciiTheme="majorBidi" w:hAnsiTheme="majorBidi" w:cstheme="majorBidi"/>
          <w:sz w:val="28"/>
          <w:szCs w:val="28"/>
        </w:rPr>
        <w:t>Tableau élaboré à partir des statistiques de la D</w:t>
      </w:r>
      <w:r w:rsidR="000D3F35" w:rsidRPr="008F6999">
        <w:rPr>
          <w:rFonts w:asciiTheme="majorBidi" w:hAnsiTheme="majorBidi" w:cstheme="majorBidi"/>
          <w:bCs/>
          <w:sz w:val="28"/>
          <w:szCs w:val="28"/>
        </w:rPr>
        <w:t>SA</w:t>
      </w:r>
      <w:r w:rsidR="00A90688">
        <w:rPr>
          <w:rFonts w:asciiTheme="majorBidi" w:hAnsiTheme="majorBidi" w:cstheme="majorBidi"/>
          <w:bCs/>
          <w:sz w:val="28"/>
          <w:szCs w:val="28"/>
        </w:rPr>
        <w:t xml:space="preserve"> </w:t>
      </w:r>
      <w:r w:rsidR="000D3F35" w:rsidRPr="008F6999">
        <w:rPr>
          <w:rFonts w:asciiTheme="majorBidi" w:hAnsiTheme="majorBidi" w:cstheme="majorBidi"/>
          <w:bCs/>
          <w:sz w:val="28"/>
          <w:szCs w:val="28"/>
        </w:rPr>
        <w:t>de M’sila(2015).</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Les sous filières poulet de chair et œufs de consommation emploient respectivement  640 et 103 chefs d’exploitation, de façon directe. Au sein de la plupart des  exploitations, nous pouvons trouver des agents de bâtiment et des gardiens de jour et de nuit. Ces aviculteurs conduisent leurs élevages, </w:t>
      </w:r>
      <w:r w:rsidRPr="008F6999">
        <w:rPr>
          <w:rFonts w:asciiTheme="majorBidi" w:hAnsiTheme="majorBidi" w:cstheme="majorBidi"/>
          <w:sz w:val="28"/>
          <w:szCs w:val="28"/>
        </w:rPr>
        <w:lastRenderedPageBreak/>
        <w:t xml:space="preserve">consécutivement, dans 780 et 122 bâtiments d’élevage soit consécutivement 1.22 et 1.2 bâtiments par éleveur en moyenne.    </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bCs/>
          <w:sz w:val="28"/>
          <w:szCs w:val="28"/>
        </w:rPr>
      </w:pPr>
      <w:r w:rsidRPr="008F6999">
        <w:rPr>
          <w:rFonts w:asciiTheme="majorBidi" w:hAnsiTheme="majorBidi" w:cstheme="majorBidi"/>
          <w:sz w:val="28"/>
          <w:szCs w:val="28"/>
        </w:rPr>
        <w:t xml:space="preserve">Dans la wilaya de M’sila, il faut signaler que le secteur privé est  prédominant dans la  production de poulet de chair, de l’œuf de consommation et dans l’élevage des reproducteurs chair et ponte. Alors que dans le secteur public, il existe un seul centre d’élevage de poulette démarrées appartenant au « groupement avicole centre » et situé dans la région de Maarif. Ce centre renferme quatre bâtiments d’élevage d’une capacité total </w:t>
      </w:r>
      <w:r w:rsidRPr="00537103">
        <w:rPr>
          <w:rFonts w:asciiTheme="majorBidi" w:hAnsiTheme="majorBidi" w:cstheme="majorBidi"/>
          <w:sz w:val="28"/>
          <w:szCs w:val="28"/>
        </w:rPr>
        <w:t xml:space="preserve">de 12000 poulettes </w:t>
      </w:r>
      <w:r w:rsidRPr="008F6999">
        <w:rPr>
          <w:rFonts w:asciiTheme="majorBidi" w:hAnsiTheme="majorBidi" w:cstheme="majorBidi"/>
          <w:sz w:val="28"/>
          <w:szCs w:val="28"/>
        </w:rPr>
        <w:t>démarrées. En effet, le secteur public qui a une chaine de production mieux organisée (administration, production, gardiennage, commercialisation, contrôle de qualité, vétérinaire …)  dispose d’une capacité de production plus élevée que le secteur privé et emploie plus de main d’œuvre pour le déroulement de ces processus de production.</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investissements réalisées, dans la production des œufs à couver et de poussins d</w:t>
      </w:r>
      <w:r>
        <w:rPr>
          <w:rFonts w:asciiTheme="majorBidi" w:hAnsiTheme="majorBidi" w:cstheme="majorBidi"/>
          <w:sz w:val="28"/>
          <w:szCs w:val="28"/>
        </w:rPr>
        <w:t>’</w:t>
      </w:r>
      <w:r w:rsidRPr="008F6999">
        <w:rPr>
          <w:rFonts w:asciiTheme="majorBidi" w:hAnsiTheme="majorBidi" w:cstheme="majorBidi"/>
          <w:sz w:val="28"/>
          <w:szCs w:val="28"/>
        </w:rPr>
        <w:t>un jour chair et ponte, par les opérateurs privés de la wilaya de M’sila restent très faibles car l’effectif élevé ne représente que 1.9% de l’effectif national pour les deux filières</w:t>
      </w:r>
      <w:r>
        <w:rPr>
          <w:rFonts w:asciiTheme="majorBidi" w:hAnsiTheme="majorBidi" w:cstheme="majorBidi"/>
          <w:sz w:val="28"/>
          <w:szCs w:val="28"/>
        </w:rPr>
        <w:t>,</w:t>
      </w:r>
      <w:r w:rsidRPr="008F6999">
        <w:rPr>
          <w:rFonts w:asciiTheme="majorBidi" w:hAnsiTheme="majorBidi" w:cstheme="majorBidi"/>
          <w:sz w:val="28"/>
          <w:szCs w:val="28"/>
        </w:rPr>
        <w:t xml:space="preserve"> soient des effectifs de 77000 reproducteurs chair et 8000 reproducteurs ponte.  </w:t>
      </w:r>
    </w:p>
    <w:p w:rsidR="000D3F35" w:rsidRPr="008F6999" w:rsidRDefault="00B07CBC" w:rsidP="00C65E4A">
      <w:pPr>
        <w:spacing w:line="312" w:lineRule="auto"/>
        <w:rPr>
          <w:rFonts w:asciiTheme="majorBidi" w:hAnsiTheme="majorBidi" w:cstheme="majorBidi"/>
          <w:sz w:val="28"/>
          <w:szCs w:val="28"/>
        </w:rPr>
      </w:pPr>
      <w:r>
        <w:rPr>
          <w:rFonts w:asciiTheme="majorBidi" w:hAnsiTheme="majorBidi" w:cstheme="majorBidi"/>
          <w:b/>
          <w:bCs/>
          <w:sz w:val="28"/>
          <w:szCs w:val="28"/>
        </w:rPr>
        <w:t>2</w:t>
      </w:r>
      <w:r w:rsidR="005179E4">
        <w:rPr>
          <w:rFonts w:asciiTheme="majorBidi" w:hAnsiTheme="majorBidi" w:cstheme="majorBidi"/>
          <w:b/>
          <w:bCs/>
          <w:sz w:val="28"/>
          <w:szCs w:val="28"/>
        </w:rPr>
        <w:t xml:space="preserve">.1.1.2. </w:t>
      </w:r>
      <w:r w:rsidR="000D3F35" w:rsidRPr="008F6999">
        <w:rPr>
          <w:rFonts w:asciiTheme="majorBidi" w:hAnsiTheme="majorBidi" w:cstheme="majorBidi"/>
          <w:b/>
          <w:bCs/>
          <w:sz w:val="28"/>
          <w:szCs w:val="28"/>
        </w:rPr>
        <w:t>Dans les unités d’accouvage</w:t>
      </w:r>
      <w:r w:rsidR="000D3F35" w:rsidRPr="008F6999">
        <w:rPr>
          <w:rFonts w:asciiTheme="majorBidi" w:hAnsiTheme="majorBidi" w:cstheme="majorBidi"/>
          <w:sz w:val="28"/>
          <w:szCs w:val="28"/>
        </w:rPr>
        <w:t> :</w:t>
      </w:r>
    </w:p>
    <w:p w:rsidR="000D3F35" w:rsidRPr="008F6999" w:rsidRDefault="000D3F35" w:rsidP="008E4A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Dans la région de notre étude, wilaya de M’sila, il existe deux unités d’accouvage, une dans la commune de  Berhoum appartenant au groupe avicole RAHMANI et l’autre dans la commune de Maadid appartenant au groupe avicole FRAHTIA.</w:t>
      </w:r>
    </w:p>
    <w:p w:rsidR="00787C45" w:rsidRDefault="000D3F35" w:rsidP="008E4A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couvoir RAHMANI s’étale sur une superficie de 1620 m</w:t>
      </w:r>
      <w:r w:rsidRPr="008F6999">
        <w:rPr>
          <w:rFonts w:asciiTheme="majorBidi" w:hAnsiTheme="majorBidi" w:cstheme="majorBidi"/>
          <w:sz w:val="28"/>
          <w:szCs w:val="28"/>
          <w:vertAlign w:val="superscript"/>
        </w:rPr>
        <w:t>2</w:t>
      </w:r>
      <w:r w:rsidRPr="008F6999">
        <w:rPr>
          <w:rFonts w:asciiTheme="majorBidi" w:hAnsiTheme="majorBidi" w:cstheme="majorBidi"/>
          <w:sz w:val="28"/>
          <w:szCs w:val="28"/>
        </w:rPr>
        <w:t>. Il renferme  sept incubateurs de 48 m</w:t>
      </w:r>
      <w:r w:rsidRPr="008F6999">
        <w:rPr>
          <w:rFonts w:asciiTheme="majorBidi" w:hAnsiTheme="majorBidi" w:cstheme="majorBidi"/>
          <w:sz w:val="28"/>
          <w:szCs w:val="28"/>
          <w:vertAlign w:val="superscript"/>
        </w:rPr>
        <w:t xml:space="preserve">2    </w:t>
      </w:r>
      <w:r w:rsidRPr="008F6999">
        <w:rPr>
          <w:rFonts w:asciiTheme="majorBidi" w:hAnsiTheme="majorBidi" w:cstheme="majorBidi"/>
          <w:sz w:val="28"/>
          <w:szCs w:val="28"/>
        </w:rPr>
        <w:t xml:space="preserve">et cinq </w:t>
      </w:r>
      <w:r w:rsidR="00613119" w:rsidRPr="008F6999">
        <w:rPr>
          <w:rFonts w:asciiTheme="majorBidi" w:hAnsiTheme="majorBidi" w:cstheme="majorBidi"/>
          <w:sz w:val="28"/>
          <w:szCs w:val="28"/>
        </w:rPr>
        <w:t>éclosions</w:t>
      </w:r>
      <w:r w:rsidRPr="008F6999">
        <w:rPr>
          <w:rFonts w:asciiTheme="majorBidi" w:hAnsiTheme="majorBidi" w:cstheme="majorBidi"/>
          <w:sz w:val="28"/>
          <w:szCs w:val="28"/>
        </w:rPr>
        <w:t xml:space="preserve">. La capacité du couvoir est de l’ordre de 57600 œufs à couver par incubateur soit 403200 œufs au total. Alors que la capacité des </w:t>
      </w:r>
      <w:r w:rsidR="00613119" w:rsidRPr="008F6999">
        <w:rPr>
          <w:rFonts w:asciiTheme="majorBidi" w:hAnsiTheme="majorBidi" w:cstheme="majorBidi"/>
          <w:sz w:val="28"/>
          <w:szCs w:val="28"/>
        </w:rPr>
        <w:t>éclosions</w:t>
      </w:r>
      <w:r w:rsidRPr="008F6999">
        <w:rPr>
          <w:rFonts w:asciiTheme="majorBidi" w:hAnsiTheme="majorBidi" w:cstheme="majorBidi"/>
          <w:sz w:val="28"/>
          <w:szCs w:val="28"/>
        </w:rPr>
        <w:t xml:space="preserve"> est évaluée à 96000 </w:t>
      </w:r>
      <w:r w:rsidRPr="00CB390F">
        <w:rPr>
          <w:rFonts w:asciiTheme="majorBidi" w:hAnsiTheme="majorBidi" w:cstheme="majorBidi"/>
          <w:sz w:val="28"/>
          <w:szCs w:val="28"/>
        </w:rPr>
        <w:t>poussins chair ou ponte</w:t>
      </w:r>
      <w:r w:rsidR="00613119">
        <w:rPr>
          <w:rFonts w:asciiTheme="majorBidi" w:hAnsiTheme="majorBidi" w:cstheme="majorBidi"/>
          <w:sz w:val="28"/>
          <w:szCs w:val="28"/>
        </w:rPr>
        <w:t xml:space="preserve"> </w:t>
      </w:r>
      <w:r w:rsidRPr="008F6999">
        <w:rPr>
          <w:rFonts w:asciiTheme="majorBidi" w:hAnsiTheme="majorBidi" w:cstheme="majorBidi"/>
          <w:sz w:val="28"/>
          <w:szCs w:val="28"/>
        </w:rPr>
        <w:t xml:space="preserve">estimée à partir de 19200 poussins d’un jour par </w:t>
      </w:r>
      <w:r w:rsidR="00613119" w:rsidRPr="008F6999">
        <w:rPr>
          <w:rFonts w:asciiTheme="majorBidi" w:hAnsiTheme="majorBidi" w:cstheme="majorBidi"/>
          <w:sz w:val="28"/>
          <w:szCs w:val="28"/>
        </w:rPr>
        <w:t>éclosions</w:t>
      </w:r>
      <w:r w:rsidRPr="008F6999">
        <w:rPr>
          <w:rFonts w:asciiTheme="majorBidi" w:hAnsiTheme="majorBidi" w:cstheme="majorBidi"/>
          <w:sz w:val="28"/>
          <w:szCs w:val="28"/>
        </w:rPr>
        <w:t xml:space="preserve">. </w:t>
      </w:r>
    </w:p>
    <w:p w:rsidR="000D3F35" w:rsidRPr="00613119" w:rsidRDefault="000D3F35" w:rsidP="008E4A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 couvoir RAHMANI </w:t>
      </w:r>
      <w:r w:rsidRPr="00613119">
        <w:rPr>
          <w:rFonts w:asciiTheme="majorBidi" w:hAnsiTheme="majorBidi" w:cstheme="majorBidi"/>
          <w:sz w:val="28"/>
          <w:szCs w:val="28"/>
        </w:rPr>
        <w:t>emploie</w:t>
      </w:r>
      <w:r w:rsidR="00462FC8" w:rsidRPr="00613119">
        <w:rPr>
          <w:rFonts w:asciiTheme="majorBidi" w:hAnsiTheme="majorBidi" w:cstheme="majorBidi"/>
          <w:sz w:val="28"/>
          <w:szCs w:val="28"/>
        </w:rPr>
        <w:t xml:space="preserve"> 25 </w:t>
      </w:r>
      <w:r w:rsidRPr="00613119">
        <w:rPr>
          <w:rFonts w:asciiTheme="majorBidi" w:hAnsiTheme="majorBidi" w:cstheme="majorBidi"/>
          <w:sz w:val="28"/>
          <w:szCs w:val="28"/>
        </w:rPr>
        <w:t xml:space="preserve">travailleurs pour assurer les différentes taches d’accouvage des œufs et de livraison des poussins d’un jour.  </w:t>
      </w:r>
    </w:p>
    <w:p w:rsidR="000D3F35" w:rsidRPr="00613119" w:rsidRDefault="00462FC8" w:rsidP="00C65E4A">
      <w:pPr>
        <w:spacing w:line="312" w:lineRule="auto"/>
        <w:jc w:val="both"/>
        <w:rPr>
          <w:rFonts w:asciiTheme="majorBidi" w:hAnsiTheme="majorBidi" w:cstheme="majorBidi"/>
          <w:sz w:val="28"/>
          <w:szCs w:val="28"/>
          <w:rtl/>
          <w:lang w:bidi="ar-DZ"/>
        </w:rPr>
      </w:pPr>
      <w:r w:rsidRPr="00613119">
        <w:rPr>
          <w:rFonts w:asciiTheme="majorBidi" w:hAnsiTheme="majorBidi" w:cstheme="majorBidi"/>
          <w:sz w:val="28"/>
          <w:szCs w:val="28"/>
        </w:rPr>
        <w:lastRenderedPageBreak/>
        <w:t xml:space="preserve">Le couvoir FRAHTIA </w:t>
      </w:r>
      <w:r w:rsidRPr="00613119">
        <w:rPr>
          <w:rFonts w:asciiTheme="majorBidi" w:hAnsiTheme="majorBidi" w:cstheme="majorBidi" w:hint="cs"/>
          <w:sz w:val="28"/>
          <w:szCs w:val="28"/>
          <w:rtl/>
          <w:lang w:val="en-US" w:bidi="ar-DZ"/>
        </w:rPr>
        <w:t>"</w:t>
      </w:r>
      <w:r w:rsidRPr="00613119">
        <w:rPr>
          <w:rFonts w:asciiTheme="majorBidi" w:hAnsiTheme="majorBidi" w:cstheme="majorBidi"/>
          <w:sz w:val="28"/>
          <w:szCs w:val="28"/>
        </w:rPr>
        <w:t xml:space="preserve"> Coq Kalaà </w:t>
      </w:r>
      <w:r w:rsidRPr="00613119">
        <w:rPr>
          <w:rFonts w:asciiTheme="majorBidi" w:hAnsiTheme="majorBidi" w:cstheme="majorBidi" w:hint="cs"/>
          <w:sz w:val="28"/>
          <w:szCs w:val="28"/>
          <w:rtl/>
          <w:lang w:val="en-US" w:bidi="ar-DZ"/>
        </w:rPr>
        <w:t>"</w:t>
      </w:r>
      <w:r w:rsidRPr="00613119">
        <w:rPr>
          <w:rFonts w:asciiTheme="majorBidi" w:hAnsiTheme="majorBidi" w:cstheme="majorBidi"/>
          <w:sz w:val="28"/>
          <w:szCs w:val="28"/>
          <w:lang w:bidi="ar-DZ"/>
        </w:rPr>
        <w:t xml:space="preserve"> </w:t>
      </w:r>
      <w:r w:rsidR="00F7028A" w:rsidRPr="00613119">
        <w:rPr>
          <w:rFonts w:asciiTheme="majorBidi" w:hAnsiTheme="majorBidi" w:cstheme="majorBidi"/>
          <w:sz w:val="28"/>
          <w:szCs w:val="28"/>
          <w:lang w:bidi="ar-DZ"/>
        </w:rPr>
        <w:t>s’étale sur une superficie de 400m</w:t>
      </w:r>
      <w:r w:rsidR="00F7028A" w:rsidRPr="00B07CBC">
        <w:rPr>
          <w:rFonts w:asciiTheme="majorBidi" w:hAnsiTheme="majorBidi" w:cstheme="majorBidi"/>
          <w:sz w:val="28"/>
          <w:szCs w:val="28"/>
          <w:vertAlign w:val="superscript"/>
          <w:lang w:bidi="ar-DZ"/>
        </w:rPr>
        <w:t>2</w:t>
      </w:r>
      <w:r w:rsidR="00F7028A" w:rsidRPr="00613119">
        <w:rPr>
          <w:rFonts w:asciiTheme="majorBidi" w:hAnsiTheme="majorBidi" w:cstheme="majorBidi"/>
          <w:sz w:val="28"/>
          <w:szCs w:val="28"/>
          <w:lang w:bidi="ar-DZ"/>
        </w:rPr>
        <w:t>.Il renferme un seul incubateur d’une capacité d</w:t>
      </w:r>
      <w:r w:rsidR="00B07CBC">
        <w:rPr>
          <w:rFonts w:asciiTheme="majorBidi" w:hAnsiTheme="majorBidi" w:cstheme="majorBidi"/>
          <w:sz w:val="28"/>
          <w:szCs w:val="28"/>
          <w:lang w:bidi="ar-DZ"/>
        </w:rPr>
        <w:t>e</w:t>
      </w:r>
      <w:r w:rsidR="00F7028A" w:rsidRPr="00613119">
        <w:rPr>
          <w:rFonts w:asciiTheme="majorBidi" w:hAnsiTheme="majorBidi" w:cstheme="majorBidi"/>
          <w:sz w:val="28"/>
          <w:szCs w:val="28"/>
          <w:lang w:bidi="ar-DZ"/>
        </w:rPr>
        <w:t xml:space="preserve"> 20000 </w:t>
      </w:r>
      <w:r w:rsidR="00B07CBC">
        <w:rPr>
          <w:rFonts w:asciiTheme="majorBidi" w:hAnsiTheme="majorBidi" w:cstheme="majorBidi"/>
          <w:sz w:val="28"/>
          <w:szCs w:val="28"/>
          <w:lang w:bidi="ar-DZ"/>
        </w:rPr>
        <w:t xml:space="preserve">œufs à couver </w:t>
      </w:r>
      <w:r w:rsidR="00F7028A" w:rsidRPr="00613119">
        <w:rPr>
          <w:rFonts w:asciiTheme="majorBidi" w:hAnsiTheme="majorBidi" w:cstheme="majorBidi"/>
          <w:sz w:val="28"/>
          <w:szCs w:val="28"/>
          <w:lang w:bidi="ar-DZ"/>
        </w:rPr>
        <w:t xml:space="preserve">et un seul </w:t>
      </w:r>
      <w:r w:rsidR="00613119">
        <w:rPr>
          <w:rFonts w:asciiTheme="majorBidi" w:hAnsiTheme="majorBidi" w:cstheme="majorBidi"/>
          <w:sz w:val="28"/>
          <w:szCs w:val="28"/>
          <w:lang w:bidi="ar-DZ"/>
        </w:rPr>
        <w:t>éclosoir</w:t>
      </w:r>
      <w:r w:rsidR="00613119" w:rsidRPr="00613119">
        <w:rPr>
          <w:rFonts w:asciiTheme="majorBidi" w:hAnsiTheme="majorBidi" w:cstheme="majorBidi"/>
          <w:sz w:val="28"/>
          <w:szCs w:val="28"/>
          <w:lang w:bidi="ar-DZ"/>
        </w:rPr>
        <w:t xml:space="preserve"> .le taux d’éclosion moyen est</w:t>
      </w:r>
      <w:r w:rsidR="00B07CBC">
        <w:rPr>
          <w:rFonts w:asciiTheme="majorBidi" w:hAnsiTheme="majorBidi" w:cstheme="majorBidi"/>
          <w:sz w:val="28"/>
          <w:szCs w:val="28"/>
          <w:lang w:bidi="ar-DZ"/>
        </w:rPr>
        <w:t xml:space="preserve"> de</w:t>
      </w:r>
      <w:r w:rsidR="00613119" w:rsidRPr="00613119">
        <w:rPr>
          <w:rFonts w:asciiTheme="majorBidi" w:hAnsiTheme="majorBidi" w:cstheme="majorBidi"/>
          <w:sz w:val="28"/>
          <w:szCs w:val="28"/>
          <w:lang w:bidi="ar-DZ"/>
        </w:rPr>
        <w:t xml:space="preserve"> à 80 à 85 % poussin d’un jour .</w:t>
      </w:r>
      <w:r w:rsidR="00B07CBC">
        <w:rPr>
          <w:rFonts w:asciiTheme="majorBidi" w:hAnsiTheme="majorBidi" w:cstheme="majorBidi"/>
          <w:sz w:val="28"/>
          <w:szCs w:val="28"/>
          <w:lang w:bidi="ar-DZ"/>
        </w:rPr>
        <w:t xml:space="preserve">Ce couvoir emploie trois (03) travailleurs.  </w:t>
      </w:r>
    </w:p>
    <w:p w:rsidR="000D3F35" w:rsidRDefault="00B07CBC"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t>2</w:t>
      </w:r>
      <w:r w:rsidR="005179E4">
        <w:rPr>
          <w:rFonts w:asciiTheme="majorBidi" w:hAnsiTheme="majorBidi" w:cstheme="majorBidi"/>
          <w:b/>
          <w:bCs/>
          <w:sz w:val="28"/>
          <w:szCs w:val="28"/>
        </w:rPr>
        <w:t>.1.1.3</w:t>
      </w:r>
      <w:r w:rsidR="000D3F35" w:rsidRPr="008F6999">
        <w:rPr>
          <w:rFonts w:asciiTheme="majorBidi" w:hAnsiTheme="majorBidi" w:cstheme="majorBidi"/>
          <w:b/>
          <w:bCs/>
          <w:sz w:val="28"/>
          <w:szCs w:val="28"/>
        </w:rPr>
        <w:t>. Dans les usines de fabrication d’aliment avicole </w:t>
      </w:r>
    </w:p>
    <w:p w:rsidR="000D3F35" w:rsidRPr="008F6999" w:rsidRDefault="000D3F35" w:rsidP="008E4A4A">
      <w:pPr>
        <w:spacing w:line="312" w:lineRule="auto"/>
        <w:ind w:firstLine="284"/>
        <w:jc w:val="both"/>
        <w:rPr>
          <w:rFonts w:asciiTheme="majorBidi" w:eastAsia="Times New Roman" w:hAnsiTheme="majorBidi" w:cstheme="majorBidi"/>
          <w:color w:val="000000"/>
          <w:sz w:val="28"/>
          <w:szCs w:val="28"/>
          <w:shd w:val="clear" w:color="auto" w:fill="FFFFFF"/>
        </w:rPr>
      </w:pPr>
      <w:r>
        <w:rPr>
          <w:rFonts w:asciiTheme="majorBidi" w:hAnsiTheme="majorBidi" w:cstheme="majorBidi"/>
          <w:sz w:val="28"/>
          <w:szCs w:val="28"/>
        </w:rPr>
        <w:t>Les fournisseurs d’aliment avicole sont représentés par les usines de l’ONAB et les unités d’aliment privés.</w:t>
      </w:r>
      <w:r w:rsidR="00613119">
        <w:rPr>
          <w:rFonts w:asciiTheme="majorBidi" w:hAnsiTheme="majorBidi" w:cstheme="majorBidi"/>
          <w:sz w:val="28"/>
          <w:szCs w:val="28"/>
        </w:rPr>
        <w:t xml:space="preserve"> </w:t>
      </w:r>
      <w:r w:rsidRPr="008F6999">
        <w:rPr>
          <w:rFonts w:asciiTheme="majorBidi" w:hAnsiTheme="majorBidi" w:cstheme="majorBidi"/>
          <w:color w:val="000000"/>
          <w:sz w:val="28"/>
          <w:szCs w:val="28"/>
        </w:rPr>
        <w:t xml:space="preserve">A M’sila, il existe une seule usine de fabrication d’aliment appartenant à l’unité de </w:t>
      </w:r>
      <w:r w:rsidRPr="008F6999">
        <w:rPr>
          <w:rFonts w:asciiTheme="majorBidi" w:hAnsiTheme="majorBidi" w:cstheme="majorBidi"/>
          <w:sz w:val="28"/>
          <w:szCs w:val="28"/>
        </w:rPr>
        <w:t>Office Nationale d’Aliment de Bétail (</w:t>
      </w:r>
      <w:r w:rsidRPr="008F6999">
        <w:rPr>
          <w:rFonts w:asciiTheme="majorBidi" w:hAnsiTheme="majorBidi" w:cstheme="majorBidi"/>
          <w:color w:val="000000"/>
          <w:sz w:val="28"/>
          <w:szCs w:val="28"/>
        </w:rPr>
        <w:t xml:space="preserve">ONAB) qui produit annuellement </w:t>
      </w:r>
      <w:r w:rsidR="00443AE6">
        <w:rPr>
          <w:rFonts w:asciiTheme="majorBidi" w:hAnsiTheme="majorBidi" w:cstheme="majorBidi"/>
          <w:sz w:val="28"/>
          <w:szCs w:val="28"/>
        </w:rPr>
        <w:t>100251</w:t>
      </w:r>
      <w:r w:rsidRPr="008F6999">
        <w:rPr>
          <w:rFonts w:asciiTheme="majorBidi" w:hAnsiTheme="majorBidi" w:cstheme="majorBidi"/>
          <w:sz w:val="28"/>
          <w:szCs w:val="28"/>
        </w:rPr>
        <w:t>60 Qx, en 2014, selon les statistiques de la direction des services agricole de la wilaya de M’sila. Cette usine installée en 1984 emploie 120 travailleurs au début de son activité. Actuellement, il ne reste que 64 travailleurs à cause de la baisse de sa production engendrée par la forte concurrence exercée par les fabricants privés qui vendent le quintal d’aliment à des prix plus bas. Notant que</w:t>
      </w:r>
      <w:r w:rsidRPr="008F6999">
        <w:rPr>
          <w:rFonts w:asciiTheme="majorBidi" w:eastAsiaTheme="minorHAnsi" w:hAnsiTheme="majorBidi" w:cstheme="majorBidi"/>
          <w:sz w:val="28"/>
          <w:szCs w:val="28"/>
          <w:lang w:eastAsia="en-US"/>
        </w:rPr>
        <w:t xml:space="preserve"> 58 % des éleveurs s’approvisionnent à  moyen de crédit fournisseur pour satisfaire les éleveurs dont les capitaux sont faibles (Kheffache et Laribi, 2012). </w:t>
      </w:r>
    </w:p>
    <w:p w:rsidR="000D3F35" w:rsidRPr="008F6999" w:rsidRDefault="00B07CBC" w:rsidP="00C65E4A">
      <w:pPr>
        <w:spacing w:line="312" w:lineRule="auto"/>
        <w:rPr>
          <w:rFonts w:asciiTheme="majorBidi" w:hAnsiTheme="majorBidi" w:cstheme="majorBidi"/>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.1.1.4. Dans les unités d’abattage</w:t>
      </w:r>
      <w:r w:rsidR="000D3F35" w:rsidRPr="008F6999">
        <w:rPr>
          <w:rFonts w:asciiTheme="majorBidi" w:hAnsiTheme="majorBidi" w:cstheme="majorBidi"/>
          <w:sz w:val="28"/>
          <w:szCs w:val="28"/>
        </w:rPr>
        <w:t> </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majorité des unités d’abattages industrielles dépendent des groupes régionaux avicoles. Le secteur privé a investi dans ce segment en déployant un grand nombre de tueries de petite taille et reste très peu concentré soient 298 tueries (Kaci, 2013). Les unités d’abattage des volailles exigent beaucoup de mains d’œuvre pour le fonctionnement de la chaine d’abattage. Celle-ci renferme les diverses étapes qui  séparent la volaille de la viande prête à la consommation : l’arrivage des volailles en cages specifiques est suivi de l’insensibilisation des oiseaux, de l’abattage, de la saignée, du plumage, de la séparation des différentes parties de l’animal, de l’éviscération et à la fin de l’emballage et du transport. </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région de M’sila renferme 15 tueries de petites structures appartenant au secteur privé et qui pratiquent une</w:t>
      </w:r>
      <w:r w:rsidRPr="008F6999">
        <w:rPr>
          <w:rFonts w:asciiTheme="majorBidi" w:eastAsiaTheme="minorHAnsi" w:hAnsiTheme="majorBidi" w:cstheme="majorBidi"/>
          <w:sz w:val="28"/>
          <w:szCs w:val="28"/>
          <w:lang w:eastAsia="en-US"/>
        </w:rPr>
        <w:t xml:space="preserve"> activité multi-espèces.</w:t>
      </w:r>
      <w:r w:rsidRPr="008F6999">
        <w:rPr>
          <w:rFonts w:asciiTheme="majorBidi" w:hAnsiTheme="majorBidi" w:cstheme="majorBidi"/>
          <w:sz w:val="28"/>
          <w:szCs w:val="28"/>
        </w:rPr>
        <w:t xml:space="preserve"> Les tueries sont dotées d’une capacité réelle d’abattage de 7400 sujets par jour et produit annuellement 800 tonnes équivalent carcasse. Il existe aussi un abattoir industriel de haute </w:t>
      </w:r>
      <w:r w:rsidRPr="008F6999">
        <w:rPr>
          <w:rFonts w:asciiTheme="majorBidi" w:hAnsiTheme="majorBidi" w:cstheme="majorBidi"/>
          <w:sz w:val="28"/>
          <w:szCs w:val="28"/>
        </w:rPr>
        <w:lastRenderedPageBreak/>
        <w:t xml:space="preserve">technologie construit en 2015 et appartient à un opérateur privé. L’équipement installé est mise en place par une entreprise italienne spécialisée dans la fabrication et le montage du matériel avicole. Cet abattoir est doté d’une capacité d’abattage de 7400 sujets par jour et tourne avec 10 travailleurs permanant.   </w:t>
      </w:r>
      <w:r w:rsidRPr="008F6999">
        <w:rPr>
          <w:rFonts w:asciiTheme="majorBidi" w:eastAsiaTheme="minorHAnsi" w:hAnsiTheme="majorBidi" w:cstheme="majorBidi"/>
          <w:sz w:val="28"/>
          <w:szCs w:val="28"/>
          <w:lang w:eastAsia="en-US"/>
        </w:rPr>
        <w:t>Cet abattoir spécialisé dans l’abattage de poulet de chair est un atout important pour la région</w:t>
      </w:r>
      <w:r w:rsidR="0012375F">
        <w:rPr>
          <w:rFonts w:asciiTheme="majorBidi" w:eastAsiaTheme="minorHAnsi" w:hAnsiTheme="majorBidi" w:cstheme="majorBidi"/>
          <w:sz w:val="28"/>
          <w:szCs w:val="28"/>
          <w:lang w:eastAsia="en-US"/>
        </w:rPr>
        <w:t xml:space="preserve"> </w:t>
      </w:r>
      <w:r w:rsidRPr="008F6999">
        <w:rPr>
          <w:rFonts w:asciiTheme="majorBidi" w:eastAsiaTheme="minorHAnsi" w:hAnsiTheme="majorBidi" w:cstheme="majorBidi"/>
          <w:sz w:val="28"/>
          <w:szCs w:val="28"/>
          <w:lang w:eastAsia="en-US"/>
        </w:rPr>
        <w:t>notamment pour le volume d’abattage élevé.</w:t>
      </w:r>
    </w:p>
    <w:p w:rsidR="000D3F35" w:rsidRPr="008F6999" w:rsidRDefault="00B07CBC"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.1.1.5. Dans la commercialisation des produits avicoles </w:t>
      </w:r>
    </w:p>
    <w:p w:rsidR="000D3F35" w:rsidRPr="008F6999" w:rsidRDefault="000D3F35" w:rsidP="008E4A4A">
      <w:pPr>
        <w:autoSpaceDE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A l’échelle nationale, les principales régions de vente de gros sont Boudoua</w:t>
      </w:r>
      <w:r w:rsidR="0012375F">
        <w:rPr>
          <w:rFonts w:asciiTheme="majorBidi" w:hAnsiTheme="majorBidi" w:cstheme="majorBidi"/>
          <w:sz w:val="28"/>
          <w:szCs w:val="28"/>
        </w:rPr>
        <w:t xml:space="preserve"> </w:t>
      </w:r>
      <w:r w:rsidRPr="008F6999">
        <w:rPr>
          <w:rFonts w:asciiTheme="majorBidi" w:hAnsiTheme="majorBidi" w:cstheme="majorBidi"/>
          <w:sz w:val="28"/>
          <w:szCs w:val="28"/>
        </w:rPr>
        <w:t>ou, El Harrach, Eucalyptus, El Eulma, Draa Ben Khedda, Relizane, Elasnam etc.</w:t>
      </w:r>
    </w:p>
    <w:p w:rsidR="000D3F35" w:rsidRPr="008F6999" w:rsidRDefault="000D3F35" w:rsidP="008E4A4A">
      <w:pPr>
        <w:autoSpaceDE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 circuit de commercialisation des produits avicoles est détenu par le capital commercial privé (Nouad, 2011). Selon Kaci (2014), le secteur privé contrôle près de 80 % de la distribution des produits avicoles à l’échelle nationale. Les entreprises de distribution sont spécialisées dans le commerce de détail et sont de petite taille. Les marchés sont souvent anciens et mal adaptés aux conditions d’un marché moderne : mauvais état technique, circulation difficile, etc.,... (Kaci, 2014).  </w:t>
      </w:r>
    </w:p>
    <w:p w:rsidR="000D3F35" w:rsidRPr="008F6999" w:rsidRDefault="000D3F35" w:rsidP="008E4A4A">
      <w:pPr>
        <w:autoSpaceDE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dynamisme détermine le niveau et l’évolution des prix sur le marché des produits avicoles c’est la raison pour laquelle l’état essaie d’intervenir dans le circuit de commercialisation pour la régulation des prix de produits avicoles sur le marché et les rendre plus accessibles à travers le « contrat triangulaire » (ONAB-Abattoir-aviculteurs).</w:t>
      </w:r>
    </w:p>
    <w:p w:rsidR="00F3510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tableau  met en évidence la prédominance du commerce de détail des produits avicoles et lapins avec 519 commerçants tandis que le commerce de gros est représenté par 30 opérateurs intervenant au niveau de différents marchés</w:t>
      </w:r>
      <w:r w:rsidR="006575B8">
        <w:rPr>
          <w:rFonts w:asciiTheme="majorBidi" w:hAnsiTheme="majorBidi" w:cstheme="majorBidi"/>
          <w:sz w:val="28"/>
          <w:szCs w:val="28"/>
        </w:rPr>
        <w:t xml:space="preserve"> </w:t>
      </w:r>
      <w:r w:rsidRPr="008F6999">
        <w:rPr>
          <w:rFonts w:asciiTheme="majorBidi" w:hAnsiTheme="majorBidi" w:cstheme="majorBidi"/>
          <w:sz w:val="28"/>
          <w:szCs w:val="28"/>
        </w:rPr>
        <w:t xml:space="preserve">de la wilaya de M’sila. </w:t>
      </w:r>
    </w:p>
    <w:p w:rsidR="008E4A4A" w:rsidRDefault="008E4A4A" w:rsidP="00C65E4A">
      <w:pPr>
        <w:autoSpaceDE w:val="0"/>
        <w:autoSpaceDN w:val="0"/>
        <w:adjustRightInd w:val="0"/>
        <w:spacing w:line="312" w:lineRule="auto"/>
        <w:jc w:val="both"/>
        <w:rPr>
          <w:rFonts w:asciiTheme="majorBidi" w:hAnsiTheme="majorBidi" w:cstheme="majorBidi"/>
          <w:b/>
          <w:bCs/>
          <w:sz w:val="28"/>
          <w:szCs w:val="28"/>
        </w:rPr>
      </w:pPr>
    </w:p>
    <w:p w:rsidR="008E4A4A" w:rsidRDefault="008E4A4A" w:rsidP="00C65E4A">
      <w:pPr>
        <w:autoSpaceDE w:val="0"/>
        <w:autoSpaceDN w:val="0"/>
        <w:adjustRightInd w:val="0"/>
        <w:spacing w:line="312" w:lineRule="auto"/>
        <w:jc w:val="both"/>
        <w:rPr>
          <w:rFonts w:asciiTheme="majorBidi" w:hAnsiTheme="majorBidi" w:cstheme="majorBidi"/>
          <w:b/>
          <w:bCs/>
          <w:sz w:val="28"/>
          <w:szCs w:val="28"/>
        </w:rPr>
      </w:pPr>
    </w:p>
    <w:p w:rsidR="008E4A4A" w:rsidRDefault="008E4A4A"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537103">
        <w:rPr>
          <w:rFonts w:asciiTheme="majorBidi" w:hAnsiTheme="majorBidi" w:cstheme="majorBidi"/>
          <w:b/>
          <w:bCs/>
          <w:sz w:val="28"/>
          <w:szCs w:val="28"/>
        </w:rPr>
        <w:lastRenderedPageBreak/>
        <w:t>Tableau</w:t>
      </w:r>
      <w:r w:rsidR="006575B8">
        <w:rPr>
          <w:rFonts w:asciiTheme="majorBidi" w:hAnsiTheme="majorBidi" w:cstheme="majorBidi"/>
          <w:b/>
          <w:bCs/>
          <w:sz w:val="28"/>
          <w:szCs w:val="28"/>
        </w:rPr>
        <w:t xml:space="preserve"> 3</w:t>
      </w:r>
      <w:r w:rsidR="00F35109">
        <w:rPr>
          <w:rFonts w:asciiTheme="majorBidi" w:hAnsiTheme="majorBidi" w:cstheme="majorBidi"/>
          <w:b/>
          <w:bCs/>
          <w:sz w:val="28"/>
          <w:szCs w:val="28"/>
        </w:rPr>
        <w:t> :</w:t>
      </w:r>
      <w:r w:rsidR="00F35109">
        <w:rPr>
          <w:rFonts w:asciiTheme="majorBidi" w:hAnsiTheme="majorBidi" w:cstheme="majorBidi"/>
          <w:sz w:val="28"/>
          <w:szCs w:val="28"/>
        </w:rPr>
        <w:t xml:space="preserve"> </w:t>
      </w:r>
      <w:r w:rsidR="00F35109" w:rsidRPr="008F6999">
        <w:rPr>
          <w:rFonts w:asciiTheme="majorBidi" w:hAnsiTheme="majorBidi" w:cstheme="majorBidi"/>
          <w:sz w:val="28"/>
          <w:szCs w:val="28"/>
        </w:rPr>
        <w:t>Opérateurs</w:t>
      </w:r>
      <w:r w:rsidRPr="008F6999">
        <w:rPr>
          <w:rFonts w:asciiTheme="majorBidi" w:hAnsiTheme="majorBidi" w:cstheme="majorBidi"/>
          <w:sz w:val="28"/>
          <w:szCs w:val="28"/>
        </w:rPr>
        <w:t xml:space="preserve"> impliqués dans le commerce des produits avicoles et lapins dans la wilaya de M’sila</w:t>
      </w:r>
    </w:p>
    <w:tbl>
      <w:tblPr>
        <w:tblW w:w="8897" w:type="dxa"/>
        <w:tblLayout w:type="fixed"/>
        <w:tblCellMar>
          <w:left w:w="10" w:type="dxa"/>
          <w:right w:w="10" w:type="dxa"/>
        </w:tblCellMar>
        <w:tblLook w:val="04A0"/>
      </w:tblPr>
      <w:tblGrid>
        <w:gridCol w:w="5070"/>
        <w:gridCol w:w="1514"/>
        <w:gridCol w:w="1462"/>
        <w:gridCol w:w="851"/>
      </w:tblGrid>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b/>
                <w:bCs/>
                <w:sz w:val="28"/>
                <w:szCs w:val="28"/>
                <w:lang w:val="fr-FR"/>
              </w:rPr>
            </w:pPr>
            <w:r w:rsidRPr="008F6999">
              <w:rPr>
                <w:rFonts w:asciiTheme="majorBidi" w:hAnsiTheme="majorBidi" w:cstheme="majorBidi"/>
                <w:b/>
                <w:bCs/>
                <w:sz w:val="28"/>
                <w:szCs w:val="28"/>
                <w:lang w:val="fr-FR"/>
              </w:rPr>
              <w:t xml:space="preserve">Nature de l’activité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b/>
                <w:bCs/>
                <w:sz w:val="28"/>
                <w:szCs w:val="28"/>
                <w:lang w:val="fr-FR"/>
              </w:rPr>
            </w:pPr>
            <w:r w:rsidRPr="008F6999">
              <w:rPr>
                <w:rFonts w:asciiTheme="majorBidi" w:hAnsiTheme="majorBidi" w:cstheme="majorBidi"/>
                <w:b/>
                <w:bCs/>
                <w:sz w:val="28"/>
                <w:szCs w:val="28"/>
                <w:lang w:val="fr-FR"/>
              </w:rPr>
              <w:t>Personne physique</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b/>
                <w:bCs/>
                <w:sz w:val="28"/>
                <w:szCs w:val="28"/>
                <w:lang w:val="fr-FR"/>
              </w:rPr>
            </w:pPr>
            <w:r w:rsidRPr="008F6999">
              <w:rPr>
                <w:rFonts w:asciiTheme="majorBidi" w:hAnsiTheme="majorBidi" w:cstheme="majorBidi"/>
                <w:b/>
                <w:bCs/>
                <w:sz w:val="28"/>
                <w:szCs w:val="28"/>
                <w:lang w:val="fr-FR"/>
              </w:rPr>
              <w:t>Personne morale</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b/>
                <w:bCs/>
                <w:sz w:val="28"/>
                <w:szCs w:val="28"/>
                <w:lang w:val="fr-FR"/>
              </w:rPr>
            </w:pPr>
            <w:r w:rsidRPr="008F6999">
              <w:rPr>
                <w:rFonts w:asciiTheme="majorBidi" w:hAnsiTheme="majorBidi" w:cstheme="majorBidi"/>
                <w:b/>
                <w:bCs/>
                <w:sz w:val="28"/>
                <w:szCs w:val="28"/>
                <w:lang w:val="fr-FR"/>
              </w:rPr>
              <w:t>Total</w:t>
            </w:r>
          </w:p>
        </w:tc>
      </w:tr>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Commerce de gros de volaille, œufs et lapin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24</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06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30</w:t>
            </w:r>
          </w:p>
        </w:tc>
      </w:tr>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sz w:val="28"/>
                <w:szCs w:val="28"/>
                <w:lang w:val="fr-FR"/>
              </w:rPr>
            </w:pPr>
            <w:r w:rsidRPr="008F6999">
              <w:rPr>
                <w:rFonts w:asciiTheme="majorBidi" w:hAnsiTheme="majorBidi" w:cstheme="majorBidi"/>
                <w:sz w:val="28"/>
                <w:szCs w:val="28"/>
                <w:lang w:val="fr-FR"/>
              </w:rPr>
              <w:t>Commerce de détail de volaille, œufs et lapin</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19</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19</w:t>
            </w:r>
          </w:p>
        </w:tc>
      </w:tr>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Commerce de détail des viandes, volaille, œufs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388</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388</w:t>
            </w:r>
          </w:p>
        </w:tc>
      </w:tr>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Commerçant ambulant des volailles et lapins dans les marchés des communes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b/>
                <w:bCs/>
                <w:sz w:val="28"/>
                <w:szCs w:val="28"/>
                <w:lang w:val="fr-FR"/>
              </w:rPr>
            </w:pPr>
            <w:r w:rsidRPr="008F6999">
              <w:rPr>
                <w:rFonts w:asciiTheme="majorBidi" w:hAnsiTheme="majorBidi" w:cstheme="majorBidi"/>
                <w:b/>
                <w:bCs/>
                <w:sz w:val="28"/>
                <w:szCs w:val="28"/>
                <w:lang w:val="fr-FR"/>
              </w:rPr>
              <w:t>112</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112</w:t>
            </w:r>
          </w:p>
        </w:tc>
      </w:tr>
      <w:tr w:rsidR="000D3F35" w:rsidRPr="008F6999" w:rsidTr="00EA67A4">
        <w:tc>
          <w:tcPr>
            <w:tcW w:w="5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Total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543</w:t>
            </w:r>
          </w:p>
        </w:tc>
        <w:tc>
          <w:tcPr>
            <w:tcW w:w="14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6</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0D3F35" w:rsidRPr="008F6999" w:rsidRDefault="000D3F35" w:rsidP="00C65E4A">
            <w:pPr>
              <w:pStyle w:val="Standard"/>
              <w:bidi w:val="0"/>
              <w:spacing w:line="312" w:lineRule="auto"/>
              <w:jc w:val="center"/>
              <w:rPr>
                <w:rFonts w:asciiTheme="majorBidi" w:hAnsiTheme="majorBidi" w:cstheme="majorBidi"/>
                <w:sz w:val="28"/>
                <w:szCs w:val="28"/>
                <w:lang w:val="fr-FR"/>
              </w:rPr>
            </w:pPr>
            <w:r w:rsidRPr="008F6999">
              <w:rPr>
                <w:rFonts w:asciiTheme="majorBidi" w:hAnsiTheme="majorBidi" w:cstheme="majorBidi"/>
                <w:sz w:val="28"/>
                <w:szCs w:val="28"/>
                <w:lang w:val="fr-FR"/>
              </w:rPr>
              <w:t>549</w:t>
            </w:r>
          </w:p>
        </w:tc>
      </w:tr>
    </w:tbl>
    <w:p w:rsidR="00B07CBC" w:rsidRDefault="00B07CBC"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t xml:space="preserve">                                                                      </w:t>
      </w:r>
      <w:r w:rsidRPr="00B07CBC">
        <w:rPr>
          <w:rFonts w:asciiTheme="majorBidi" w:hAnsiTheme="majorBidi" w:cstheme="majorBidi"/>
          <w:b/>
          <w:bCs/>
          <w:sz w:val="28"/>
          <w:szCs w:val="28"/>
        </w:rPr>
        <w:t>Source :</w:t>
      </w:r>
      <w:r>
        <w:rPr>
          <w:rFonts w:asciiTheme="majorBidi" w:hAnsiTheme="majorBidi" w:cstheme="majorBidi"/>
          <w:sz w:val="28"/>
          <w:szCs w:val="28"/>
        </w:rPr>
        <w:t xml:space="preserve"> Direction commercial.</w:t>
      </w:r>
    </w:p>
    <w:p w:rsidR="000D3F35" w:rsidRPr="008F6999" w:rsidRDefault="000D3F35" w:rsidP="008E4A4A">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Du tableau ci-dessus, il ressort que les commerçants ambulants de volaille et de lapin au niveau des marchés communes est élevé (112 commerçants). Ces commerçant</w:t>
      </w:r>
      <w:r w:rsidR="006575B8">
        <w:rPr>
          <w:rFonts w:asciiTheme="majorBidi" w:hAnsiTheme="majorBidi" w:cstheme="majorBidi"/>
          <w:sz w:val="28"/>
          <w:szCs w:val="28"/>
        </w:rPr>
        <w:t xml:space="preserve"> </w:t>
      </w:r>
      <w:r w:rsidRPr="008F6999">
        <w:rPr>
          <w:rFonts w:asciiTheme="majorBidi" w:hAnsiTheme="majorBidi" w:cstheme="majorBidi"/>
          <w:sz w:val="28"/>
          <w:szCs w:val="28"/>
        </w:rPr>
        <w:t>sachètent la volaille vive  et elle la signe dans le marchés sans inspection de vétérinaire et sont vendues non plumés et non éviscérée.       Cette méthode peut conduire à la propagation des maladies parasitaire,</w:t>
      </w:r>
      <w:r w:rsidR="006575B8">
        <w:rPr>
          <w:rFonts w:asciiTheme="majorBidi" w:hAnsiTheme="majorBidi" w:cstheme="majorBidi"/>
          <w:sz w:val="28"/>
          <w:szCs w:val="28"/>
        </w:rPr>
        <w:t xml:space="preserve"> </w:t>
      </w:r>
      <w:r w:rsidRPr="008F6999">
        <w:rPr>
          <w:rFonts w:asciiTheme="majorBidi" w:hAnsiTheme="majorBidi" w:cstheme="majorBidi"/>
          <w:sz w:val="28"/>
          <w:szCs w:val="28"/>
        </w:rPr>
        <w:t>bactérienne et virales puisque l’hygiène est absente.</w:t>
      </w:r>
    </w:p>
    <w:p w:rsidR="000D3F35" w:rsidRPr="00CB390F" w:rsidRDefault="000D3F35" w:rsidP="008E4A4A">
      <w:pPr>
        <w:pStyle w:val="Standard"/>
        <w:bidi w:val="0"/>
        <w:spacing w:line="312" w:lineRule="auto"/>
        <w:ind w:firstLine="284"/>
        <w:jc w:val="both"/>
        <w:rPr>
          <w:rFonts w:asciiTheme="majorBidi" w:hAnsiTheme="majorBidi" w:cstheme="majorBidi"/>
          <w:sz w:val="28"/>
          <w:szCs w:val="28"/>
          <w:lang w:val="fr-FR"/>
        </w:rPr>
      </w:pPr>
      <w:r w:rsidRPr="008F6999">
        <w:rPr>
          <w:rFonts w:asciiTheme="majorBidi" w:hAnsiTheme="majorBidi" w:cstheme="majorBidi"/>
          <w:sz w:val="28"/>
          <w:szCs w:val="28"/>
          <w:lang w:val="fr-FR"/>
        </w:rPr>
        <w:t>Le faible prix de vente enregistré au Souk hebdomadaire par rapport à la boucherie de la même région attire les ménages de faible et moyen pouvoir d’achat qui cherchent les prix les moins chères. C’est ce qui explique le nombre élevé des commerçants ambulants des volailles et lapins dans les marchés des communes de la wilaya de M’sila</w:t>
      </w:r>
      <w:r>
        <w:rPr>
          <w:rFonts w:asciiTheme="majorBidi" w:hAnsiTheme="majorBidi" w:cstheme="majorBidi"/>
          <w:sz w:val="28"/>
          <w:szCs w:val="28"/>
          <w:lang w:val="fr-FR"/>
        </w:rPr>
        <w:t>.</w:t>
      </w:r>
    </w:p>
    <w:p w:rsidR="00B07CBC" w:rsidRDefault="00B07CBC" w:rsidP="00C65E4A">
      <w:pPr>
        <w:spacing w:line="312" w:lineRule="auto"/>
        <w:jc w:val="both"/>
        <w:rPr>
          <w:rFonts w:asciiTheme="majorBidi" w:hAnsiTheme="majorBidi" w:cstheme="majorBidi"/>
          <w:b/>
          <w:bCs/>
          <w:sz w:val="28"/>
          <w:szCs w:val="28"/>
        </w:rPr>
      </w:pPr>
    </w:p>
    <w:p w:rsidR="008E4A4A" w:rsidRDefault="008E4A4A" w:rsidP="00C65E4A">
      <w:pPr>
        <w:spacing w:line="312" w:lineRule="auto"/>
        <w:jc w:val="both"/>
        <w:rPr>
          <w:rFonts w:asciiTheme="majorBidi" w:hAnsiTheme="majorBidi" w:cstheme="majorBidi"/>
          <w:b/>
          <w:bCs/>
          <w:sz w:val="28"/>
          <w:szCs w:val="28"/>
        </w:rPr>
      </w:pP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lastRenderedPageBreak/>
        <w:t>II.2. Importance écologique </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Dans l’élevage intensif, l’aspect primordial du point de vue écologie est que les animaux métabolisent la nourriture et excrètent presque tous les éléments nutritifs dans leurs déjections (67% des déchets métaboliques) (Anonyme, 2003). Les ratios de production de fientes varient selon les espèces de la volaille, la durée d’élevage et les quantités et la qualité d’aliment consommé (Tableau</w:t>
      </w:r>
      <w:r w:rsidR="006575B8">
        <w:rPr>
          <w:rFonts w:asciiTheme="majorBidi" w:hAnsiTheme="majorBidi" w:cstheme="majorBidi"/>
          <w:sz w:val="28"/>
          <w:szCs w:val="28"/>
        </w:rPr>
        <w:t xml:space="preserve"> 4)</w:t>
      </w:r>
      <w:r w:rsidRPr="008F6999">
        <w:rPr>
          <w:rFonts w:asciiTheme="majorBidi" w:hAnsiTheme="majorBidi" w:cstheme="majorBidi"/>
          <w:sz w:val="28"/>
          <w:szCs w:val="28"/>
        </w:rPr>
        <w:t>. Selon Nouad (2011), les quantités de fientes produites à l’échelle nationale s’éta</w:t>
      </w:r>
      <w:r>
        <w:rPr>
          <w:rFonts w:asciiTheme="majorBidi" w:hAnsiTheme="majorBidi" w:cstheme="majorBidi"/>
          <w:sz w:val="28"/>
          <w:szCs w:val="28"/>
        </w:rPr>
        <w:t>blissement à plus de 1 125.000 t</w:t>
      </w:r>
      <w:r w:rsidRPr="008F6999">
        <w:rPr>
          <w:rFonts w:asciiTheme="majorBidi" w:hAnsiTheme="majorBidi" w:cstheme="majorBidi"/>
          <w:sz w:val="28"/>
          <w:szCs w:val="28"/>
        </w:rPr>
        <w:t>onnes en 2008.</w:t>
      </w:r>
    </w:p>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537103">
        <w:rPr>
          <w:rFonts w:asciiTheme="majorBidi" w:hAnsiTheme="majorBidi" w:cstheme="majorBidi"/>
          <w:b/>
          <w:bCs/>
          <w:sz w:val="28"/>
          <w:szCs w:val="28"/>
        </w:rPr>
        <w:t>Tableau</w:t>
      </w:r>
      <w:r w:rsidR="006575B8">
        <w:rPr>
          <w:rFonts w:asciiTheme="majorBidi" w:hAnsiTheme="majorBidi" w:cstheme="majorBidi"/>
          <w:b/>
          <w:bCs/>
          <w:sz w:val="28"/>
          <w:szCs w:val="28"/>
        </w:rPr>
        <w:t xml:space="preserve"> 4</w:t>
      </w:r>
      <w:r w:rsidRPr="008F6999">
        <w:rPr>
          <w:rFonts w:asciiTheme="majorBidi" w:hAnsiTheme="majorBidi" w:cstheme="majorBidi"/>
          <w:sz w:val="28"/>
          <w:szCs w:val="28"/>
        </w:rPr>
        <w:t> : Quantités de fientes produites par espèce de volaille.</w:t>
      </w:r>
    </w:p>
    <w:tbl>
      <w:tblPr>
        <w:tblStyle w:val="Grilledutableau"/>
        <w:tblW w:w="0" w:type="auto"/>
        <w:tblInd w:w="817" w:type="dxa"/>
        <w:tblLook w:val="04A0"/>
      </w:tblPr>
      <w:tblGrid>
        <w:gridCol w:w="3119"/>
        <w:gridCol w:w="4677"/>
      </w:tblGrid>
      <w:tr w:rsidR="000D3F35" w:rsidRPr="008F6999" w:rsidTr="00EA67A4">
        <w:tc>
          <w:tcPr>
            <w:tcW w:w="3119" w:type="dxa"/>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Type d’élevage</w:t>
            </w:r>
          </w:p>
        </w:tc>
        <w:tc>
          <w:tcPr>
            <w:tcW w:w="4677" w:type="dxa"/>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Quantité produite (Kg/cycle d’élevage) </w:t>
            </w:r>
          </w:p>
        </w:tc>
      </w:tr>
      <w:tr w:rsidR="000D3F35" w:rsidRPr="008F6999" w:rsidTr="00B07CBC">
        <w:trPr>
          <w:trHeight w:val="2191"/>
        </w:trPr>
        <w:tc>
          <w:tcPr>
            <w:tcW w:w="3119" w:type="dxa"/>
            <w:tcBorders>
              <w:bottom w:val="single" w:sz="4" w:space="0" w:color="auto"/>
            </w:tcBorders>
          </w:tcPr>
          <w:p w:rsidR="000D3F35" w:rsidRPr="008F6999" w:rsidRDefault="000D3F35" w:rsidP="00C65E4A">
            <w:pPr>
              <w:pStyle w:val="Paragraphedeliste"/>
              <w:numPr>
                <w:ilvl w:val="0"/>
                <w:numId w:val="9"/>
              </w:num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Poulet de chair, </w:t>
            </w:r>
          </w:p>
          <w:p w:rsidR="000D3F35" w:rsidRPr="008F6999" w:rsidRDefault="000D3F35" w:rsidP="00C65E4A">
            <w:pPr>
              <w:pStyle w:val="Paragraphedeliste"/>
              <w:numPr>
                <w:ilvl w:val="0"/>
                <w:numId w:val="9"/>
              </w:num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Poulettes, </w:t>
            </w:r>
          </w:p>
          <w:p w:rsidR="000D3F35" w:rsidRPr="008F6999" w:rsidRDefault="000D3F35" w:rsidP="00C65E4A">
            <w:pPr>
              <w:pStyle w:val="Paragraphedeliste"/>
              <w:numPr>
                <w:ilvl w:val="0"/>
                <w:numId w:val="9"/>
              </w:num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Dinde,</w:t>
            </w:r>
          </w:p>
          <w:p w:rsidR="000D3F35" w:rsidRPr="0086620D" w:rsidRDefault="000D3F35" w:rsidP="00C65E4A">
            <w:pPr>
              <w:pStyle w:val="Paragraphedeliste"/>
              <w:numPr>
                <w:ilvl w:val="0"/>
                <w:numId w:val="9"/>
              </w:num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Poules pondeuses  et reproducteurs.</w:t>
            </w:r>
          </w:p>
        </w:tc>
        <w:tc>
          <w:tcPr>
            <w:tcW w:w="4677" w:type="dxa"/>
            <w:tcBorders>
              <w:bottom w:val="single" w:sz="4" w:space="0" w:color="auto"/>
            </w:tcBorders>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w:t>
            </w:r>
          </w:p>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12</w:t>
            </w:r>
          </w:p>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15</w:t>
            </w:r>
          </w:p>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65</w:t>
            </w:r>
          </w:p>
        </w:tc>
      </w:tr>
    </w:tbl>
    <w:p w:rsidR="000D3F35" w:rsidRPr="008F6999" w:rsidRDefault="00B07CBC"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b/>
          <w:bCs/>
          <w:sz w:val="28"/>
          <w:szCs w:val="28"/>
        </w:rPr>
        <w:t xml:space="preserve">                                                                                 </w:t>
      </w:r>
      <w:r w:rsidR="000D3F35" w:rsidRPr="0086620D">
        <w:rPr>
          <w:rFonts w:asciiTheme="majorBidi" w:hAnsiTheme="majorBidi" w:cstheme="majorBidi"/>
          <w:b/>
          <w:bCs/>
          <w:sz w:val="28"/>
          <w:szCs w:val="28"/>
        </w:rPr>
        <w:t>Source</w:t>
      </w:r>
      <w:r w:rsidR="000D3F35">
        <w:rPr>
          <w:rFonts w:asciiTheme="majorBidi" w:hAnsiTheme="majorBidi" w:cstheme="majorBidi"/>
          <w:sz w:val="28"/>
          <w:szCs w:val="28"/>
        </w:rPr>
        <w:t xml:space="preserve"> : </w:t>
      </w:r>
      <w:r w:rsidR="000D3F35" w:rsidRPr="008F6999">
        <w:rPr>
          <w:rFonts w:asciiTheme="majorBidi" w:hAnsiTheme="majorBidi" w:cstheme="majorBidi"/>
          <w:sz w:val="28"/>
          <w:szCs w:val="28"/>
        </w:rPr>
        <w:t>Nouad, 2011.</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fumier qui s’accumule dans le bâtiment au cours du lot est évacué en fin de bande et le plus souvent stocké avant épandage. Ce stockage peut se faire sur une fumière ou au champ dans certaines conditions.</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plupart du temps les fumiers sont utilisés en l’état (sans transformation) soit sur l’exploitation, soit chez un tiers dans le cadre d’un plan d’épandage. Le fumier est parfois composté (retournement mécanique, aération forcée et depuis peu utilisation de complexes de microorganismes) notamment en cas d’exportation des fumiers (ITAVI, 2014).</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valorisation des fientes de volaille pour usage agricole doit pallier deux problèmes majeurs : l’élimination de polluants et l’obtention soit de produits fertilisants de haute qualité soit d’ingrédients riches en nutriments pour l’alimentation animale. Au Maroc et pendant les périodes de sécheresse, </w:t>
      </w:r>
      <w:r w:rsidRPr="008F6999">
        <w:rPr>
          <w:rFonts w:asciiTheme="majorBidi" w:hAnsiTheme="majorBidi" w:cstheme="majorBidi"/>
          <w:sz w:val="28"/>
          <w:szCs w:val="28"/>
        </w:rPr>
        <w:lastRenderedPageBreak/>
        <w:t>l’utilisation des fientes de volailles fraîches dans l’alimentation des bovins et des ovins est grandissante (El Jalil, et al., 2003).</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Dans un contexte de forte dégradation des sols algériens et du coût élevé des engrais chimiques, le recours aux fientes avicoles dans l’agriculture (cultures maraîchères, l’arboriculture et dans les cultures céréalières et les pépinières) s’est présenté comme une alternative intéressante pour la fertilisation des sols surtout que l’Algérie selon Nouad (2011) est un pays à faible consommation en fertilisant (11 kg/ha). Les fientes assurent l’amélioration de la production agricole, la baisse de coût d’investissement agricole et la préservation de l’environnement. </w:t>
      </w:r>
    </w:p>
    <w:p w:rsidR="00B07CBC"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Un apport raisonné de fiente de volailles permet la fertilisation des cultures en azote, en phosphore et en potassium, ainsi qu’un entretien du sol en calcium, en cuivre et en zinc (Tableau</w:t>
      </w:r>
      <w:r w:rsidR="00DA5FE1">
        <w:rPr>
          <w:rFonts w:asciiTheme="majorBidi" w:hAnsiTheme="majorBidi" w:cstheme="majorBidi"/>
          <w:sz w:val="28"/>
          <w:szCs w:val="28"/>
        </w:rPr>
        <w:t xml:space="preserve"> 5)</w:t>
      </w:r>
      <w:r w:rsidRPr="008F6999">
        <w:rPr>
          <w:rFonts w:asciiTheme="majorBidi" w:hAnsiTheme="majorBidi" w:cstheme="majorBidi"/>
          <w:sz w:val="28"/>
          <w:szCs w:val="28"/>
        </w:rPr>
        <w:t xml:space="preserve">. La matière organique apportée par les fientes de volailles est rapidement minéralisée et ne se maintient donc pas dans le sol. Elle a donc peu d’effet sur l’entretien humique du sol. La composition en fertilisants des fientes de volailles est variable selon l’espèce de la volaille, l’alimentation, le type du sol, la litière, la manutention des produits  et le mode de stockage des fientes (ITAVI, 2001).  </w:t>
      </w: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8E4A4A" w:rsidRDefault="008E4A4A" w:rsidP="008E4A4A">
      <w:pPr>
        <w:autoSpaceDE w:val="0"/>
        <w:autoSpaceDN w:val="0"/>
        <w:adjustRightInd w:val="0"/>
        <w:spacing w:line="312" w:lineRule="auto"/>
        <w:ind w:firstLine="284"/>
        <w:jc w:val="both"/>
        <w:rPr>
          <w:rFonts w:asciiTheme="majorBidi" w:hAnsiTheme="majorBidi" w:cstheme="majorBidi"/>
          <w:sz w:val="28"/>
          <w:szCs w:val="28"/>
        </w:rPr>
      </w:pPr>
    </w:p>
    <w:p w:rsidR="000D3F35" w:rsidRPr="00B07CBC" w:rsidRDefault="000D3F35" w:rsidP="008E4A4A">
      <w:pPr>
        <w:autoSpaceDE w:val="0"/>
        <w:autoSpaceDN w:val="0"/>
        <w:adjustRightInd w:val="0"/>
        <w:spacing w:line="312" w:lineRule="auto"/>
        <w:ind w:firstLine="284"/>
        <w:jc w:val="both"/>
        <w:rPr>
          <w:rFonts w:asciiTheme="majorBidi" w:hAnsiTheme="majorBidi" w:cstheme="majorBidi"/>
          <w:b/>
          <w:bCs/>
          <w:sz w:val="28"/>
          <w:szCs w:val="28"/>
        </w:rPr>
      </w:pPr>
      <w:r w:rsidRPr="008F6999">
        <w:rPr>
          <w:rFonts w:asciiTheme="majorBidi" w:hAnsiTheme="majorBidi" w:cstheme="majorBidi"/>
          <w:sz w:val="28"/>
          <w:szCs w:val="28"/>
        </w:rPr>
        <w:lastRenderedPageBreak/>
        <w:t xml:space="preserve"> </w:t>
      </w:r>
      <w:r w:rsidR="00697844">
        <w:rPr>
          <w:rFonts w:asciiTheme="majorBidi" w:hAnsiTheme="majorBidi" w:cstheme="majorBidi"/>
          <w:b/>
          <w:bCs/>
          <w:sz w:val="28"/>
          <w:szCs w:val="28"/>
        </w:rPr>
        <w:t xml:space="preserve">                    </w:t>
      </w:r>
      <w:r w:rsidRPr="00537103">
        <w:rPr>
          <w:rFonts w:asciiTheme="majorBidi" w:hAnsiTheme="majorBidi" w:cstheme="majorBidi"/>
          <w:b/>
          <w:bCs/>
          <w:sz w:val="28"/>
          <w:szCs w:val="28"/>
        </w:rPr>
        <w:t>Tableau</w:t>
      </w:r>
      <w:r w:rsidR="006575B8">
        <w:rPr>
          <w:rFonts w:asciiTheme="majorBidi" w:hAnsiTheme="majorBidi" w:cstheme="majorBidi"/>
          <w:b/>
          <w:bCs/>
          <w:sz w:val="28"/>
          <w:szCs w:val="28"/>
        </w:rPr>
        <w:t xml:space="preserve"> 5</w:t>
      </w:r>
      <w:r w:rsidRPr="008F6999">
        <w:rPr>
          <w:rFonts w:asciiTheme="majorBidi" w:hAnsiTheme="majorBidi" w:cstheme="majorBidi"/>
          <w:sz w:val="28"/>
          <w:szCs w:val="28"/>
        </w:rPr>
        <w:t> : Composition chimique des fientes de volailles</w:t>
      </w:r>
    </w:p>
    <w:tbl>
      <w:tblPr>
        <w:tblStyle w:val="Grilledutableau"/>
        <w:tblpPr w:leftFromText="141" w:rightFromText="141" w:vertAnchor="text" w:horzAnchor="margin" w:tblpXSpec="center" w:tblpY="384"/>
        <w:tblW w:w="6345" w:type="dxa"/>
        <w:tblLook w:val="0420"/>
      </w:tblPr>
      <w:tblGrid>
        <w:gridCol w:w="2093"/>
        <w:gridCol w:w="2126"/>
        <w:gridCol w:w="2126"/>
      </w:tblGrid>
      <w:tr w:rsidR="000D3F35" w:rsidRPr="008F6999" w:rsidTr="00EA67A4">
        <w:trPr>
          <w:trHeight w:val="419"/>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Composition </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Poulet de chair</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Poule pondeuse</w:t>
            </w:r>
          </w:p>
        </w:tc>
      </w:tr>
      <w:tr w:rsidR="000D3F35" w:rsidRPr="008F6999" w:rsidTr="00EA67A4">
        <w:trPr>
          <w:trHeight w:val="427"/>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MAT (%)</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18,8</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16,6</w:t>
            </w:r>
          </w:p>
        </w:tc>
      </w:tr>
      <w:tr w:rsidR="000D3F35" w:rsidRPr="008F6999" w:rsidTr="00EA67A4">
        <w:trPr>
          <w:trHeight w:val="449"/>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P (%)</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0,56</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0,45</w:t>
            </w:r>
          </w:p>
        </w:tc>
      </w:tr>
      <w:tr w:rsidR="000D3F35" w:rsidRPr="008F6999" w:rsidTr="00EA67A4">
        <w:trPr>
          <w:trHeight w:val="315"/>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K (%)</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0,83</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0,77</w:t>
            </w:r>
          </w:p>
        </w:tc>
      </w:tr>
      <w:tr w:rsidR="000D3F35" w:rsidRPr="008F6999" w:rsidTr="00EA67A4">
        <w:trPr>
          <w:trHeight w:val="337"/>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Ca (%)</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0,92</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3,58</w:t>
            </w:r>
          </w:p>
        </w:tc>
      </w:tr>
      <w:tr w:rsidR="000D3F35" w:rsidRPr="008F6999" w:rsidTr="00EA67A4">
        <w:trPr>
          <w:trHeight w:val="331"/>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Zn (mg/kg)</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78</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10</w:t>
            </w:r>
          </w:p>
        </w:tc>
      </w:tr>
      <w:tr w:rsidR="000D3F35" w:rsidRPr="008F6999" w:rsidTr="00EA67A4">
        <w:trPr>
          <w:trHeight w:val="353"/>
        </w:trPr>
        <w:tc>
          <w:tcPr>
            <w:tcW w:w="2093"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Cu : (mg/kg)</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17</w:t>
            </w:r>
          </w:p>
        </w:tc>
        <w:tc>
          <w:tcPr>
            <w:tcW w:w="2126" w:type="dxa"/>
            <w:hideMark/>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73</w:t>
            </w:r>
          </w:p>
        </w:tc>
      </w:tr>
      <w:tr w:rsidR="000D3F35" w:rsidRPr="008F6999" w:rsidTr="00EA67A4">
        <w:trPr>
          <w:trHeight w:val="353"/>
        </w:trPr>
        <w:tc>
          <w:tcPr>
            <w:tcW w:w="2093" w:type="dxa"/>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MS (%)</w:t>
            </w:r>
          </w:p>
        </w:tc>
        <w:tc>
          <w:tcPr>
            <w:tcW w:w="2126" w:type="dxa"/>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55-75</w:t>
            </w:r>
          </w:p>
        </w:tc>
        <w:tc>
          <w:tcPr>
            <w:tcW w:w="2126" w:type="dxa"/>
          </w:tcPr>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35-45</w:t>
            </w:r>
          </w:p>
        </w:tc>
      </w:tr>
    </w:tbl>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p>
    <w:p w:rsidR="006575B8" w:rsidRPr="008F6999" w:rsidRDefault="00B07CBC"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sz w:val="28"/>
          <w:szCs w:val="28"/>
        </w:rPr>
        <w:t xml:space="preserve">                                                                     </w:t>
      </w:r>
      <w:r w:rsidR="006575B8" w:rsidRPr="00537103">
        <w:rPr>
          <w:rFonts w:asciiTheme="majorBidi" w:hAnsiTheme="majorBidi" w:cstheme="majorBidi"/>
          <w:b/>
          <w:bCs/>
          <w:sz w:val="28"/>
          <w:szCs w:val="28"/>
        </w:rPr>
        <w:t>Source</w:t>
      </w:r>
      <w:r w:rsidR="006575B8" w:rsidRPr="008F6999">
        <w:rPr>
          <w:rFonts w:asciiTheme="majorBidi" w:hAnsiTheme="majorBidi" w:cstheme="majorBidi"/>
          <w:sz w:val="28"/>
          <w:szCs w:val="28"/>
        </w:rPr>
        <w:t> : ITAVI, 2001.</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color w:val="231F20"/>
          <w:sz w:val="28"/>
          <w:szCs w:val="28"/>
        </w:rPr>
      </w:pPr>
      <w:r w:rsidRPr="008F6999">
        <w:rPr>
          <w:rFonts w:asciiTheme="majorBidi" w:hAnsiTheme="majorBidi" w:cstheme="majorBidi"/>
          <w:sz w:val="28"/>
          <w:szCs w:val="28"/>
        </w:rPr>
        <w:t>Les fumiers de volailles compte tenu de la richesse en éléments fertilisants (le taux d’azote et de phosphore est 4 à 5 fois plus élevé que dans un fumier de bovins) leur épandage s’effectue à des doses agronomiques de 4 à 6 t/ha (ITAVI, 2014). L’agriculteur n</w:t>
      </w:r>
      <w:r w:rsidRPr="008F6999">
        <w:rPr>
          <w:rFonts w:asciiTheme="majorBidi" w:hAnsiTheme="majorBidi" w:cstheme="majorBidi"/>
          <w:color w:val="231F20"/>
          <w:sz w:val="28"/>
          <w:szCs w:val="28"/>
        </w:rPr>
        <w:t>e doit pas dépasser des apports d’éléments nutritifs correspondant aux besoins des cultures.</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rPr>
      </w:pPr>
      <w:r w:rsidRPr="008F6999">
        <w:rPr>
          <w:rFonts w:asciiTheme="majorBidi" w:hAnsiTheme="majorBidi" w:cstheme="majorBidi"/>
          <w:color w:val="231F20"/>
          <w:sz w:val="28"/>
          <w:szCs w:val="28"/>
        </w:rPr>
        <w:t>Par exemple, 6,5 t/ha de fiente de poule pondeuse apportent :</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rPr>
      </w:pPr>
      <w:r w:rsidRPr="008F6999">
        <w:rPr>
          <w:rFonts w:asciiTheme="majorBidi" w:hAnsiTheme="majorBidi" w:cstheme="majorBidi"/>
          <w:color w:val="231F20"/>
          <w:sz w:val="28"/>
          <w:szCs w:val="28"/>
        </w:rPr>
        <w:t>– 200 kg/ha d’azote total dont environ 120 kg disponibles pour la culture ;</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lang w:val="en-US"/>
        </w:rPr>
      </w:pPr>
      <w:r w:rsidRPr="008F6999">
        <w:rPr>
          <w:rFonts w:asciiTheme="majorBidi" w:hAnsiTheme="majorBidi" w:cstheme="majorBidi"/>
          <w:color w:val="231F20"/>
          <w:sz w:val="28"/>
          <w:szCs w:val="28"/>
          <w:lang w:val="en-US"/>
        </w:rPr>
        <w:t>– 160 kg/ha P2O5 dont 103 kg assimilables ;</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lang w:val="en-US"/>
        </w:rPr>
      </w:pPr>
      <w:r w:rsidRPr="008F6999">
        <w:rPr>
          <w:rFonts w:asciiTheme="majorBidi" w:hAnsiTheme="majorBidi" w:cstheme="majorBidi"/>
          <w:color w:val="231F20"/>
          <w:sz w:val="28"/>
          <w:szCs w:val="28"/>
          <w:lang w:val="en-US"/>
        </w:rPr>
        <w:t>– 137 kg/ha K2O assimilables ;</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lang w:val="en-US"/>
        </w:rPr>
      </w:pPr>
      <w:r w:rsidRPr="008F6999">
        <w:rPr>
          <w:rFonts w:asciiTheme="majorBidi" w:hAnsiTheme="majorBidi" w:cstheme="majorBidi"/>
          <w:color w:val="231F20"/>
          <w:sz w:val="28"/>
          <w:szCs w:val="28"/>
          <w:lang w:val="en-US"/>
        </w:rPr>
        <w:t>– 393 kg/ha CaO ;</w:t>
      </w:r>
    </w:p>
    <w:p w:rsidR="000D3F35" w:rsidRPr="008F6999" w:rsidRDefault="000D3F35" w:rsidP="00C65E4A">
      <w:pPr>
        <w:autoSpaceDE w:val="0"/>
        <w:autoSpaceDN w:val="0"/>
        <w:adjustRightInd w:val="0"/>
        <w:spacing w:line="312" w:lineRule="auto"/>
        <w:jc w:val="both"/>
        <w:rPr>
          <w:rFonts w:asciiTheme="majorBidi" w:hAnsiTheme="majorBidi" w:cstheme="majorBidi"/>
          <w:color w:val="231F20"/>
          <w:sz w:val="28"/>
          <w:szCs w:val="28"/>
        </w:rPr>
      </w:pPr>
      <w:r w:rsidRPr="008F6999">
        <w:rPr>
          <w:rFonts w:asciiTheme="majorBidi" w:hAnsiTheme="majorBidi" w:cstheme="majorBidi"/>
          <w:color w:val="231F20"/>
          <w:sz w:val="28"/>
          <w:szCs w:val="28"/>
        </w:rPr>
        <w:t>– 44 kg/ha MgO ;</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color w:val="231F20"/>
          <w:sz w:val="28"/>
          <w:szCs w:val="28"/>
        </w:rPr>
        <w:t>– 2 425 kg/ha de matière organique fournissant au sol 325 kg/ha d’humus.</w:t>
      </w:r>
    </w:p>
    <w:p w:rsidR="000D3F35" w:rsidRPr="008F6999" w:rsidRDefault="000D3F35" w:rsidP="00C65E4A">
      <w:pPr>
        <w:spacing w:line="312" w:lineRule="auto"/>
        <w:rPr>
          <w:rFonts w:asciiTheme="majorBidi" w:hAnsiTheme="majorBidi" w:cstheme="majorBidi"/>
          <w:b/>
          <w:bCs/>
          <w:sz w:val="28"/>
          <w:szCs w:val="28"/>
        </w:rPr>
      </w:pPr>
    </w:p>
    <w:p w:rsidR="000D3F35" w:rsidRPr="008F6999" w:rsidRDefault="000D3F35" w:rsidP="00C65E4A">
      <w:pPr>
        <w:tabs>
          <w:tab w:val="left" w:pos="5677"/>
        </w:tabs>
        <w:spacing w:line="312" w:lineRule="auto"/>
        <w:ind w:left="142"/>
        <w:rPr>
          <w:rFonts w:asciiTheme="majorBidi" w:hAnsiTheme="majorBidi" w:cstheme="majorBidi"/>
          <w:b/>
          <w:bCs/>
          <w:sz w:val="28"/>
          <w:szCs w:val="28"/>
        </w:rPr>
      </w:pPr>
      <w:r w:rsidRPr="008F6999">
        <w:rPr>
          <w:rFonts w:asciiTheme="majorBidi" w:hAnsiTheme="majorBidi" w:cstheme="majorBidi"/>
          <w:b/>
          <w:bCs/>
          <w:sz w:val="28"/>
          <w:szCs w:val="28"/>
        </w:rPr>
        <w:lastRenderedPageBreak/>
        <w:t>II.3. Importance dans la sécurité alimentaire</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poulaille</w:t>
      </w:r>
      <w:r>
        <w:rPr>
          <w:rFonts w:asciiTheme="majorBidi" w:hAnsiTheme="majorBidi" w:cstheme="majorBidi"/>
          <w:sz w:val="28"/>
          <w:szCs w:val="28"/>
        </w:rPr>
        <w:t>s approvisionnent les villes en</w:t>
      </w:r>
      <w:r w:rsidRPr="008F6999">
        <w:rPr>
          <w:rFonts w:asciiTheme="majorBidi" w:hAnsiTheme="majorBidi" w:cstheme="majorBidi"/>
          <w:sz w:val="28"/>
          <w:szCs w:val="28"/>
        </w:rPr>
        <w:t xml:space="preserve"> produits avicoles qui sont d’excellente source de protéines animales et se vendent à des prix abordables. Les produits sont représentés par des œufs de consommation (œufs en coquille, poudre d'œufs et </w:t>
      </w:r>
      <w:r w:rsidR="00201C1F">
        <w:rPr>
          <w:rFonts w:asciiTheme="majorBidi" w:hAnsiTheme="majorBidi" w:cstheme="majorBidi"/>
          <w:sz w:val="28"/>
          <w:szCs w:val="28"/>
        </w:rPr>
        <w:t>ovo</w:t>
      </w:r>
      <w:r w:rsidR="00201C1F" w:rsidRPr="008F6999">
        <w:rPr>
          <w:rFonts w:asciiTheme="majorBidi" w:hAnsiTheme="majorBidi" w:cstheme="majorBidi"/>
          <w:sz w:val="28"/>
          <w:szCs w:val="28"/>
        </w:rPr>
        <w:t>produits</w:t>
      </w:r>
      <w:r w:rsidRPr="008F6999">
        <w:rPr>
          <w:rFonts w:asciiTheme="majorBidi" w:hAnsiTheme="majorBidi" w:cstheme="majorBidi"/>
          <w:sz w:val="28"/>
          <w:szCs w:val="28"/>
        </w:rPr>
        <w:t xml:space="preserve"> liquides) et des viandes blanches (poulets éviscérés, découpés en morceaux, plats préparés…). En Algérie, la production avicole participe avec plus de 50% à la couverture des besoins en</w:t>
      </w:r>
      <w:r w:rsidRPr="008F6999">
        <w:rPr>
          <w:rStyle w:val="apple-converted-space"/>
          <w:rFonts w:asciiTheme="majorBidi" w:hAnsiTheme="majorBidi" w:cstheme="majorBidi"/>
          <w:sz w:val="28"/>
          <w:szCs w:val="28"/>
        </w:rPr>
        <w:t> </w:t>
      </w:r>
      <w:r w:rsidRPr="008F6999">
        <w:rPr>
          <w:rStyle w:val="x6ygnig0w"/>
          <w:rFonts w:asciiTheme="majorBidi" w:hAnsiTheme="majorBidi" w:cstheme="majorBidi"/>
          <w:sz w:val="28"/>
          <w:szCs w:val="28"/>
        </w:rPr>
        <w:t>produits alimentaires</w:t>
      </w:r>
      <w:r w:rsidRPr="008F6999">
        <w:rPr>
          <w:rStyle w:val="apple-converted-space"/>
          <w:rFonts w:asciiTheme="majorBidi" w:hAnsiTheme="majorBidi" w:cstheme="majorBidi"/>
          <w:sz w:val="28"/>
          <w:szCs w:val="28"/>
        </w:rPr>
        <w:t> </w:t>
      </w:r>
      <w:r w:rsidRPr="008F6999">
        <w:rPr>
          <w:rFonts w:asciiTheme="majorBidi" w:hAnsiTheme="majorBidi" w:cstheme="majorBidi"/>
          <w:sz w:val="28"/>
          <w:szCs w:val="28"/>
        </w:rPr>
        <w:t>d’origine animale.</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color w:val="000000"/>
          <w:sz w:val="28"/>
          <w:szCs w:val="28"/>
        </w:rPr>
      </w:pPr>
      <w:r w:rsidRPr="00076083">
        <w:rPr>
          <w:rFonts w:asciiTheme="majorBidi" w:eastAsia="Times New Roman" w:hAnsiTheme="majorBidi" w:cstheme="majorBidi"/>
          <w:sz w:val="28"/>
          <w:szCs w:val="28"/>
        </w:rPr>
        <w:t>Le président du Conseil national interprofessionnel d'aviculture a affirmé, récemment  à Mascara lors d'un colloque national sur les perspectives de l'aviculture en Algérie, que  le citoyen algérien, consomme en moyenne 16 kilos de viandes blanches et 90 œufs chaque année, loin de la moyenne mondiale estimée à 30</w:t>
      </w:r>
      <w:r w:rsidRPr="008F6999">
        <w:rPr>
          <w:rFonts w:asciiTheme="majorBidi" w:eastAsia="Times New Roman" w:hAnsiTheme="majorBidi" w:cstheme="majorBidi"/>
          <w:sz w:val="28"/>
          <w:szCs w:val="28"/>
        </w:rPr>
        <w:t xml:space="preserve"> kilos de viande de poulet et 220 œufs (Le Maghreb, 2015).</w:t>
      </w:r>
      <w:r w:rsidRPr="008F6999">
        <w:rPr>
          <w:rFonts w:asciiTheme="majorBidi" w:hAnsiTheme="majorBidi" w:cstheme="majorBidi"/>
          <w:color w:val="000000"/>
          <w:sz w:val="28"/>
          <w:szCs w:val="28"/>
        </w:rPr>
        <w:t xml:space="preserve"> Ainsi, la consommation de volailles dans l’UE représentera 30 % de la consommation totale de viande (après le porc qui en représente 49 %). </w:t>
      </w:r>
    </w:p>
    <w:p w:rsidR="000D3F35" w:rsidRPr="008F6999" w:rsidRDefault="000D3F35" w:rsidP="008E4A4A">
      <w:pPr>
        <w:autoSpaceDE w:val="0"/>
        <w:autoSpaceDN w:val="0"/>
        <w:adjustRightInd w:val="0"/>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En 2014, la production mondiale de viande de volailles est estimée à 110 MT, soit une augmentation de 2,4 % par rapport à 2013 où la production s’établit à 107,4 MT. Les perspectives agricoles de la FAO et de l’OCDE montrent que l’on peut s’attendre à une progression de la production de volailles de 2,3 % par an de 2013 à 2023, tandis que la production toutes viandes confondues augmenterait seulement de 1,6 % par an. La volaille deviendrait alors, d’ici 2020, la première production de viandes dans le monde (134,5 MT en 2023), principalement afin de répondre à l’évolution des préférences alimentaires (ITAVI,  2014).</w:t>
      </w:r>
    </w:p>
    <w:p w:rsidR="000D3F35" w:rsidRPr="008F6999" w:rsidRDefault="000D3F35" w:rsidP="008E4A4A">
      <w:pPr>
        <w:tabs>
          <w:tab w:val="num" w:pos="720"/>
          <w:tab w:val="left" w:pos="7088"/>
        </w:tabs>
        <w:autoSpaceDE w:val="0"/>
        <w:autoSpaceDN w:val="0"/>
        <w:adjustRightInd w:val="0"/>
        <w:spacing w:line="312" w:lineRule="auto"/>
        <w:ind w:firstLine="284"/>
        <w:jc w:val="both"/>
        <w:rPr>
          <w:rFonts w:asciiTheme="majorBidi" w:eastAsia="Times New Roman" w:hAnsiTheme="majorBidi" w:cstheme="majorBidi"/>
          <w:sz w:val="28"/>
          <w:szCs w:val="28"/>
        </w:rPr>
      </w:pPr>
      <w:r w:rsidRPr="008F6999">
        <w:rPr>
          <w:rFonts w:asciiTheme="majorBidi" w:hAnsiTheme="majorBidi" w:cstheme="majorBidi"/>
          <w:sz w:val="28"/>
          <w:szCs w:val="28"/>
        </w:rPr>
        <w:t>En Algérie, l</w:t>
      </w:r>
      <w:r w:rsidRPr="008F6999">
        <w:rPr>
          <w:rFonts w:asciiTheme="majorBidi" w:eastAsia="Times New Roman" w:hAnsiTheme="majorBidi" w:cstheme="majorBidi"/>
          <w:sz w:val="28"/>
          <w:szCs w:val="28"/>
        </w:rPr>
        <w:t xml:space="preserve">a production des viandes de volailles, toute espèce confondue, est estimée à 280825 tonnes en 2012 (FAOSTAT, 2015). Cette production est dominée par la viande de poulet qui représente 90.01% suivi par la viande de la dinde avec 8.5% et 1.5% pour les viandes des autres espèces (canard, oie, pintade …). </w:t>
      </w:r>
    </w:p>
    <w:p w:rsidR="000D3F35" w:rsidRPr="008F6999" w:rsidRDefault="000D3F35" w:rsidP="008E4A4A">
      <w:pPr>
        <w:tabs>
          <w:tab w:val="num" w:pos="720"/>
          <w:tab w:val="left" w:pos="7088"/>
        </w:tabs>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eastAsia="Times New Roman" w:hAnsiTheme="majorBidi" w:cstheme="majorBidi"/>
          <w:sz w:val="28"/>
          <w:szCs w:val="28"/>
        </w:rPr>
        <w:t xml:space="preserve">La production des viandes de volailles a augmenté durant la dernière décennie de 15.6 % par an pour passer de 243000 de tonnes en 2002 à 280825 de tonnes </w:t>
      </w:r>
      <w:r w:rsidRPr="008F6999">
        <w:rPr>
          <w:rFonts w:asciiTheme="majorBidi" w:eastAsia="Times New Roman" w:hAnsiTheme="majorBidi" w:cstheme="majorBidi"/>
          <w:sz w:val="28"/>
          <w:szCs w:val="28"/>
        </w:rPr>
        <w:lastRenderedPageBreak/>
        <w:t xml:space="preserve">en 2012 représentant une valeur de 120 milliards DA. La production des œufs de consommation a augmenté de leur part lors de la même période de 9 %, passant de 4 milliards d’œufs à 6 milliards d'œufs, pour une valeur de 64 milliards DA. </w:t>
      </w:r>
    </w:p>
    <w:p w:rsidR="000D3F35" w:rsidRPr="008F6999" w:rsidRDefault="000D3F35" w:rsidP="008E4A4A">
      <w:pPr>
        <w:pStyle w:val="Standard"/>
        <w:bidi w:val="0"/>
        <w:spacing w:line="312" w:lineRule="auto"/>
        <w:ind w:firstLine="284"/>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L’augmentation de la production de viandes des volailles peut s’expliquer par l’accroissement de la demande sur ces produits et par les prix plus bas par rapport aux autres viandes. </w:t>
      </w:r>
    </w:p>
    <w:p w:rsidR="000D3F35" w:rsidRPr="008F6999" w:rsidRDefault="000D3F35" w:rsidP="008E4A4A">
      <w:pPr>
        <w:pStyle w:val="Standard"/>
        <w:bidi w:val="0"/>
        <w:spacing w:line="312" w:lineRule="auto"/>
        <w:ind w:firstLine="284"/>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Sur une décennie allant de 2004 à 2014, le prix moyen de viandes de volailles s’établit à 261 DA/Kg de poulet (±37.4DA) contre 806 DA/kg pour la viande ovine et 673 DA/kg pour la viande bovine. </w:t>
      </w:r>
    </w:p>
    <w:p w:rsidR="00697844" w:rsidRDefault="000D3F35" w:rsidP="008E4A4A">
      <w:pPr>
        <w:pStyle w:val="Standard"/>
        <w:bidi w:val="0"/>
        <w:spacing w:line="312" w:lineRule="auto"/>
        <w:ind w:firstLine="284"/>
        <w:jc w:val="both"/>
        <w:rPr>
          <w:rFonts w:asciiTheme="majorBidi" w:hAnsiTheme="majorBidi" w:cstheme="majorBidi"/>
          <w:sz w:val="28"/>
          <w:szCs w:val="28"/>
          <w:lang w:val="fr-FR"/>
        </w:rPr>
      </w:pPr>
      <w:r w:rsidRPr="008F6999">
        <w:rPr>
          <w:rFonts w:asciiTheme="majorBidi" w:hAnsiTheme="majorBidi" w:cstheme="majorBidi"/>
          <w:sz w:val="28"/>
          <w:szCs w:val="28"/>
          <w:lang w:val="fr-FR"/>
        </w:rPr>
        <w:t xml:space="preserve">Le grand écart du prix  (-545 et -412DA/kg  respectivement) qui est en faveur des viandes de volailles et au détriment des viandes rouges, rend les viandes de volailles plus attractives pour la ménagère algérienne (Figure 3 et tableau 4). </w:t>
      </w:r>
    </w:p>
    <w:p w:rsidR="00697844" w:rsidRDefault="00697844" w:rsidP="008E4A4A">
      <w:pPr>
        <w:pStyle w:val="Standard"/>
        <w:bidi w:val="0"/>
        <w:spacing w:line="312" w:lineRule="auto"/>
        <w:ind w:firstLine="284"/>
        <w:jc w:val="both"/>
        <w:rPr>
          <w:rFonts w:asciiTheme="majorBidi" w:hAnsiTheme="majorBidi" w:cstheme="majorBidi"/>
          <w:sz w:val="28"/>
          <w:szCs w:val="28"/>
          <w:lang w:val="fr-FR"/>
        </w:rPr>
      </w:pPr>
    </w:p>
    <w:p w:rsidR="00697844" w:rsidRDefault="00697844" w:rsidP="008E4A4A">
      <w:pPr>
        <w:pStyle w:val="Standard"/>
        <w:bidi w:val="0"/>
        <w:spacing w:line="312" w:lineRule="auto"/>
        <w:ind w:firstLine="284"/>
        <w:jc w:val="both"/>
        <w:rPr>
          <w:rFonts w:asciiTheme="majorBidi" w:hAnsiTheme="majorBidi" w:cstheme="majorBidi"/>
          <w:sz w:val="28"/>
          <w:szCs w:val="28"/>
          <w:lang w:val="fr-FR"/>
        </w:rPr>
      </w:pPr>
    </w:p>
    <w:p w:rsidR="00697844" w:rsidRDefault="00697844" w:rsidP="008E4A4A">
      <w:pPr>
        <w:pStyle w:val="Standard"/>
        <w:bidi w:val="0"/>
        <w:spacing w:line="312" w:lineRule="auto"/>
        <w:ind w:firstLine="284"/>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697844" w:rsidRDefault="00697844" w:rsidP="00C65E4A">
      <w:pPr>
        <w:pStyle w:val="Standard"/>
        <w:bidi w:val="0"/>
        <w:spacing w:line="312" w:lineRule="auto"/>
        <w:jc w:val="both"/>
        <w:rPr>
          <w:rFonts w:asciiTheme="majorBidi" w:hAnsiTheme="majorBidi" w:cstheme="majorBidi"/>
          <w:sz w:val="28"/>
          <w:szCs w:val="28"/>
          <w:lang w:val="fr-FR"/>
        </w:rPr>
      </w:pPr>
    </w:p>
    <w:p w:rsidR="008E4A4A" w:rsidRDefault="008E4A4A" w:rsidP="008E4A4A">
      <w:pPr>
        <w:pStyle w:val="Standard"/>
        <w:bidi w:val="0"/>
        <w:spacing w:line="312" w:lineRule="auto"/>
        <w:jc w:val="both"/>
        <w:rPr>
          <w:rFonts w:asciiTheme="majorBidi" w:hAnsiTheme="majorBidi" w:cstheme="majorBidi"/>
          <w:sz w:val="28"/>
          <w:szCs w:val="28"/>
          <w:lang w:val="fr-FR"/>
        </w:rPr>
      </w:pPr>
    </w:p>
    <w:p w:rsidR="008E4A4A" w:rsidRDefault="008E4A4A" w:rsidP="008E4A4A">
      <w:pPr>
        <w:pStyle w:val="Standard"/>
        <w:bidi w:val="0"/>
        <w:spacing w:line="312" w:lineRule="auto"/>
        <w:jc w:val="both"/>
        <w:rPr>
          <w:rFonts w:asciiTheme="majorBidi" w:hAnsiTheme="majorBidi" w:cstheme="majorBidi"/>
          <w:sz w:val="28"/>
          <w:szCs w:val="28"/>
          <w:lang w:val="fr-FR"/>
        </w:rPr>
      </w:pPr>
    </w:p>
    <w:p w:rsidR="00697844" w:rsidRPr="00697844" w:rsidRDefault="000D3F35" w:rsidP="00C65E4A">
      <w:pPr>
        <w:pStyle w:val="Standard"/>
        <w:bidi w:val="0"/>
        <w:spacing w:line="312" w:lineRule="auto"/>
        <w:jc w:val="both"/>
        <w:rPr>
          <w:rFonts w:asciiTheme="majorBidi" w:hAnsiTheme="majorBidi" w:cstheme="majorBidi"/>
          <w:b/>
          <w:bCs/>
          <w:sz w:val="28"/>
          <w:szCs w:val="28"/>
          <w:lang w:val="fr-FR"/>
        </w:rPr>
      </w:pPr>
      <w:r w:rsidRPr="006575B8">
        <w:rPr>
          <w:rFonts w:asciiTheme="majorBidi" w:hAnsiTheme="majorBidi" w:cstheme="majorBidi"/>
          <w:b/>
          <w:bCs/>
          <w:sz w:val="28"/>
          <w:szCs w:val="28"/>
          <w:lang w:val="fr-FR"/>
        </w:rPr>
        <w:lastRenderedPageBreak/>
        <w:t xml:space="preserve">Tableau </w:t>
      </w:r>
      <w:r w:rsidR="006575B8" w:rsidRPr="006575B8">
        <w:rPr>
          <w:rFonts w:asciiTheme="majorBidi" w:hAnsiTheme="majorBidi" w:cstheme="majorBidi"/>
          <w:b/>
          <w:bCs/>
          <w:sz w:val="28"/>
          <w:szCs w:val="28"/>
          <w:lang w:val="fr-FR"/>
        </w:rPr>
        <w:t>6</w:t>
      </w:r>
      <w:r w:rsidRPr="006575B8">
        <w:rPr>
          <w:rFonts w:asciiTheme="majorBidi" w:hAnsiTheme="majorBidi" w:cstheme="majorBidi"/>
          <w:b/>
          <w:bCs/>
          <w:sz w:val="28"/>
          <w:szCs w:val="28"/>
          <w:lang w:val="fr-FR"/>
        </w:rPr>
        <w:t xml:space="preserve"> :</w:t>
      </w:r>
      <w:r w:rsidR="006575B8" w:rsidRPr="006575B8">
        <w:rPr>
          <w:rFonts w:asciiTheme="majorBidi" w:hAnsiTheme="majorBidi" w:cstheme="majorBidi"/>
          <w:b/>
          <w:bCs/>
          <w:sz w:val="28"/>
          <w:szCs w:val="28"/>
          <w:lang w:val="fr-FR"/>
        </w:rPr>
        <w:t xml:space="preserve"> </w:t>
      </w:r>
      <w:r w:rsidRPr="006575B8">
        <w:rPr>
          <w:rFonts w:asciiTheme="majorBidi" w:hAnsiTheme="majorBidi" w:cstheme="majorBidi"/>
          <w:sz w:val="28"/>
          <w:szCs w:val="28"/>
          <w:lang w:val="fr-FR"/>
        </w:rPr>
        <w:t>Evolution des prix des viandes ovine, bovine et de volailles</w:t>
      </w:r>
      <w:r w:rsidR="00697844">
        <w:rPr>
          <w:rFonts w:asciiTheme="majorBidi" w:hAnsiTheme="majorBidi" w:cstheme="majorBidi"/>
          <w:sz w:val="28"/>
          <w:szCs w:val="28"/>
          <w:lang w:val="fr-FR"/>
        </w:rPr>
        <w:t xml:space="preserve"> (2004-2014)</w:t>
      </w:r>
    </w:p>
    <w:tbl>
      <w:tblPr>
        <w:tblW w:w="5742" w:type="dxa"/>
        <w:jc w:val="center"/>
        <w:tblInd w:w="-110" w:type="dxa"/>
        <w:tblCellMar>
          <w:left w:w="10" w:type="dxa"/>
          <w:right w:w="10" w:type="dxa"/>
        </w:tblCellMar>
        <w:tblLook w:val="0000"/>
      </w:tblPr>
      <w:tblGrid>
        <w:gridCol w:w="2237"/>
        <w:gridCol w:w="1227"/>
        <w:gridCol w:w="1144"/>
        <w:gridCol w:w="1134"/>
      </w:tblGrid>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Années</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Volailles</w:t>
            </w:r>
          </w:p>
          <w:p w:rsidR="00443AE6" w:rsidRPr="008F6999" w:rsidRDefault="00443AE6" w:rsidP="00C65E4A">
            <w:pPr>
              <w:spacing w:line="312" w:lineRule="auto"/>
              <w:jc w:val="center"/>
              <w:rPr>
                <w:rFonts w:asciiTheme="majorBidi" w:eastAsia="Times New Roman" w:hAnsiTheme="majorBidi" w:cstheme="majorBidi"/>
                <w:color w:val="000000"/>
                <w:sz w:val="28"/>
                <w:szCs w:val="28"/>
              </w:rPr>
            </w:pPr>
            <w:r>
              <w:rPr>
                <w:rFonts w:asciiTheme="majorBidi" w:eastAsia="Times New Roman" w:hAnsiTheme="majorBidi" w:cstheme="majorBidi"/>
                <w:color w:val="000000"/>
                <w:sz w:val="28"/>
                <w:szCs w:val="28"/>
              </w:rPr>
              <w:t>(DA)</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Ovin</w:t>
            </w:r>
          </w:p>
          <w:p w:rsidR="00443AE6" w:rsidRPr="008F6999" w:rsidRDefault="00443AE6" w:rsidP="00C65E4A">
            <w:pPr>
              <w:spacing w:line="312" w:lineRule="auto"/>
              <w:jc w:val="center"/>
              <w:rPr>
                <w:rFonts w:asciiTheme="majorBidi" w:eastAsia="Times New Roman" w:hAnsiTheme="majorBidi" w:cstheme="majorBidi"/>
                <w:color w:val="000000"/>
                <w:sz w:val="28"/>
                <w:szCs w:val="28"/>
              </w:rPr>
            </w:pPr>
            <w:r>
              <w:rPr>
                <w:rFonts w:asciiTheme="majorBidi" w:eastAsia="Times New Roman" w:hAnsiTheme="majorBidi" w:cstheme="majorBidi"/>
                <w:color w:val="000000"/>
                <w:sz w:val="28"/>
                <w:szCs w:val="28"/>
              </w:rPr>
              <w:t>(DA)</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Bovin</w:t>
            </w:r>
          </w:p>
          <w:p w:rsidR="00443AE6" w:rsidRPr="008F6999" w:rsidRDefault="00443AE6" w:rsidP="00C65E4A">
            <w:pPr>
              <w:spacing w:line="312" w:lineRule="auto"/>
              <w:jc w:val="center"/>
              <w:rPr>
                <w:rFonts w:asciiTheme="majorBidi" w:eastAsia="Times New Roman" w:hAnsiTheme="majorBidi" w:cstheme="majorBidi"/>
                <w:color w:val="000000"/>
                <w:sz w:val="28"/>
                <w:szCs w:val="28"/>
              </w:rPr>
            </w:pPr>
            <w:r>
              <w:rPr>
                <w:rFonts w:asciiTheme="majorBidi" w:eastAsia="Times New Roman" w:hAnsiTheme="majorBidi" w:cstheme="majorBidi"/>
                <w:color w:val="000000"/>
                <w:sz w:val="28"/>
                <w:szCs w:val="28"/>
              </w:rPr>
              <w:t>(DA)</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2004</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210</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667</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563</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2005</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237</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595</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548</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2006</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227</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597</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559</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2007</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225</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573</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550</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2008</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246</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597</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550</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2009</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263</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728</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592</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2010</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255</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743</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650</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2011</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288</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820</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738</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2012</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332</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1050</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858</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2013</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305</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1225</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900</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2014</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280</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1275</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900</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Moyenne</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261</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806</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673</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ET (±)</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37,4</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259</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148</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CV (%)</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14,3</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32,1</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22</w:t>
            </w:r>
          </w:p>
        </w:tc>
      </w:tr>
      <w:tr w:rsidR="00697844" w:rsidRPr="008F6999" w:rsidTr="00DA5FE1">
        <w:trPr>
          <w:trHeight w:val="300"/>
          <w:jc w:val="center"/>
        </w:trPr>
        <w:tc>
          <w:tcPr>
            <w:tcW w:w="223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Accroissement (%) (2014/2004)</w:t>
            </w:r>
          </w:p>
        </w:tc>
        <w:tc>
          <w:tcPr>
            <w:tcW w:w="1227"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34</w:t>
            </w:r>
          </w:p>
        </w:tc>
        <w:tc>
          <w:tcPr>
            <w:tcW w:w="114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91</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tcPr>
          <w:p w:rsidR="00697844" w:rsidRPr="008F6999" w:rsidRDefault="00697844" w:rsidP="00C65E4A">
            <w:pPr>
              <w:spacing w:line="312" w:lineRule="auto"/>
              <w:jc w:val="center"/>
              <w:rPr>
                <w:rFonts w:asciiTheme="majorBidi" w:eastAsia="Times New Roman" w:hAnsiTheme="majorBidi" w:cstheme="majorBidi"/>
                <w:color w:val="000000"/>
                <w:sz w:val="28"/>
                <w:szCs w:val="28"/>
              </w:rPr>
            </w:pPr>
            <w:r w:rsidRPr="008F6999">
              <w:rPr>
                <w:rFonts w:asciiTheme="majorBidi" w:eastAsia="Times New Roman" w:hAnsiTheme="majorBidi" w:cstheme="majorBidi"/>
                <w:color w:val="000000"/>
                <w:sz w:val="28"/>
                <w:szCs w:val="28"/>
              </w:rPr>
              <w:t>60</w:t>
            </w:r>
          </w:p>
        </w:tc>
      </w:tr>
    </w:tbl>
    <w:p w:rsidR="000D3F35" w:rsidRPr="00697844" w:rsidRDefault="000D3F35" w:rsidP="00C65E4A">
      <w:pPr>
        <w:pStyle w:val="Standard"/>
        <w:bidi w:val="0"/>
        <w:spacing w:line="312" w:lineRule="auto"/>
        <w:jc w:val="both"/>
        <w:rPr>
          <w:rFonts w:asciiTheme="majorBidi" w:hAnsiTheme="majorBidi" w:cstheme="majorBidi"/>
          <w:sz w:val="28"/>
          <w:szCs w:val="28"/>
          <w:lang w:val="fr-FR"/>
        </w:rPr>
      </w:pPr>
      <w:r w:rsidRPr="00697844">
        <w:rPr>
          <w:rFonts w:asciiTheme="majorBidi" w:hAnsiTheme="majorBidi" w:cstheme="majorBidi"/>
          <w:b/>
          <w:bCs/>
          <w:sz w:val="28"/>
          <w:szCs w:val="28"/>
          <w:lang w:val="fr-FR"/>
        </w:rPr>
        <w:t>Source</w:t>
      </w:r>
      <w:r w:rsidRPr="00697844">
        <w:rPr>
          <w:rFonts w:asciiTheme="majorBidi" w:hAnsiTheme="majorBidi" w:cstheme="majorBidi"/>
          <w:sz w:val="28"/>
          <w:szCs w:val="28"/>
          <w:lang w:val="fr-FR"/>
        </w:rPr>
        <w:t xml:space="preserve"> : Tableau établi à partir des statistiques de la direction des services </w:t>
      </w:r>
      <w:r w:rsidR="006575B8" w:rsidRPr="00697844">
        <w:rPr>
          <w:rFonts w:asciiTheme="majorBidi" w:hAnsiTheme="majorBidi" w:cstheme="majorBidi"/>
          <w:sz w:val="28"/>
          <w:szCs w:val="28"/>
          <w:lang w:val="fr-FR"/>
        </w:rPr>
        <w:t xml:space="preserve"> </w:t>
      </w:r>
      <w:r w:rsidRPr="00697844">
        <w:rPr>
          <w:rFonts w:asciiTheme="majorBidi" w:hAnsiTheme="majorBidi" w:cstheme="majorBidi"/>
          <w:sz w:val="28"/>
          <w:szCs w:val="28"/>
          <w:lang w:val="fr-FR"/>
        </w:rPr>
        <w:t xml:space="preserve">commerciales de M’sila, 2015. </w:t>
      </w:r>
    </w:p>
    <w:p w:rsidR="00201C1F" w:rsidRDefault="00201C1F" w:rsidP="00C65E4A">
      <w:pPr>
        <w:autoSpaceDE w:val="0"/>
        <w:autoSpaceDN w:val="0"/>
        <w:adjustRightInd w:val="0"/>
        <w:spacing w:line="312" w:lineRule="auto"/>
        <w:jc w:val="both"/>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lastRenderedPageBreak/>
        <w:t xml:space="preserve">Par rapport aux prix des autres espèces, le prix des viandes de la volaille évolue moins vite soit une augmentation de 33% contre 91 et 60% respectivement par rapport à la même période (2014/2004). </w:t>
      </w:r>
    </w:p>
    <w:p w:rsidR="008E2BA1" w:rsidRDefault="00745642" w:rsidP="00C65E4A">
      <w:pPr>
        <w:spacing w:line="312" w:lineRule="auto"/>
        <w:rPr>
          <w:rFonts w:asciiTheme="majorBidi" w:hAnsiTheme="majorBidi" w:cstheme="majorBidi"/>
          <w:b/>
          <w:bCs/>
          <w:sz w:val="32"/>
          <w:szCs w:val="32"/>
        </w:rPr>
      </w:pPr>
      <w:r w:rsidRPr="00745642">
        <w:rPr>
          <w:rFonts w:asciiTheme="majorBidi" w:hAnsiTheme="majorBidi" w:cstheme="majorBidi"/>
          <w:noProof/>
          <w:sz w:val="28"/>
          <w:szCs w:val="28"/>
        </w:rPr>
        <w:pict>
          <v:rect id="_x0000_s1026" style="position:absolute;margin-left:56.25pt;margin-top:7.15pt;width:353.75pt;height:19.9pt;z-index:251660288" strokecolor="white [3212]">
            <v:textbox>
              <w:txbxContent>
                <w:p w:rsidR="003D3A0A" w:rsidRPr="008E4A4A" w:rsidRDefault="00443AE6" w:rsidP="008E4A4A">
                  <w:pPr>
                    <w:autoSpaceDE w:val="0"/>
                    <w:autoSpaceDN w:val="0"/>
                    <w:adjustRightInd w:val="0"/>
                    <w:spacing w:line="312" w:lineRule="auto"/>
                    <w:jc w:val="center"/>
                    <w:rPr>
                      <w:rFonts w:asciiTheme="majorBidi" w:hAnsiTheme="majorBidi" w:cstheme="majorBidi"/>
                      <w:sz w:val="20"/>
                      <w:szCs w:val="20"/>
                    </w:rPr>
                  </w:pPr>
                  <w:r>
                    <w:rPr>
                      <w:rFonts w:asciiTheme="majorBidi" w:hAnsiTheme="majorBidi" w:cstheme="majorBidi"/>
                      <w:b/>
                      <w:bCs/>
                      <w:sz w:val="20"/>
                      <w:szCs w:val="20"/>
                    </w:rPr>
                    <w:t xml:space="preserve">Graphe </w:t>
                  </w:r>
                  <w:r w:rsidR="003D3A0A" w:rsidRPr="008E4A4A">
                    <w:rPr>
                      <w:rFonts w:asciiTheme="majorBidi" w:hAnsiTheme="majorBidi" w:cstheme="majorBidi"/>
                      <w:b/>
                      <w:bCs/>
                      <w:sz w:val="20"/>
                      <w:szCs w:val="20"/>
                    </w:rPr>
                    <w:t>1</w:t>
                  </w:r>
                  <w:r w:rsidR="003D3A0A" w:rsidRPr="008E4A4A">
                    <w:rPr>
                      <w:rFonts w:asciiTheme="majorBidi" w:hAnsiTheme="majorBidi" w:cstheme="majorBidi"/>
                      <w:sz w:val="20"/>
                      <w:szCs w:val="20"/>
                    </w:rPr>
                    <w:t> : Evolution des prix de viandes de volailles, ovines et bovines (2004-2014)</w:t>
                  </w:r>
                </w:p>
                <w:p w:rsidR="003D3A0A" w:rsidRPr="008E4A4A" w:rsidRDefault="003D3A0A">
                  <w:pPr>
                    <w:rPr>
                      <w:sz w:val="16"/>
                      <w:szCs w:val="16"/>
                    </w:rPr>
                  </w:pPr>
                </w:p>
              </w:txbxContent>
            </v:textbox>
          </v:rect>
        </w:pict>
      </w:r>
      <w:r w:rsidR="008E4A4A" w:rsidRPr="008F6999">
        <w:rPr>
          <w:rFonts w:asciiTheme="majorBidi" w:hAnsiTheme="majorBidi" w:cstheme="majorBidi"/>
          <w:noProof/>
          <w:sz w:val="28"/>
          <w:szCs w:val="28"/>
        </w:rPr>
        <w:drawing>
          <wp:inline distT="0" distB="0" distL="0" distR="0">
            <wp:extent cx="5368787" cy="3919993"/>
            <wp:effectExtent l="19050" t="0" r="22363" b="4307"/>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E2BA1" w:rsidRDefault="008E2BA1"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697844" w:rsidRDefault="00697844" w:rsidP="00C65E4A">
      <w:pPr>
        <w:spacing w:line="312" w:lineRule="auto"/>
        <w:rPr>
          <w:rFonts w:asciiTheme="majorBidi" w:hAnsiTheme="majorBidi" w:cstheme="majorBidi"/>
          <w:b/>
          <w:bCs/>
          <w:sz w:val="32"/>
          <w:szCs w:val="32"/>
        </w:rPr>
      </w:pPr>
    </w:p>
    <w:p w:rsidR="00E15F89" w:rsidRDefault="00E15F89" w:rsidP="00C65E4A">
      <w:pPr>
        <w:spacing w:line="312" w:lineRule="auto"/>
        <w:rPr>
          <w:rFonts w:asciiTheme="majorBidi" w:hAnsiTheme="majorBidi" w:cstheme="majorBidi"/>
          <w:b/>
          <w:bCs/>
          <w:sz w:val="32"/>
          <w:szCs w:val="32"/>
        </w:rPr>
      </w:pPr>
    </w:p>
    <w:p w:rsidR="000D3F35" w:rsidRPr="00537103" w:rsidRDefault="000D3F35" w:rsidP="00C65E4A">
      <w:pPr>
        <w:spacing w:line="312" w:lineRule="auto"/>
        <w:rPr>
          <w:rFonts w:asciiTheme="majorBidi" w:hAnsiTheme="majorBidi" w:cstheme="majorBidi"/>
          <w:b/>
          <w:bCs/>
          <w:sz w:val="32"/>
          <w:szCs w:val="32"/>
        </w:rPr>
      </w:pPr>
      <w:r w:rsidRPr="00537103">
        <w:rPr>
          <w:rFonts w:asciiTheme="majorBidi" w:hAnsiTheme="majorBidi" w:cstheme="majorBidi"/>
          <w:b/>
          <w:bCs/>
          <w:sz w:val="32"/>
          <w:szCs w:val="32"/>
        </w:rPr>
        <w:lastRenderedPageBreak/>
        <w:t xml:space="preserve">Deuxième partie : Travail du terrain </w:t>
      </w:r>
    </w:p>
    <w:p w:rsidR="000D3F35"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   I     Matériel et méthode</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I.1. Espace d’investigation :</w:t>
      </w:r>
    </w:p>
    <w:p w:rsidR="000D3F35" w:rsidRPr="00DA5FE1" w:rsidRDefault="000D3F35" w:rsidP="00E86B6C">
      <w:pPr>
        <w:pStyle w:val="NormalWeb"/>
        <w:spacing w:after="200" w:afterAutospacing="0"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wilaya de M'Sila dispose d’une superficie de </w:t>
      </w:r>
      <w:r w:rsidRPr="008F6999">
        <w:rPr>
          <w:rStyle w:val="nowrap"/>
          <w:rFonts w:asciiTheme="majorBidi" w:eastAsiaTheme="majorEastAsia" w:hAnsiTheme="majorBidi"/>
          <w:sz w:val="28"/>
          <w:szCs w:val="28"/>
        </w:rPr>
        <w:t>18 175 km</w:t>
      </w:r>
      <w:r w:rsidRPr="008F6999">
        <w:rPr>
          <w:rStyle w:val="nowrap"/>
          <w:rFonts w:asciiTheme="majorBidi" w:eastAsiaTheme="majorEastAsia" w:hAnsiTheme="majorBidi"/>
          <w:sz w:val="28"/>
          <w:szCs w:val="28"/>
          <w:vertAlign w:val="superscript"/>
        </w:rPr>
        <w:t>2</w:t>
      </w:r>
      <w:r w:rsidRPr="008F6999">
        <w:rPr>
          <w:rFonts w:asciiTheme="majorBidi" w:hAnsiTheme="majorBidi" w:cstheme="majorBidi"/>
          <w:sz w:val="28"/>
          <w:szCs w:val="28"/>
        </w:rPr>
        <w:t xml:space="preserve">. Elle est limitée par les wilayas de </w:t>
      </w:r>
      <w:hyperlink r:id="rId8" w:tooltip="Wilaya de Bouira" w:history="1">
        <w:r w:rsidRPr="00DA5FE1">
          <w:rPr>
            <w:rStyle w:val="Lienhypertexte"/>
            <w:rFonts w:asciiTheme="majorBidi" w:hAnsiTheme="majorBidi" w:cstheme="majorBidi"/>
            <w:color w:val="auto"/>
            <w:sz w:val="28"/>
            <w:szCs w:val="28"/>
            <w:u w:val="none"/>
          </w:rPr>
          <w:t>Bouira</w:t>
        </w:r>
      </w:hyperlink>
      <w:r w:rsidRPr="00DA5FE1">
        <w:rPr>
          <w:rFonts w:asciiTheme="majorBidi" w:hAnsiTheme="majorBidi" w:cstheme="majorBidi"/>
          <w:sz w:val="28"/>
          <w:szCs w:val="28"/>
        </w:rPr>
        <w:t xml:space="preserve"> et </w:t>
      </w:r>
      <w:hyperlink r:id="rId9" w:tooltip="Wilaya de Bordj-Bou-Arreridj" w:history="1">
        <w:r w:rsidRPr="00DA5FE1">
          <w:rPr>
            <w:rStyle w:val="Lienhypertexte"/>
            <w:rFonts w:asciiTheme="majorBidi" w:hAnsiTheme="majorBidi" w:cstheme="majorBidi"/>
            <w:color w:val="auto"/>
            <w:sz w:val="28"/>
            <w:szCs w:val="28"/>
            <w:u w:val="none"/>
          </w:rPr>
          <w:t>Bordj-Bou-Arreridj</w:t>
        </w:r>
      </w:hyperlink>
      <w:r w:rsidRPr="00DA5FE1">
        <w:rPr>
          <w:rFonts w:asciiTheme="majorBidi" w:hAnsiTheme="majorBidi" w:cstheme="majorBidi"/>
          <w:sz w:val="28"/>
          <w:szCs w:val="28"/>
        </w:rPr>
        <w:t xml:space="preserve"> au nord, </w:t>
      </w:r>
      <w:hyperlink r:id="rId10" w:tooltip="Wilaya de Batna" w:history="1">
        <w:r w:rsidRPr="00DA5FE1">
          <w:rPr>
            <w:rStyle w:val="Lienhypertexte"/>
            <w:rFonts w:asciiTheme="majorBidi" w:hAnsiTheme="majorBidi" w:cstheme="majorBidi"/>
            <w:color w:val="auto"/>
            <w:sz w:val="28"/>
            <w:szCs w:val="28"/>
            <w:u w:val="none"/>
          </w:rPr>
          <w:t>Batna</w:t>
        </w:r>
      </w:hyperlink>
      <w:r w:rsidRPr="00DA5FE1">
        <w:rPr>
          <w:rFonts w:asciiTheme="majorBidi" w:hAnsiTheme="majorBidi" w:cstheme="majorBidi"/>
          <w:sz w:val="28"/>
          <w:szCs w:val="28"/>
        </w:rPr>
        <w:t xml:space="preserve"> et </w:t>
      </w:r>
      <w:hyperlink r:id="rId11" w:tooltip="Wilaya de Sétif" w:history="1">
        <w:r w:rsidRPr="00DA5FE1">
          <w:rPr>
            <w:rStyle w:val="Lienhypertexte"/>
            <w:rFonts w:asciiTheme="majorBidi" w:hAnsiTheme="majorBidi" w:cstheme="majorBidi"/>
            <w:color w:val="auto"/>
            <w:sz w:val="28"/>
            <w:szCs w:val="28"/>
            <w:u w:val="none"/>
          </w:rPr>
          <w:t>Sétif</w:t>
        </w:r>
      </w:hyperlink>
      <w:r w:rsidRPr="00DA5FE1">
        <w:rPr>
          <w:rFonts w:asciiTheme="majorBidi" w:hAnsiTheme="majorBidi" w:cstheme="majorBidi"/>
          <w:sz w:val="28"/>
          <w:szCs w:val="28"/>
        </w:rPr>
        <w:t xml:space="preserve"> à l'est, </w:t>
      </w:r>
      <w:hyperlink r:id="rId12" w:tooltip="Wilaya de Médéa" w:history="1">
        <w:r w:rsidRPr="00DA5FE1">
          <w:rPr>
            <w:rStyle w:val="Lienhypertexte"/>
            <w:rFonts w:asciiTheme="majorBidi" w:hAnsiTheme="majorBidi" w:cstheme="majorBidi"/>
            <w:color w:val="auto"/>
            <w:sz w:val="28"/>
            <w:szCs w:val="28"/>
            <w:u w:val="none"/>
          </w:rPr>
          <w:t>Médéa</w:t>
        </w:r>
      </w:hyperlink>
      <w:r w:rsidRPr="00DA5FE1">
        <w:rPr>
          <w:rFonts w:asciiTheme="majorBidi" w:hAnsiTheme="majorBidi" w:cstheme="majorBidi"/>
          <w:sz w:val="28"/>
          <w:szCs w:val="28"/>
        </w:rPr>
        <w:t xml:space="preserve"> et </w:t>
      </w:r>
      <w:hyperlink r:id="rId13" w:tooltip="Wilaya de Djelfa" w:history="1">
        <w:r w:rsidRPr="00DA5FE1">
          <w:rPr>
            <w:rStyle w:val="Lienhypertexte"/>
            <w:rFonts w:asciiTheme="majorBidi" w:hAnsiTheme="majorBidi" w:cstheme="majorBidi"/>
            <w:color w:val="auto"/>
            <w:sz w:val="28"/>
            <w:szCs w:val="28"/>
            <w:u w:val="none"/>
          </w:rPr>
          <w:t>Djelfa</w:t>
        </w:r>
      </w:hyperlink>
      <w:r w:rsidRPr="00DA5FE1">
        <w:rPr>
          <w:rFonts w:asciiTheme="majorBidi" w:hAnsiTheme="majorBidi" w:cstheme="majorBidi"/>
          <w:sz w:val="28"/>
          <w:szCs w:val="28"/>
        </w:rPr>
        <w:t xml:space="preserve"> à l'ouest et </w:t>
      </w:r>
      <w:hyperlink r:id="rId14" w:tooltip="Wilaya de Biskra" w:history="1">
        <w:r w:rsidRPr="00DA5FE1">
          <w:rPr>
            <w:rStyle w:val="Lienhypertexte"/>
            <w:rFonts w:asciiTheme="majorBidi" w:hAnsiTheme="majorBidi" w:cstheme="majorBidi"/>
            <w:color w:val="auto"/>
            <w:sz w:val="28"/>
            <w:szCs w:val="28"/>
            <w:u w:val="none"/>
          </w:rPr>
          <w:t>Biskra</w:t>
        </w:r>
      </w:hyperlink>
      <w:r w:rsidRPr="00DA5FE1">
        <w:rPr>
          <w:rFonts w:asciiTheme="majorBidi" w:hAnsiTheme="majorBidi" w:cstheme="majorBidi"/>
          <w:sz w:val="28"/>
          <w:szCs w:val="28"/>
        </w:rPr>
        <w:t xml:space="preserve"> au sud (Sebhi, 1987).</w:t>
      </w:r>
    </w:p>
    <w:p w:rsidR="000D3F35" w:rsidRPr="00DA5FE1" w:rsidRDefault="000D3F35" w:rsidP="00E86B6C">
      <w:pPr>
        <w:pStyle w:val="NormalWeb"/>
        <w:spacing w:after="200" w:afterAutospacing="0" w:line="312" w:lineRule="auto"/>
        <w:ind w:firstLine="284"/>
        <w:jc w:val="both"/>
        <w:rPr>
          <w:rFonts w:asciiTheme="majorBidi" w:hAnsiTheme="majorBidi" w:cstheme="majorBidi"/>
          <w:sz w:val="28"/>
          <w:szCs w:val="28"/>
        </w:rPr>
      </w:pPr>
      <w:r w:rsidRPr="00DA5FE1">
        <w:rPr>
          <w:rFonts w:asciiTheme="majorBidi" w:hAnsiTheme="majorBidi" w:cstheme="majorBidi"/>
          <w:sz w:val="28"/>
          <w:szCs w:val="28"/>
        </w:rPr>
        <w:t>Sa population est de 1 029 447 habitants. Sa morphologie et sa pos</w:t>
      </w:r>
      <w:r w:rsidR="00443AE6">
        <w:rPr>
          <w:rFonts w:asciiTheme="majorBidi" w:hAnsiTheme="majorBidi" w:cstheme="majorBidi"/>
          <w:sz w:val="28"/>
          <w:szCs w:val="28"/>
        </w:rPr>
        <w:t>²</w:t>
      </w:r>
      <w:r w:rsidR="00443AE6">
        <w:rPr>
          <w:rFonts w:asciiTheme="majorBidi" w:hAnsiTheme="majorBidi" w:cstheme="majorBidi"/>
          <w:sz w:val="28"/>
          <w:szCs w:val="28"/>
        </w:rPr>
        <w:tab/>
      </w:r>
      <w:r w:rsidRPr="00DA5FE1">
        <w:rPr>
          <w:rFonts w:asciiTheme="majorBidi" w:hAnsiTheme="majorBidi" w:cstheme="majorBidi"/>
          <w:sz w:val="28"/>
          <w:szCs w:val="28"/>
        </w:rPr>
        <w:t xml:space="preserve">ition géographique confèrent à cette région un aspect écologique unifié représenté par la prédominance de la </w:t>
      </w:r>
      <w:hyperlink r:id="rId15" w:tooltip="Steppe" w:history="1">
        <w:r w:rsidRPr="00DA5FE1">
          <w:rPr>
            <w:rStyle w:val="Lienhypertexte"/>
            <w:rFonts w:asciiTheme="majorBidi" w:hAnsiTheme="majorBidi" w:cstheme="majorBidi"/>
            <w:color w:val="auto"/>
            <w:sz w:val="28"/>
            <w:szCs w:val="28"/>
            <w:u w:val="none"/>
          </w:rPr>
          <w:t>steppe</w:t>
        </w:r>
      </w:hyperlink>
      <w:r w:rsidRPr="00DA5FE1">
        <w:rPr>
          <w:rFonts w:asciiTheme="majorBidi" w:hAnsiTheme="majorBidi" w:cstheme="majorBidi"/>
          <w:sz w:val="28"/>
          <w:szCs w:val="28"/>
        </w:rPr>
        <w:t xml:space="preserve"> qui couvre 1 200 000 ha (soit 63 % de la superficie totale) de la wilaya. La superficie affectée à l'</w:t>
      </w:r>
      <w:hyperlink r:id="rId16" w:tooltip="Agriculture" w:history="1">
        <w:r w:rsidRPr="00DA5FE1">
          <w:rPr>
            <w:rStyle w:val="Lienhypertexte"/>
            <w:rFonts w:asciiTheme="majorBidi" w:hAnsiTheme="majorBidi" w:cstheme="majorBidi"/>
            <w:color w:val="auto"/>
            <w:sz w:val="28"/>
            <w:szCs w:val="28"/>
            <w:u w:val="none"/>
          </w:rPr>
          <w:t>agriculture</w:t>
        </w:r>
      </w:hyperlink>
      <w:r w:rsidRPr="00DA5FE1">
        <w:rPr>
          <w:rFonts w:asciiTheme="majorBidi" w:hAnsiTheme="majorBidi" w:cstheme="majorBidi"/>
          <w:sz w:val="28"/>
          <w:szCs w:val="28"/>
        </w:rPr>
        <w:t xml:space="preserve"> représente 20 % de la surface totale, consacrées essentiellement à la céréaliculture, à l'arboriculture et au maraîchage. </w:t>
      </w:r>
    </w:p>
    <w:p w:rsidR="000D3F35" w:rsidRPr="008F6999" w:rsidRDefault="000D3F35" w:rsidP="00C65E4A">
      <w:pPr>
        <w:spacing w:line="312" w:lineRule="auto"/>
        <w:jc w:val="both"/>
        <w:rPr>
          <w:rFonts w:asciiTheme="majorBidi" w:hAnsiTheme="majorBidi" w:cstheme="majorBidi"/>
          <w:b/>
          <w:bCs/>
          <w:sz w:val="28"/>
          <w:szCs w:val="28"/>
        </w:rPr>
      </w:pPr>
      <w:r w:rsidRPr="008F6999">
        <w:rPr>
          <w:rFonts w:asciiTheme="majorBidi" w:hAnsiTheme="majorBidi" w:cstheme="majorBidi"/>
          <w:b/>
          <w:bCs/>
          <w:sz w:val="28"/>
          <w:szCs w:val="28"/>
        </w:rPr>
        <w:t>I.2. Choix de la zone d’étude </w:t>
      </w:r>
    </w:p>
    <w:p w:rsidR="000D3F35" w:rsidRPr="008F6999" w:rsidRDefault="000D3F35" w:rsidP="00E86B6C">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Pour la réalisation de ce travail nous avons choisi cinq</w:t>
      </w:r>
      <w:r w:rsidR="00DA5FE1">
        <w:rPr>
          <w:rFonts w:asciiTheme="majorBidi" w:hAnsiTheme="majorBidi" w:cstheme="majorBidi"/>
          <w:sz w:val="28"/>
          <w:szCs w:val="28"/>
        </w:rPr>
        <w:t xml:space="preserve"> </w:t>
      </w:r>
      <w:r w:rsidRPr="008F6999">
        <w:rPr>
          <w:rFonts w:asciiTheme="majorBidi" w:hAnsiTheme="majorBidi" w:cstheme="majorBidi"/>
          <w:sz w:val="28"/>
          <w:szCs w:val="28"/>
        </w:rPr>
        <w:t>communes, issues du découpage administratif et territorial de 1984, ce sont celles, M’sila, Sidi-amara (au sud du chef-lieu), Berhoum (à l’est du chef-lieu),Maarif (au sud du chef-lieu) et Mezerir (au sud du chef-lieu).Ces  espaces sont directement en contact avec les  agglomérations de M’sila et sont les plus directement soumis à l'avancée du front d’aviculture.</w:t>
      </w:r>
    </w:p>
    <w:p w:rsidR="000D3F35" w:rsidRPr="008F6999" w:rsidRDefault="000D3F35" w:rsidP="00C65E4A">
      <w:pPr>
        <w:spacing w:line="312" w:lineRule="auto"/>
        <w:jc w:val="both"/>
        <w:rPr>
          <w:rFonts w:asciiTheme="majorBidi" w:hAnsiTheme="majorBidi" w:cstheme="majorBidi"/>
          <w:b/>
          <w:bCs/>
          <w:sz w:val="28"/>
          <w:szCs w:val="28"/>
        </w:rPr>
      </w:pPr>
      <w:r w:rsidRPr="008F6999">
        <w:rPr>
          <w:rFonts w:asciiTheme="majorBidi" w:hAnsiTheme="majorBidi" w:cstheme="majorBidi"/>
          <w:b/>
          <w:bCs/>
          <w:sz w:val="28"/>
          <w:szCs w:val="28"/>
        </w:rPr>
        <w:t>I.3. Représentativité de la zone d’étude</w:t>
      </w:r>
    </w:p>
    <w:p w:rsidR="000D3F35" w:rsidRPr="008F6999" w:rsidRDefault="000D3F35" w:rsidP="00C65E4A">
      <w:pPr>
        <w:pStyle w:val="Paragraphedeliste"/>
        <w:numPr>
          <w:ilvl w:val="0"/>
          <w:numId w:val="9"/>
        </w:numPr>
        <w:spacing w:line="312" w:lineRule="auto"/>
        <w:jc w:val="both"/>
        <w:rPr>
          <w:rFonts w:asciiTheme="majorBidi" w:hAnsiTheme="majorBidi" w:cstheme="majorBidi"/>
          <w:sz w:val="28"/>
          <w:szCs w:val="28"/>
        </w:rPr>
      </w:pPr>
      <w:r w:rsidRPr="008F6999">
        <w:rPr>
          <w:rFonts w:asciiTheme="majorBidi" w:hAnsiTheme="majorBidi" w:cstheme="majorBidi"/>
          <w:sz w:val="28"/>
          <w:szCs w:val="28"/>
        </w:rPr>
        <w:t>L’unité avicole repro-ponte, visitée au cours de notre stage pratique, de l’entreprise (coq Hodna) est implantée dans la région de S’Hamda à 10 km de la commune de Berhoum et de 50 km à l’Est de la capitale M’sila.</w:t>
      </w:r>
    </w:p>
    <w:p w:rsidR="000D3F35" w:rsidRPr="008F6999" w:rsidRDefault="000D3F35" w:rsidP="00C65E4A">
      <w:pPr>
        <w:pStyle w:val="Paragraphedeliste"/>
        <w:numPr>
          <w:ilvl w:val="0"/>
          <w:numId w:val="9"/>
        </w:num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L’unité poulet de chair, visitée au cours de notre stage pratique, de l’entreprise (Belhaous) est implantée dans la région de </w:t>
      </w:r>
      <w:r>
        <w:rPr>
          <w:rFonts w:asciiTheme="majorBidi" w:hAnsiTheme="majorBidi" w:cstheme="majorBidi"/>
          <w:sz w:val="28"/>
          <w:szCs w:val="28"/>
        </w:rPr>
        <w:t xml:space="preserve">M’tarfa commune </w:t>
      </w:r>
      <w:r w:rsidRPr="008F6999">
        <w:rPr>
          <w:rFonts w:asciiTheme="majorBidi" w:hAnsiTheme="majorBidi" w:cstheme="majorBidi"/>
          <w:sz w:val="28"/>
          <w:szCs w:val="28"/>
        </w:rPr>
        <w:t xml:space="preserve">Sidi –amarra à 5 km de la wilaya de M’sila </w:t>
      </w:r>
    </w:p>
    <w:p w:rsidR="000D3F35" w:rsidRPr="008F6999" w:rsidRDefault="000D3F35" w:rsidP="00C65E4A">
      <w:pPr>
        <w:pStyle w:val="Paragraphedeliste"/>
        <w:numPr>
          <w:ilvl w:val="0"/>
          <w:numId w:val="9"/>
        </w:num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l’unité Frahtia est implantée dans la région de </w:t>
      </w:r>
      <w:r w:rsidRPr="00F47239">
        <w:rPr>
          <w:rFonts w:asciiTheme="majorBidi" w:hAnsiTheme="majorBidi" w:cstheme="majorBidi"/>
          <w:sz w:val="28"/>
          <w:szCs w:val="28"/>
        </w:rPr>
        <w:t>Mezrir</w:t>
      </w:r>
      <w:r w:rsidRPr="008F6999">
        <w:rPr>
          <w:rFonts w:asciiTheme="majorBidi" w:hAnsiTheme="majorBidi" w:cstheme="majorBidi"/>
          <w:sz w:val="28"/>
          <w:szCs w:val="28"/>
        </w:rPr>
        <w:t>.</w:t>
      </w:r>
    </w:p>
    <w:p w:rsidR="000D3F35" w:rsidRPr="008F6999" w:rsidRDefault="000D3F35" w:rsidP="00C65E4A">
      <w:pPr>
        <w:pStyle w:val="Paragraphedeliste"/>
        <w:numPr>
          <w:ilvl w:val="0"/>
          <w:numId w:val="9"/>
        </w:numPr>
        <w:spacing w:line="312" w:lineRule="auto"/>
        <w:jc w:val="both"/>
        <w:rPr>
          <w:rFonts w:asciiTheme="majorBidi" w:hAnsiTheme="majorBidi" w:cstheme="majorBidi"/>
          <w:sz w:val="28"/>
          <w:szCs w:val="28"/>
        </w:rPr>
      </w:pPr>
      <w:r w:rsidRPr="008F6999">
        <w:rPr>
          <w:rFonts w:asciiTheme="majorBidi" w:hAnsiTheme="majorBidi" w:cstheme="majorBidi"/>
          <w:sz w:val="28"/>
          <w:szCs w:val="28"/>
        </w:rPr>
        <w:lastRenderedPageBreak/>
        <w:t>l’unité ORAC (Office Régional d’Aviculture du Centre) situé au centre de la wilaya de M'Sila, à environ</w:t>
      </w:r>
      <w:r w:rsidRPr="008F6999">
        <w:rPr>
          <w:rStyle w:val="apple-converted-space"/>
          <w:rFonts w:asciiTheme="majorBidi" w:hAnsiTheme="majorBidi" w:cstheme="majorBidi"/>
          <w:sz w:val="28"/>
          <w:szCs w:val="28"/>
        </w:rPr>
        <w:t> </w:t>
      </w:r>
      <w:r w:rsidRPr="008F6999">
        <w:rPr>
          <w:rStyle w:val="nowrap"/>
          <w:rFonts w:asciiTheme="majorBidi" w:hAnsiTheme="majorBidi"/>
          <w:sz w:val="28"/>
          <w:szCs w:val="28"/>
        </w:rPr>
        <w:t>37 km</w:t>
      </w:r>
      <w:r w:rsidRPr="008F6999">
        <w:rPr>
          <w:rStyle w:val="apple-converted-space"/>
          <w:rFonts w:asciiTheme="majorBidi" w:hAnsiTheme="majorBidi" w:cstheme="majorBidi"/>
          <w:sz w:val="28"/>
          <w:szCs w:val="28"/>
        </w:rPr>
        <w:t> </w:t>
      </w:r>
      <w:r w:rsidRPr="008F6999">
        <w:rPr>
          <w:rFonts w:asciiTheme="majorBidi" w:hAnsiTheme="majorBidi" w:cstheme="majorBidi"/>
          <w:sz w:val="28"/>
          <w:szCs w:val="28"/>
        </w:rPr>
        <w:t>au sud-ouest de</w:t>
      </w:r>
      <w:r w:rsidRPr="008F6999">
        <w:rPr>
          <w:rStyle w:val="apple-converted-space"/>
          <w:rFonts w:asciiTheme="majorBidi" w:hAnsiTheme="majorBidi" w:cstheme="majorBidi"/>
          <w:sz w:val="28"/>
          <w:szCs w:val="28"/>
        </w:rPr>
        <w:t> </w:t>
      </w:r>
      <w:hyperlink r:id="rId17" w:tooltip="M'Sila" w:history="1">
        <w:r w:rsidRPr="00DF59B0">
          <w:rPr>
            <w:rStyle w:val="Lienhypertexte"/>
            <w:rFonts w:asciiTheme="majorBidi" w:hAnsiTheme="majorBidi" w:cstheme="majorBidi"/>
            <w:color w:val="auto"/>
            <w:sz w:val="28"/>
            <w:szCs w:val="28"/>
            <w:u w:val="none"/>
          </w:rPr>
          <w:t>M'sila</w:t>
        </w:r>
      </w:hyperlink>
      <w:r w:rsidRPr="00DF59B0">
        <w:rPr>
          <w:rStyle w:val="apple-converted-space"/>
          <w:rFonts w:asciiTheme="majorBidi" w:hAnsiTheme="majorBidi" w:cstheme="majorBidi"/>
          <w:sz w:val="28"/>
          <w:szCs w:val="28"/>
        </w:rPr>
        <w:t> </w:t>
      </w:r>
      <w:r w:rsidRPr="008F6999">
        <w:rPr>
          <w:rFonts w:asciiTheme="majorBidi" w:hAnsiTheme="majorBidi" w:cstheme="majorBidi"/>
          <w:sz w:val="28"/>
          <w:szCs w:val="28"/>
        </w:rPr>
        <w:t>et à</w:t>
      </w:r>
      <w:r w:rsidRPr="008F6999">
        <w:rPr>
          <w:rStyle w:val="nowrap"/>
          <w:rFonts w:asciiTheme="majorBidi" w:hAnsiTheme="majorBidi"/>
          <w:sz w:val="28"/>
          <w:szCs w:val="28"/>
        </w:rPr>
        <w:t>33 km</w:t>
      </w:r>
      <w:r w:rsidRPr="008F6999">
        <w:rPr>
          <w:rStyle w:val="apple-converted-space"/>
          <w:rFonts w:asciiTheme="majorBidi" w:hAnsiTheme="majorBidi" w:cstheme="majorBidi"/>
          <w:sz w:val="28"/>
          <w:szCs w:val="28"/>
        </w:rPr>
        <w:t> </w:t>
      </w:r>
      <w:r w:rsidRPr="008F6999">
        <w:rPr>
          <w:rFonts w:asciiTheme="majorBidi" w:hAnsiTheme="majorBidi" w:cstheme="majorBidi"/>
          <w:sz w:val="28"/>
          <w:szCs w:val="28"/>
        </w:rPr>
        <w:t>au nord-est de</w:t>
      </w:r>
      <w:r w:rsidRPr="008F6999">
        <w:rPr>
          <w:rStyle w:val="apple-converted-space"/>
          <w:rFonts w:asciiTheme="majorBidi" w:hAnsiTheme="majorBidi" w:cstheme="majorBidi"/>
          <w:sz w:val="28"/>
          <w:szCs w:val="28"/>
        </w:rPr>
        <w:t> </w:t>
      </w:r>
      <w:hyperlink r:id="rId18" w:tooltip="Bou Saâda" w:history="1">
        <w:r w:rsidRPr="00DF59B0">
          <w:rPr>
            <w:rStyle w:val="Lienhypertexte"/>
            <w:rFonts w:asciiTheme="majorBidi" w:hAnsiTheme="majorBidi" w:cstheme="majorBidi"/>
            <w:color w:val="auto"/>
            <w:sz w:val="28"/>
            <w:szCs w:val="28"/>
            <w:u w:val="none"/>
          </w:rPr>
          <w:t>Bou Saada</w:t>
        </w:r>
      </w:hyperlink>
      <w:r w:rsidRPr="00DF59B0">
        <w:rPr>
          <w:rFonts w:asciiTheme="majorBidi" w:hAnsiTheme="majorBidi" w:cstheme="majorBidi"/>
          <w:sz w:val="28"/>
          <w:szCs w:val="28"/>
        </w:rPr>
        <w:t>.</w:t>
      </w:r>
    </w:p>
    <w:p w:rsidR="000D3F35" w:rsidRDefault="000D3F35" w:rsidP="00C65E4A">
      <w:pPr>
        <w:pStyle w:val="Paragraphedeliste"/>
        <w:numPr>
          <w:ilvl w:val="0"/>
          <w:numId w:val="9"/>
        </w:num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l’unité de Lachache se situe dans la région de sidi-amarra à 5 km du chef-lieu de la wilaya. </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I.4. Questionnaire</w:t>
      </w:r>
    </w:p>
    <w:p w:rsidR="000D3F35" w:rsidRPr="008F6999" w:rsidRDefault="000D3F35" w:rsidP="00E86B6C">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Nous avons utilisé un guide d’enquête, conçu comme un questionnaire, qui s’intéresse à l’identification de l’exploitation avicole, la Diversité de l’exploitation, les performances zootechniques et économiques et à tous les indicateurs de durabilité économique. </w:t>
      </w:r>
    </w:p>
    <w:p w:rsidR="000D3F35" w:rsidRPr="008F6999"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questionnaire utilisé lors de nos enquêtes comprend 75 questions qui d’une part vont nous permettre de caractériser les exploitations enquêtées sur la base de différents aspects relatifs à leur fonctionnement, et d’autre part servir au calcul des indicateurs de durabilité selon la méthode DIAMON</w:t>
      </w:r>
      <w:r w:rsidR="00DA5FE1">
        <w:rPr>
          <w:rFonts w:asciiTheme="majorBidi" w:hAnsiTheme="majorBidi" w:cstheme="majorBidi"/>
          <w:sz w:val="28"/>
          <w:szCs w:val="28"/>
        </w:rPr>
        <w:t>D</w:t>
      </w:r>
      <w:r w:rsidRPr="008F6999">
        <w:rPr>
          <w:rFonts w:asciiTheme="majorBidi" w:hAnsiTheme="majorBidi" w:cstheme="majorBidi"/>
          <w:sz w:val="28"/>
          <w:szCs w:val="28"/>
        </w:rPr>
        <w:t xml:space="preserve">. </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Le questionnaire comprend différents volets :</w:t>
      </w:r>
    </w:p>
    <w:p w:rsidR="000D3F35" w:rsidRPr="008F6999" w:rsidRDefault="00443AE6" w:rsidP="00C65E4A">
      <w:pPr>
        <w:autoSpaceDE w:val="0"/>
        <w:autoSpaceDN w:val="0"/>
        <w:adjustRightInd w:val="0"/>
        <w:spacing w:line="312" w:lineRule="auto"/>
        <w:rPr>
          <w:rFonts w:asciiTheme="majorBidi" w:hAnsiTheme="majorBidi" w:cstheme="majorBidi"/>
          <w:b/>
          <w:bCs/>
          <w:sz w:val="28"/>
          <w:szCs w:val="28"/>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.4.1  Identification de l’exploitation avicole </w:t>
      </w:r>
    </w:p>
    <w:p w:rsidR="000D3F35"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informations recueillies concernent l’âge de l’éleveur, son appartenance à des organismes agricoles et sociaux ainsi que les formations et stages effectués au sein même de l’exploitation par des stagiaires ou à l’extérieur par l’éleveur et ses salariés. Ce volet porte également sur les informations relatives aux salariés (le nombre d’UTH familiales et salariées de l’exploitation, le salaire), le travail collectif et les paramètres tels que la charge de travail, la qualité de vie et</w:t>
      </w:r>
      <w:r w:rsidR="00DF59B0">
        <w:rPr>
          <w:rFonts w:asciiTheme="majorBidi" w:hAnsiTheme="majorBidi" w:cstheme="majorBidi"/>
          <w:sz w:val="28"/>
          <w:szCs w:val="28"/>
        </w:rPr>
        <w:t xml:space="preserve"> </w:t>
      </w:r>
      <w:r w:rsidRPr="008F6999">
        <w:rPr>
          <w:rFonts w:asciiTheme="majorBidi" w:hAnsiTheme="majorBidi" w:cstheme="majorBidi"/>
          <w:sz w:val="28"/>
          <w:szCs w:val="28"/>
        </w:rPr>
        <w:t>l’isolement.</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1.4.2. Diversité de l’exploitation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1.4.2.1. Diversité animale  (effectif) :</w:t>
      </w:r>
    </w:p>
    <w:p w:rsidR="00F35109"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Dans nos enquêtes,  nous sommes intéressées au nombre d’espèces animales et aux souches élevées au niveau de l’exploitation, au chargement animal ainsi qu’à des questions évaluant le bien-être animal.</w:t>
      </w:r>
    </w:p>
    <w:p w:rsidR="000D3F35" w:rsidRPr="00F3510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lastRenderedPageBreak/>
        <w:t>1.4.2.2. Diversité végétale (hectare) :</w:t>
      </w:r>
    </w:p>
    <w:p w:rsidR="000D3F35" w:rsidRDefault="000D3F35" w:rsidP="00E86B6C">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Ce volet comprend les différentes cultures qui existent au niveau de l’exploitation comme les céréalicultures, les arboriculture et cultures maraichères …etc.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1.4.3. Performances zootechniques </w:t>
      </w:r>
    </w:p>
    <w:p w:rsidR="000D3F35" w:rsidRPr="008F6999" w:rsidRDefault="000D3F35" w:rsidP="00E86B6C">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Des données concernant l’effectif mis en place, la mortalité, la consommation d’aliment et d’eau, le poids et  l’âge d’abattage, l’approvisionnement en aliment, en eau, et poussin, le vide sanitaire</w:t>
      </w:r>
      <w:r>
        <w:rPr>
          <w:rFonts w:asciiTheme="majorBidi" w:hAnsiTheme="majorBidi" w:cstheme="majorBidi"/>
          <w:sz w:val="28"/>
          <w:szCs w:val="28"/>
        </w:rPr>
        <w:t>.</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1.4.4. Indic</w:t>
      </w:r>
      <w:r>
        <w:rPr>
          <w:rFonts w:asciiTheme="majorBidi" w:hAnsiTheme="majorBidi" w:cstheme="majorBidi"/>
          <w:b/>
          <w:bCs/>
          <w:sz w:val="28"/>
          <w:szCs w:val="28"/>
        </w:rPr>
        <w:t>ateur</w:t>
      </w:r>
      <w:r w:rsidRPr="008F6999">
        <w:rPr>
          <w:rFonts w:asciiTheme="majorBidi" w:hAnsiTheme="majorBidi" w:cstheme="majorBidi"/>
          <w:b/>
          <w:bCs/>
          <w:sz w:val="28"/>
          <w:szCs w:val="28"/>
        </w:rPr>
        <w:t xml:space="preserve">s de </w:t>
      </w:r>
      <w:r>
        <w:rPr>
          <w:rFonts w:asciiTheme="majorBidi" w:hAnsiTheme="majorBidi" w:cstheme="majorBidi"/>
          <w:b/>
          <w:bCs/>
          <w:sz w:val="28"/>
          <w:szCs w:val="28"/>
        </w:rPr>
        <w:t>la durabilité économique</w:t>
      </w:r>
    </w:p>
    <w:p w:rsidR="000D3F35" w:rsidRPr="00F47239"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F47239">
        <w:rPr>
          <w:rFonts w:asciiTheme="majorBidi" w:hAnsiTheme="majorBidi" w:cstheme="majorBidi"/>
          <w:sz w:val="28"/>
          <w:szCs w:val="28"/>
        </w:rPr>
        <w:t>Les différents paramètres permettant d’évaluer les indicateurs de la durabilité économique de l’exploitation ont été renseignés ; cela concerne le capital d’exploitation, le produit, les charges, les intrants, le matériel et l’amortissement, les aides et les subventions de l’état et les annuités.</w:t>
      </w:r>
    </w:p>
    <w:p w:rsidR="000D3F35" w:rsidRPr="008F6999" w:rsidRDefault="000D3F35" w:rsidP="00C65E4A">
      <w:pPr>
        <w:spacing w:line="312" w:lineRule="auto"/>
        <w:rPr>
          <w:rFonts w:asciiTheme="majorBidi" w:hAnsiTheme="majorBidi" w:cstheme="majorBidi"/>
          <w:b/>
          <w:bCs/>
          <w:sz w:val="28"/>
          <w:szCs w:val="28"/>
        </w:rPr>
      </w:pPr>
      <w:r w:rsidRPr="00F47239">
        <w:rPr>
          <w:rFonts w:asciiTheme="majorBidi" w:hAnsiTheme="majorBidi" w:cstheme="majorBidi"/>
          <w:b/>
          <w:bCs/>
          <w:sz w:val="28"/>
          <w:szCs w:val="28"/>
        </w:rPr>
        <w:t>I.5.</w:t>
      </w:r>
      <w:r w:rsidRPr="008F6999">
        <w:rPr>
          <w:rFonts w:asciiTheme="majorBidi" w:hAnsiTheme="majorBidi" w:cstheme="majorBidi"/>
          <w:b/>
          <w:bCs/>
          <w:sz w:val="28"/>
          <w:szCs w:val="28"/>
        </w:rPr>
        <w:t>Méthode de travail</w:t>
      </w:r>
    </w:p>
    <w:p w:rsidR="000D3F35"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b/>
          <w:bCs/>
          <w:sz w:val="28"/>
          <w:szCs w:val="28"/>
        </w:rPr>
        <w:t xml:space="preserve">1.5.1. Choix de la méthode. </w:t>
      </w:r>
      <w:r w:rsidRPr="008F6999">
        <w:rPr>
          <w:rFonts w:asciiTheme="majorBidi" w:hAnsiTheme="majorBidi" w:cstheme="majorBidi"/>
          <w:sz w:val="28"/>
          <w:szCs w:val="28"/>
        </w:rPr>
        <w:t>Le choix est axé sur la méthode DIAMOND car il s’agit d’un essai de quantification de la</w:t>
      </w:r>
      <w:r w:rsidR="00DA5FE1">
        <w:rPr>
          <w:rFonts w:asciiTheme="majorBidi" w:hAnsiTheme="majorBidi" w:cstheme="majorBidi"/>
          <w:sz w:val="28"/>
          <w:szCs w:val="28"/>
        </w:rPr>
        <w:t xml:space="preserve"> </w:t>
      </w:r>
      <w:r w:rsidRPr="008F6999">
        <w:rPr>
          <w:rFonts w:asciiTheme="majorBidi" w:hAnsiTheme="majorBidi" w:cstheme="majorBidi"/>
          <w:sz w:val="28"/>
          <w:szCs w:val="28"/>
        </w:rPr>
        <w:t>durabilité. Elle analyse les forces et les faiblesses du</w:t>
      </w:r>
      <w:r w:rsidR="00DA5FE1">
        <w:rPr>
          <w:rFonts w:asciiTheme="majorBidi" w:hAnsiTheme="majorBidi" w:cstheme="majorBidi"/>
          <w:sz w:val="28"/>
          <w:szCs w:val="28"/>
        </w:rPr>
        <w:t xml:space="preserve"> </w:t>
      </w:r>
      <w:r w:rsidRPr="008F6999">
        <w:rPr>
          <w:rFonts w:asciiTheme="majorBidi" w:hAnsiTheme="majorBidi" w:cstheme="majorBidi"/>
          <w:sz w:val="28"/>
          <w:szCs w:val="28"/>
        </w:rPr>
        <w:t>système de production au niveau de l’exploitation,</w:t>
      </w:r>
      <w:r w:rsidR="00DA5FE1">
        <w:rPr>
          <w:rFonts w:asciiTheme="majorBidi" w:hAnsiTheme="majorBidi" w:cstheme="majorBidi"/>
          <w:sz w:val="28"/>
          <w:szCs w:val="28"/>
        </w:rPr>
        <w:t xml:space="preserve"> </w:t>
      </w:r>
      <w:r w:rsidRPr="008F6999">
        <w:rPr>
          <w:rFonts w:asciiTheme="majorBidi" w:hAnsiTheme="majorBidi" w:cstheme="majorBidi"/>
          <w:sz w:val="28"/>
          <w:szCs w:val="28"/>
        </w:rPr>
        <w:t>sans jugement de valeur. Les acteurs de la filière sont les enjeux du développement durable, l’évaluation de la durabilité, des regards sur le m</w:t>
      </w:r>
      <w:r>
        <w:rPr>
          <w:rFonts w:asciiTheme="majorBidi" w:hAnsiTheme="majorBidi" w:cstheme="majorBidi"/>
          <w:sz w:val="28"/>
          <w:szCs w:val="28"/>
        </w:rPr>
        <w:t>étier, les systèmes, le produit. Elle permet aussi d’i</w:t>
      </w:r>
      <w:r w:rsidRPr="008F6999">
        <w:rPr>
          <w:rFonts w:asciiTheme="majorBidi" w:hAnsiTheme="majorBidi" w:cstheme="majorBidi"/>
          <w:sz w:val="28"/>
          <w:szCs w:val="28"/>
        </w:rPr>
        <w:t xml:space="preserve">dentifier ses atouts et ses limites et de proposer des actions pour progresser. Cette méthode nous permet de répondre aux questions posées dans la problématique précédente. </w:t>
      </w:r>
    </w:p>
    <w:p w:rsidR="000D3F35"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1.5.2. Méthode DIAMOND</w:t>
      </w:r>
    </w:p>
    <w:p w:rsidR="000D3F35" w:rsidRPr="00F35109" w:rsidRDefault="000D3F35" w:rsidP="00C65E4A">
      <w:pPr>
        <w:pStyle w:val="Paragraphedeliste"/>
        <w:numPr>
          <w:ilvl w:val="0"/>
          <w:numId w:val="24"/>
        </w:numPr>
        <w:autoSpaceDE w:val="0"/>
        <w:autoSpaceDN w:val="0"/>
        <w:adjustRightInd w:val="0"/>
        <w:spacing w:line="312" w:lineRule="auto"/>
        <w:rPr>
          <w:rFonts w:asciiTheme="majorBidi" w:hAnsiTheme="majorBidi" w:cstheme="majorBidi"/>
          <w:b/>
          <w:bCs/>
          <w:sz w:val="28"/>
          <w:szCs w:val="28"/>
        </w:rPr>
      </w:pPr>
      <w:r w:rsidRPr="00F35109">
        <w:rPr>
          <w:rFonts w:asciiTheme="majorBidi" w:hAnsiTheme="majorBidi" w:cstheme="majorBidi"/>
          <w:b/>
          <w:bCs/>
          <w:sz w:val="28"/>
          <w:szCs w:val="28"/>
        </w:rPr>
        <w:t xml:space="preserve">Délimiter les frontières </w:t>
      </w:r>
    </w:p>
    <w:p w:rsidR="000D3F35" w:rsidRPr="008A7FB1" w:rsidRDefault="000D3F35" w:rsidP="00E86B6C">
      <w:pPr>
        <w:spacing w:line="312" w:lineRule="auto"/>
        <w:ind w:firstLine="284"/>
        <w:jc w:val="both"/>
        <w:rPr>
          <w:rFonts w:asciiTheme="majorBidi" w:hAnsiTheme="majorBidi" w:cstheme="majorBidi"/>
          <w:b/>
          <w:bCs/>
          <w:sz w:val="28"/>
          <w:szCs w:val="28"/>
        </w:rPr>
      </w:pPr>
      <w:r w:rsidRPr="008F6999">
        <w:rPr>
          <w:rFonts w:asciiTheme="majorBidi" w:hAnsiTheme="majorBidi" w:cstheme="majorBidi"/>
          <w:sz w:val="28"/>
          <w:szCs w:val="28"/>
        </w:rPr>
        <w:t xml:space="preserve">Le présent travail s’effectuera sur des exploitations avicoles de la région de M’sila ; dans lequel nous se délimiterons aux frontières de la porte de l’exploitation représentée par les ateliers d’élevage avicole. Ces derniers sont </w:t>
      </w:r>
      <w:r w:rsidRPr="008F6999">
        <w:rPr>
          <w:rFonts w:asciiTheme="majorBidi" w:hAnsiTheme="majorBidi" w:cstheme="majorBidi"/>
          <w:sz w:val="28"/>
          <w:szCs w:val="28"/>
        </w:rPr>
        <w:lastRenderedPageBreak/>
        <w:t xml:space="preserve">ceux de poulets de chair, de </w:t>
      </w:r>
      <w:r w:rsidRPr="008A7FB1">
        <w:rPr>
          <w:rFonts w:asciiTheme="majorBidi" w:hAnsiTheme="majorBidi" w:cstheme="majorBidi"/>
          <w:sz w:val="28"/>
          <w:szCs w:val="28"/>
        </w:rPr>
        <w:t>poules pondeuses, de dinde chair et de poulettes démarrées.</w:t>
      </w:r>
    </w:p>
    <w:p w:rsidR="000D3F35" w:rsidRPr="00F35109" w:rsidRDefault="000D3F35" w:rsidP="00C65E4A">
      <w:pPr>
        <w:pStyle w:val="Paragraphedeliste"/>
        <w:numPr>
          <w:ilvl w:val="0"/>
          <w:numId w:val="24"/>
        </w:numPr>
        <w:spacing w:line="312" w:lineRule="auto"/>
        <w:jc w:val="both"/>
        <w:rPr>
          <w:rFonts w:asciiTheme="majorBidi" w:hAnsiTheme="majorBidi" w:cstheme="majorBidi"/>
          <w:b/>
          <w:bCs/>
          <w:sz w:val="28"/>
          <w:szCs w:val="28"/>
        </w:rPr>
      </w:pPr>
      <w:r w:rsidRPr="00F35109">
        <w:rPr>
          <w:rFonts w:asciiTheme="majorBidi" w:hAnsiTheme="majorBidi" w:cstheme="majorBidi"/>
          <w:b/>
          <w:bCs/>
          <w:sz w:val="28"/>
          <w:szCs w:val="28"/>
        </w:rPr>
        <w:t xml:space="preserve">Détermination des objectifs et critères de durabilité  </w:t>
      </w:r>
    </w:p>
    <w:p w:rsidR="000D3F35" w:rsidRPr="008F6999" w:rsidRDefault="000D3F35" w:rsidP="00E86B6C">
      <w:pPr>
        <w:pStyle w:val="Default"/>
        <w:spacing w:after="200"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Pour la méthode DIAMOND (Fortun-Lamothe et al., 2011), les objectifs de la durabilité sont définis dans le cadre d’une démarche participative ;  il s’agit de rassembler l’ensemble des sensibilités sociétales (producteur, consommateur, citoyens, décideurs publiques) afin d’obtenir un consensus d’acteurs sur la définition des objectifs de durabilité(Fortun-Lamothe, 2012). Toutefois, cet objectif nécessite de disposer d’une (de) méthode(s) d’évaluation multicritère de la durabilité. Il est fréquent que les méthodes disponibles ne répondent pas exactement aux besoins des utilisateurs potentiels qui les adaptent ou en développent de nouvelles (Fortun-Lamothe, 2012).</w:t>
      </w:r>
    </w:p>
    <w:p w:rsidR="000D3F35" w:rsidRPr="008F6999" w:rsidRDefault="000D3F35" w:rsidP="00E86B6C">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méthode DIAMOND évalue la durabilité des exploitations de monogastriques à partir de six (06) objectifs, intégrant les trois dimensions de la durabilité (écologique, sociale et économique), deux objectifs par pilier  : i) rentabilité, flexibilité et adaptabilité dans le pilier économie, ii) gestion des ressources de façon économe et production des ressources renouvelables ainsi que la protection des écosystèmes dans le pilier  environnement et iii) préservation de la qualité de vie et les conditions de travail du producteur et de répondre aux demandes du </w:t>
      </w:r>
      <w:r w:rsidR="00DA5FE1" w:rsidRPr="008F6999">
        <w:rPr>
          <w:rFonts w:asciiTheme="majorBidi" w:hAnsiTheme="majorBidi" w:cstheme="majorBidi"/>
          <w:sz w:val="28"/>
          <w:szCs w:val="28"/>
        </w:rPr>
        <w:t>citoyen</w:t>
      </w:r>
      <w:r w:rsidR="00DA5FE1">
        <w:rPr>
          <w:rFonts w:asciiTheme="majorBidi" w:hAnsiTheme="majorBidi" w:cstheme="majorBidi"/>
          <w:sz w:val="28"/>
          <w:szCs w:val="28"/>
        </w:rPr>
        <w:t>-</w:t>
      </w:r>
      <w:r w:rsidR="00DA5FE1" w:rsidRPr="008F6999">
        <w:rPr>
          <w:rFonts w:ascii="Cambria Math" w:hAnsi="Cambria Math" w:cs="Cambria Math"/>
          <w:sz w:val="28"/>
          <w:szCs w:val="28"/>
        </w:rPr>
        <w:t xml:space="preserve"> </w:t>
      </w:r>
      <w:r w:rsidR="00DA5FE1" w:rsidRPr="008F6999">
        <w:rPr>
          <w:rFonts w:asciiTheme="majorBidi" w:hAnsiTheme="majorBidi" w:cstheme="majorBidi"/>
          <w:sz w:val="28"/>
          <w:szCs w:val="28"/>
        </w:rPr>
        <w:t>consommateur</w:t>
      </w:r>
      <w:r w:rsidRPr="008F6999">
        <w:rPr>
          <w:rFonts w:asciiTheme="majorBidi" w:hAnsiTheme="majorBidi" w:cstheme="majorBidi"/>
          <w:sz w:val="28"/>
          <w:szCs w:val="28"/>
        </w:rPr>
        <w:t xml:space="preserve"> dans pilier social. Trente (30) critères au total sont déterminés, réparties en dix par pilier et cinq par objectif général. </w:t>
      </w:r>
    </w:p>
    <w:p w:rsidR="000D3F35" w:rsidRPr="008F6999" w:rsidRDefault="000D3F35" w:rsidP="00C65E4A">
      <w:pPr>
        <w:pStyle w:val="Paragraphedeliste"/>
        <w:numPr>
          <w:ilvl w:val="0"/>
          <w:numId w:val="24"/>
        </w:numPr>
        <w:spacing w:line="312" w:lineRule="auto"/>
        <w:jc w:val="both"/>
        <w:rPr>
          <w:rFonts w:asciiTheme="majorBidi" w:hAnsiTheme="majorBidi" w:cstheme="majorBidi"/>
          <w:b/>
          <w:bCs/>
          <w:sz w:val="28"/>
          <w:szCs w:val="28"/>
        </w:rPr>
      </w:pPr>
      <w:r w:rsidRPr="008F6999">
        <w:rPr>
          <w:rFonts w:asciiTheme="majorBidi" w:hAnsiTheme="majorBidi" w:cstheme="majorBidi"/>
          <w:b/>
          <w:bCs/>
          <w:sz w:val="28"/>
          <w:szCs w:val="28"/>
        </w:rPr>
        <w:t xml:space="preserve">Elaboration des indicateurs </w:t>
      </w:r>
    </w:p>
    <w:p w:rsidR="000D3F35" w:rsidRPr="008F6999" w:rsidRDefault="000D3F35" w:rsidP="00E86B6C">
      <w:pPr>
        <w:autoSpaceDE w:val="0"/>
        <w:autoSpaceDN w:val="0"/>
        <w:adjustRightInd w:val="0"/>
        <w:spacing w:line="312" w:lineRule="auto"/>
        <w:ind w:firstLine="284"/>
        <w:jc w:val="both"/>
        <w:rPr>
          <w:rFonts w:asciiTheme="majorBidi" w:hAnsiTheme="majorBidi" w:cstheme="majorBidi"/>
          <w:color w:val="231F20"/>
          <w:sz w:val="28"/>
          <w:szCs w:val="28"/>
        </w:rPr>
      </w:pPr>
      <w:r w:rsidRPr="008F6999">
        <w:rPr>
          <w:rFonts w:asciiTheme="majorBidi" w:hAnsiTheme="majorBidi" w:cstheme="majorBidi"/>
          <w:sz w:val="28"/>
          <w:szCs w:val="28"/>
        </w:rPr>
        <w:t xml:space="preserve">Un indicateur sert à fournir des renseignements sur des variables plus difficiles d’accès ou encore, qui sont trop complexes à calculer. En d’autres mots, un indicateur doit simplifier, quantifier et communiquer l’information (Bélanger, 2010). D’après Bockstaller et Girardin (2003), un indicateur peut être considéré comme validé s’il est conçu scientifiquement,  s’il est sensible et pertinent, s’il est simple à calculer et  simple à comprendre, s'il est utile et utilisé par les destinataires finaux. Ils peuvent prendre une forme tant quantitative que qualitative (Qualitatif/quantitatif/subjectif)  (Bockstaller et al., 2010). </w:t>
      </w:r>
    </w:p>
    <w:p w:rsidR="000D3F35" w:rsidRPr="008F6999" w:rsidRDefault="000D3F35" w:rsidP="00E86B6C">
      <w:pPr>
        <w:autoSpaceDE w:val="0"/>
        <w:autoSpaceDN w:val="0"/>
        <w:adjustRightInd w:val="0"/>
        <w:spacing w:line="312" w:lineRule="auto"/>
        <w:ind w:firstLine="284"/>
        <w:jc w:val="both"/>
        <w:rPr>
          <w:rFonts w:asciiTheme="majorBidi" w:hAnsiTheme="majorBidi" w:cstheme="majorBidi"/>
          <w:color w:val="231F20"/>
          <w:sz w:val="28"/>
          <w:szCs w:val="28"/>
        </w:rPr>
      </w:pPr>
      <w:r w:rsidRPr="008F6999">
        <w:rPr>
          <w:rFonts w:asciiTheme="majorBidi" w:hAnsiTheme="majorBidi" w:cstheme="majorBidi"/>
          <w:color w:val="231F20"/>
          <w:sz w:val="28"/>
          <w:szCs w:val="28"/>
        </w:rPr>
        <w:lastRenderedPageBreak/>
        <w:t>Dans la sélection des indicateurs nous avons pris  en considération l’objectif principal souligné dans cette étude ainsi que nous avons inspiré de la bibliographie des travaux de plusieurs chercheurs qui ont des expériences dans l’évaluation de la durabilité des exploitations de production agricole, tels que La</w:t>
      </w:r>
      <w:r w:rsidR="000407A0">
        <w:rPr>
          <w:rFonts w:asciiTheme="majorBidi" w:hAnsiTheme="majorBidi" w:cstheme="majorBidi"/>
          <w:color w:val="231F20"/>
          <w:sz w:val="28"/>
          <w:szCs w:val="28"/>
        </w:rPr>
        <w:t xml:space="preserve"> </w:t>
      </w:r>
      <w:r w:rsidRPr="008F6999">
        <w:rPr>
          <w:rFonts w:asciiTheme="majorBidi" w:hAnsiTheme="majorBidi" w:cstheme="majorBidi"/>
          <w:color w:val="231F20"/>
          <w:sz w:val="28"/>
          <w:szCs w:val="28"/>
        </w:rPr>
        <w:t xml:space="preserve">mothe, bockstaller, etc. </w:t>
      </w:r>
    </w:p>
    <w:p w:rsidR="000D3F35" w:rsidRPr="008F6999" w:rsidRDefault="000D3F35" w:rsidP="00C65E4A">
      <w:pPr>
        <w:pStyle w:val="Paragraphedeliste"/>
        <w:numPr>
          <w:ilvl w:val="0"/>
          <w:numId w:val="24"/>
        </w:numPr>
        <w:autoSpaceDE w:val="0"/>
        <w:autoSpaceDN w:val="0"/>
        <w:adjustRightInd w:val="0"/>
        <w:spacing w:line="312" w:lineRule="auto"/>
        <w:jc w:val="both"/>
        <w:rPr>
          <w:rFonts w:asciiTheme="majorBidi" w:hAnsiTheme="majorBidi" w:cstheme="majorBidi"/>
          <w:b/>
          <w:bCs/>
          <w:color w:val="231F20"/>
          <w:sz w:val="28"/>
          <w:szCs w:val="28"/>
        </w:rPr>
      </w:pPr>
      <w:r w:rsidRPr="008F6999">
        <w:rPr>
          <w:rFonts w:asciiTheme="majorBidi" w:hAnsiTheme="majorBidi" w:cstheme="majorBidi"/>
          <w:b/>
          <w:bCs/>
          <w:color w:val="231F20"/>
          <w:sz w:val="28"/>
          <w:szCs w:val="28"/>
        </w:rPr>
        <w:t xml:space="preserve">Pondération des indicateurs </w:t>
      </w:r>
      <w:r w:rsidRPr="008F6999">
        <w:rPr>
          <w:rFonts w:asciiTheme="majorBidi" w:hAnsiTheme="majorBidi" w:cstheme="majorBidi"/>
          <w:color w:val="231F20"/>
          <w:sz w:val="28"/>
          <w:szCs w:val="28"/>
        </w:rPr>
        <w:t>(attribution des scores)</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color w:val="231F20"/>
          <w:sz w:val="28"/>
          <w:szCs w:val="28"/>
        </w:rPr>
      </w:pPr>
      <w:r w:rsidRPr="008F6999">
        <w:rPr>
          <w:rFonts w:asciiTheme="majorBidi" w:hAnsiTheme="majorBidi" w:cstheme="majorBidi"/>
          <w:sz w:val="28"/>
          <w:szCs w:val="28"/>
        </w:rPr>
        <w:t>L’évaluation doit passer par un système de points afin de pouvoir rendre compte de l’évolution de l’exploitation, année après année (Richard, 2010). L</w:t>
      </w:r>
      <w:r w:rsidRPr="008F6999">
        <w:rPr>
          <w:rFonts w:asciiTheme="majorBidi" w:hAnsiTheme="majorBidi" w:cstheme="majorBidi"/>
          <w:color w:val="231F20"/>
          <w:sz w:val="28"/>
          <w:szCs w:val="28"/>
        </w:rPr>
        <w:t>es indicateurs retenus se sont tous vu attribuer une pondération qui permet de réaliser un calcul et ainsi, d’obtenir un score global de l’exploitation pour les trois piliers de la durabilité. C</w:t>
      </w:r>
      <w:r w:rsidRPr="008F6999">
        <w:rPr>
          <w:rFonts w:asciiTheme="majorBidi" w:hAnsiTheme="majorBidi" w:cstheme="majorBidi"/>
          <w:sz w:val="28"/>
          <w:szCs w:val="28"/>
        </w:rPr>
        <w:t>haque critère dispose d’une valeur maximale de 10 points alors que le score attribué aux indicateurs de chaque critère varie de 0 à 10 points selon le poids de chaque indicateur (0 correspondant à un degré de durabilité nul).  Selon Richard (2010), les score</w:t>
      </w:r>
      <w:r w:rsidR="00DA5FE1">
        <w:rPr>
          <w:rFonts w:asciiTheme="majorBidi" w:hAnsiTheme="majorBidi" w:cstheme="majorBidi"/>
          <w:sz w:val="28"/>
          <w:szCs w:val="28"/>
        </w:rPr>
        <w:t xml:space="preserve">s </w:t>
      </w:r>
      <w:r w:rsidRPr="008F6999">
        <w:rPr>
          <w:rFonts w:asciiTheme="majorBidi" w:hAnsiTheme="majorBidi" w:cstheme="majorBidi"/>
          <w:sz w:val="28"/>
          <w:szCs w:val="28"/>
        </w:rPr>
        <w:t>sont le pouvoir d’identifier les points forts et les points faibles de l’exploitation, ainsi qu’ils permettent d’orienter les agriculteurs dans les décisions à prendre en priorité afin d’atteindre continuellement plus de durabilité.</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color w:val="231F20"/>
          <w:sz w:val="28"/>
          <w:szCs w:val="28"/>
        </w:rPr>
      </w:pPr>
      <w:r w:rsidRPr="008F6999">
        <w:rPr>
          <w:rFonts w:asciiTheme="majorBidi" w:hAnsiTheme="majorBidi" w:cstheme="majorBidi"/>
          <w:color w:val="231F20"/>
          <w:sz w:val="28"/>
          <w:szCs w:val="28"/>
        </w:rPr>
        <w:t xml:space="preserve">Au départ, les piliers sont calculés séparément, ce qui permet d’obtenir trois scores, chacun pour un total possible de 100 points. </w:t>
      </w:r>
      <w:r w:rsidRPr="008F6999">
        <w:rPr>
          <w:rFonts w:asciiTheme="majorBidi" w:hAnsiTheme="majorBidi" w:cstheme="majorBidi"/>
          <w:sz w:val="28"/>
          <w:szCs w:val="28"/>
        </w:rPr>
        <w:t xml:space="preserve">Le score d’une exploitation, pour chacune des trois échelles de durabilité, est le nombre cumulé d’unités élémentaires de durabilité obtenues (ou de points) pour divers indicateurs de l’échelle considérée. Plus la note est élevée, plus l’exploitation est considérée comme durable pour l’échelle considérée (Girardin et al., 2004) cité par Laajimi et Ben Nasr (2009). </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valeur numérique finale de durabilité de l’exploitation est la valeur la plus faible des 3 échelles de durabilité  appliquant ainsi la règle des facteurs limitants qui s’impose dans la dynamique des écosystèmes (Zahm et al., 2005 ; Fortun-Lamothe, 2007).  En revanche, les trois échelles ne sont volontairement pas additionnées entre elles. En effet, l’existence de compensation entre les trois échelles est à l’opposé du principe de l’agriculture durable. </w:t>
      </w:r>
    </w:p>
    <w:p w:rsidR="00443AE6" w:rsidRDefault="00443AE6" w:rsidP="00C65E4A">
      <w:pPr>
        <w:spacing w:line="312" w:lineRule="auto"/>
        <w:rPr>
          <w:rFonts w:asciiTheme="majorBidi" w:hAnsiTheme="majorBidi" w:cstheme="majorBidi"/>
          <w:b/>
          <w:bCs/>
          <w:sz w:val="28"/>
          <w:szCs w:val="28"/>
        </w:rPr>
      </w:pPr>
    </w:p>
    <w:p w:rsidR="00201C1F" w:rsidRDefault="00201C1F"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lastRenderedPageBreak/>
        <w:t>1</w:t>
      </w:r>
      <w:r w:rsidR="000D3F35" w:rsidRPr="008F6999">
        <w:rPr>
          <w:rFonts w:asciiTheme="majorBidi" w:hAnsiTheme="majorBidi" w:cstheme="majorBidi"/>
          <w:b/>
          <w:bCs/>
          <w:sz w:val="28"/>
          <w:szCs w:val="28"/>
        </w:rPr>
        <w:t>.5.</w:t>
      </w:r>
      <w:r w:rsidR="000D3F35">
        <w:rPr>
          <w:rFonts w:asciiTheme="majorBidi" w:hAnsiTheme="majorBidi" w:cstheme="majorBidi"/>
          <w:b/>
          <w:bCs/>
          <w:sz w:val="28"/>
          <w:szCs w:val="28"/>
        </w:rPr>
        <w:t>3</w:t>
      </w:r>
      <w:r w:rsidR="000D3F35" w:rsidRPr="008F6999">
        <w:rPr>
          <w:rFonts w:asciiTheme="majorBidi" w:hAnsiTheme="majorBidi" w:cstheme="majorBidi"/>
          <w:b/>
          <w:bCs/>
          <w:sz w:val="28"/>
          <w:szCs w:val="28"/>
        </w:rPr>
        <w:t xml:space="preserve">. Paramètres de la durabilité économique </w:t>
      </w:r>
    </w:p>
    <w:p w:rsidR="000D3F35" w:rsidRPr="00201C1F" w:rsidRDefault="000D3F35" w:rsidP="000407A0">
      <w:pPr>
        <w:spacing w:line="312" w:lineRule="auto"/>
        <w:ind w:firstLine="284"/>
        <w:rPr>
          <w:rFonts w:asciiTheme="majorBidi" w:hAnsiTheme="majorBidi" w:cstheme="majorBidi"/>
          <w:b/>
          <w:bCs/>
          <w:sz w:val="28"/>
          <w:szCs w:val="28"/>
        </w:rPr>
      </w:pPr>
      <w:r w:rsidRPr="008F6999">
        <w:rPr>
          <w:rFonts w:asciiTheme="majorBidi" w:hAnsiTheme="majorBidi" w:cstheme="majorBidi"/>
          <w:sz w:val="28"/>
          <w:szCs w:val="28"/>
        </w:rPr>
        <w:t>Les</w:t>
      </w:r>
      <w:r w:rsidRPr="008F6999">
        <w:rPr>
          <w:rFonts w:asciiTheme="majorBidi" w:hAnsiTheme="majorBidi" w:cstheme="majorBidi"/>
          <w:color w:val="000000"/>
          <w:sz w:val="28"/>
          <w:szCs w:val="28"/>
        </w:rPr>
        <w:t xml:space="preserve"> objectifs, les critères et la pondération </w:t>
      </w:r>
      <w:r w:rsidR="00201C1F">
        <w:rPr>
          <w:rFonts w:asciiTheme="majorBidi" w:hAnsiTheme="majorBidi" w:cstheme="majorBidi"/>
          <w:color w:val="000000"/>
          <w:sz w:val="28"/>
          <w:szCs w:val="28"/>
        </w:rPr>
        <w:t xml:space="preserve">affectée aux indicateurs  de la </w:t>
      </w:r>
      <w:r w:rsidRPr="008F6999">
        <w:rPr>
          <w:rFonts w:asciiTheme="majorBidi" w:hAnsiTheme="majorBidi" w:cstheme="majorBidi"/>
          <w:color w:val="000000"/>
          <w:sz w:val="28"/>
          <w:szCs w:val="28"/>
        </w:rPr>
        <w:t xml:space="preserve">durabilité du pilier économie sont indiqués dans le tableau ci-dessous. </w:t>
      </w:r>
    </w:p>
    <w:p w:rsidR="000D3F35" w:rsidRPr="008F6999" w:rsidRDefault="000D3F35" w:rsidP="00C65E4A">
      <w:pPr>
        <w:spacing w:line="312" w:lineRule="auto"/>
        <w:jc w:val="center"/>
        <w:rPr>
          <w:rFonts w:asciiTheme="majorBidi" w:hAnsiTheme="majorBidi" w:cstheme="majorBidi"/>
          <w:color w:val="000000"/>
          <w:sz w:val="28"/>
          <w:szCs w:val="28"/>
        </w:rPr>
      </w:pPr>
      <w:r w:rsidRPr="00537103">
        <w:rPr>
          <w:rFonts w:asciiTheme="majorBidi" w:hAnsiTheme="majorBidi" w:cstheme="majorBidi"/>
          <w:b/>
          <w:bCs/>
          <w:color w:val="000000"/>
          <w:sz w:val="28"/>
          <w:szCs w:val="28"/>
        </w:rPr>
        <w:t>Tableau</w:t>
      </w:r>
      <w:r>
        <w:rPr>
          <w:rFonts w:asciiTheme="majorBidi" w:hAnsiTheme="majorBidi" w:cstheme="majorBidi"/>
          <w:color w:val="000000"/>
          <w:sz w:val="28"/>
          <w:szCs w:val="28"/>
        </w:rPr>
        <w:t> </w:t>
      </w:r>
      <w:r w:rsidR="006575B8">
        <w:rPr>
          <w:rFonts w:asciiTheme="majorBidi" w:hAnsiTheme="majorBidi" w:cstheme="majorBidi"/>
          <w:color w:val="000000"/>
          <w:sz w:val="28"/>
          <w:szCs w:val="28"/>
        </w:rPr>
        <w:t>7</w:t>
      </w:r>
      <w:r>
        <w:rPr>
          <w:rFonts w:asciiTheme="majorBidi" w:hAnsiTheme="majorBidi" w:cstheme="majorBidi"/>
          <w:color w:val="000000"/>
          <w:sz w:val="28"/>
          <w:szCs w:val="28"/>
        </w:rPr>
        <w:t>: Critères et pondération de la durabilité économique</w:t>
      </w:r>
    </w:p>
    <w:tbl>
      <w:tblPr>
        <w:tblStyle w:val="Grilledutableau"/>
        <w:tblW w:w="9356" w:type="dxa"/>
        <w:tblInd w:w="108" w:type="dxa"/>
        <w:tblLayout w:type="fixed"/>
        <w:tblLook w:val="04A0"/>
      </w:tblPr>
      <w:tblGrid>
        <w:gridCol w:w="1276"/>
        <w:gridCol w:w="2410"/>
        <w:gridCol w:w="3969"/>
        <w:gridCol w:w="1701"/>
      </w:tblGrid>
      <w:tr w:rsidR="000D3F35" w:rsidRPr="0061766F" w:rsidTr="00EA67A4">
        <w:tc>
          <w:tcPr>
            <w:tcW w:w="1276" w:type="dxa"/>
          </w:tcPr>
          <w:p w:rsidR="000D3F35" w:rsidRPr="0061766F" w:rsidRDefault="000D3F35" w:rsidP="00C65E4A">
            <w:pPr>
              <w:autoSpaceDE w:val="0"/>
              <w:autoSpaceDN w:val="0"/>
              <w:adjustRightInd w:val="0"/>
              <w:spacing w:line="312" w:lineRule="auto"/>
              <w:jc w:val="center"/>
              <w:rPr>
                <w:rFonts w:asciiTheme="majorBidi" w:hAnsiTheme="majorBidi" w:cstheme="majorBidi"/>
                <w:b/>
                <w:bCs/>
                <w:color w:val="000000"/>
                <w:sz w:val="26"/>
                <w:szCs w:val="26"/>
              </w:rPr>
            </w:pPr>
            <w:r w:rsidRPr="0061766F">
              <w:rPr>
                <w:rFonts w:asciiTheme="majorBidi" w:hAnsiTheme="majorBidi" w:cstheme="majorBidi"/>
                <w:b/>
                <w:bCs/>
                <w:color w:val="000000"/>
                <w:sz w:val="26"/>
                <w:szCs w:val="26"/>
              </w:rPr>
              <w:t>Pilier</w:t>
            </w:r>
          </w:p>
        </w:tc>
        <w:tc>
          <w:tcPr>
            <w:tcW w:w="2410" w:type="dxa"/>
          </w:tcPr>
          <w:p w:rsidR="000D3F35" w:rsidRPr="0061766F" w:rsidRDefault="000D3F35" w:rsidP="00C65E4A">
            <w:pPr>
              <w:autoSpaceDE w:val="0"/>
              <w:autoSpaceDN w:val="0"/>
              <w:adjustRightInd w:val="0"/>
              <w:spacing w:line="312" w:lineRule="auto"/>
              <w:jc w:val="center"/>
              <w:rPr>
                <w:rFonts w:asciiTheme="majorBidi" w:hAnsiTheme="majorBidi" w:cstheme="majorBidi"/>
                <w:b/>
                <w:bCs/>
                <w:color w:val="000000"/>
                <w:sz w:val="26"/>
                <w:szCs w:val="26"/>
              </w:rPr>
            </w:pPr>
            <w:r w:rsidRPr="0061766F">
              <w:rPr>
                <w:rFonts w:asciiTheme="majorBidi" w:hAnsiTheme="majorBidi" w:cstheme="majorBidi"/>
                <w:b/>
                <w:bCs/>
                <w:color w:val="000000"/>
                <w:sz w:val="26"/>
                <w:szCs w:val="26"/>
              </w:rPr>
              <w:t>Objectifs généraux</w:t>
            </w:r>
          </w:p>
        </w:tc>
        <w:tc>
          <w:tcPr>
            <w:tcW w:w="3969" w:type="dxa"/>
          </w:tcPr>
          <w:p w:rsidR="000D3F35" w:rsidRPr="0061766F" w:rsidRDefault="000D3F35" w:rsidP="00C65E4A">
            <w:pPr>
              <w:autoSpaceDE w:val="0"/>
              <w:autoSpaceDN w:val="0"/>
              <w:adjustRightInd w:val="0"/>
              <w:spacing w:line="312" w:lineRule="auto"/>
              <w:jc w:val="center"/>
              <w:rPr>
                <w:rFonts w:asciiTheme="majorBidi" w:hAnsiTheme="majorBidi" w:cstheme="majorBidi"/>
                <w:b/>
                <w:bCs/>
                <w:color w:val="000000"/>
                <w:sz w:val="26"/>
                <w:szCs w:val="26"/>
              </w:rPr>
            </w:pPr>
            <w:r w:rsidRPr="0061766F">
              <w:rPr>
                <w:rFonts w:asciiTheme="majorBidi" w:hAnsiTheme="majorBidi" w:cstheme="majorBidi"/>
                <w:b/>
                <w:bCs/>
                <w:color w:val="000000"/>
                <w:sz w:val="26"/>
                <w:szCs w:val="26"/>
              </w:rPr>
              <w:t>Critères</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b/>
                <w:bCs/>
                <w:color w:val="000000"/>
                <w:sz w:val="26"/>
                <w:szCs w:val="26"/>
              </w:rPr>
            </w:pPr>
            <w:r w:rsidRPr="0061766F">
              <w:rPr>
                <w:rFonts w:asciiTheme="majorBidi" w:hAnsiTheme="majorBidi" w:cstheme="majorBidi"/>
                <w:b/>
                <w:bCs/>
                <w:color w:val="000000"/>
                <w:sz w:val="26"/>
                <w:szCs w:val="26"/>
              </w:rPr>
              <w:t xml:space="preserve">Pondération </w:t>
            </w:r>
            <w:r w:rsidRPr="00D7480B">
              <w:rPr>
                <w:rFonts w:asciiTheme="majorBidi" w:hAnsiTheme="majorBidi" w:cstheme="majorBidi"/>
                <w:color w:val="000000"/>
                <w:sz w:val="26"/>
                <w:szCs w:val="26"/>
              </w:rPr>
              <w:t>(points)</w:t>
            </w:r>
          </w:p>
        </w:tc>
      </w:tr>
      <w:tr w:rsidR="000D3F35" w:rsidRPr="0061766F" w:rsidTr="00EA67A4">
        <w:trPr>
          <w:trHeight w:val="331"/>
        </w:trPr>
        <w:tc>
          <w:tcPr>
            <w:tcW w:w="1276" w:type="dxa"/>
            <w:vMerge w:val="restart"/>
          </w:tcPr>
          <w:p w:rsidR="000D3F35" w:rsidRPr="0061766F" w:rsidRDefault="000D3F35" w:rsidP="00C65E4A">
            <w:pPr>
              <w:autoSpaceDE w:val="0"/>
              <w:autoSpaceDN w:val="0"/>
              <w:adjustRightInd w:val="0"/>
              <w:spacing w:line="312" w:lineRule="auto"/>
              <w:rPr>
                <w:rFonts w:asciiTheme="majorBidi" w:hAnsiTheme="majorBidi" w:cstheme="majorBidi"/>
                <w:sz w:val="26"/>
                <w:szCs w:val="26"/>
              </w:rPr>
            </w:pPr>
          </w:p>
          <w:p w:rsidR="000D3F35" w:rsidRPr="0061766F" w:rsidRDefault="000D3F35" w:rsidP="00C65E4A">
            <w:pPr>
              <w:autoSpaceDE w:val="0"/>
              <w:autoSpaceDN w:val="0"/>
              <w:adjustRightInd w:val="0"/>
              <w:spacing w:line="312" w:lineRule="auto"/>
              <w:rPr>
                <w:rFonts w:asciiTheme="majorBidi" w:hAnsiTheme="majorBidi" w:cstheme="majorBidi"/>
                <w:sz w:val="26"/>
                <w:szCs w:val="26"/>
              </w:rPr>
            </w:pPr>
          </w:p>
          <w:p w:rsidR="000D3F35" w:rsidRPr="0061766F" w:rsidRDefault="000D3F35" w:rsidP="00C65E4A">
            <w:pPr>
              <w:autoSpaceDE w:val="0"/>
              <w:autoSpaceDN w:val="0"/>
              <w:adjustRightInd w:val="0"/>
              <w:spacing w:line="312" w:lineRule="auto"/>
              <w:rPr>
                <w:rFonts w:asciiTheme="majorBidi" w:hAnsiTheme="majorBidi" w:cstheme="majorBidi"/>
                <w:sz w:val="26"/>
                <w:szCs w:val="26"/>
              </w:rPr>
            </w:pPr>
          </w:p>
          <w:p w:rsidR="000D3F35" w:rsidRPr="0061766F" w:rsidRDefault="000D3F35" w:rsidP="00C65E4A">
            <w:pPr>
              <w:autoSpaceDE w:val="0"/>
              <w:autoSpaceDN w:val="0"/>
              <w:adjustRightInd w:val="0"/>
              <w:spacing w:line="312" w:lineRule="auto"/>
              <w:jc w:val="center"/>
              <w:rPr>
                <w:rFonts w:asciiTheme="majorBidi" w:hAnsiTheme="majorBidi" w:cstheme="majorBidi"/>
                <w:sz w:val="26"/>
                <w:szCs w:val="26"/>
              </w:rPr>
            </w:pPr>
            <w:r w:rsidRPr="0061766F">
              <w:rPr>
                <w:rFonts w:asciiTheme="majorBidi" w:hAnsiTheme="majorBidi" w:cstheme="majorBidi"/>
                <w:sz w:val="26"/>
                <w:szCs w:val="26"/>
              </w:rPr>
              <w:t xml:space="preserve">Economie </w:t>
            </w:r>
          </w:p>
          <w:p w:rsidR="000D3F35" w:rsidRPr="0061766F" w:rsidRDefault="000D3F35" w:rsidP="00C65E4A">
            <w:pPr>
              <w:autoSpaceDE w:val="0"/>
              <w:autoSpaceDN w:val="0"/>
              <w:adjustRightInd w:val="0"/>
              <w:spacing w:line="312" w:lineRule="auto"/>
              <w:jc w:val="center"/>
              <w:rPr>
                <w:rFonts w:asciiTheme="majorBidi" w:hAnsiTheme="majorBidi" w:cstheme="majorBidi"/>
                <w:sz w:val="26"/>
                <w:szCs w:val="26"/>
              </w:rPr>
            </w:pPr>
            <w:r w:rsidRPr="0061766F">
              <w:rPr>
                <w:rFonts w:asciiTheme="majorBidi" w:hAnsiTheme="majorBidi" w:cstheme="majorBidi"/>
                <w:sz w:val="26"/>
                <w:szCs w:val="26"/>
              </w:rPr>
              <w:t>100 points</w:t>
            </w:r>
          </w:p>
        </w:tc>
        <w:tc>
          <w:tcPr>
            <w:tcW w:w="2410" w:type="dxa"/>
            <w:vMerge w:val="restart"/>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est économiquement rentable (50 points)</w:t>
            </w: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 xml:space="preserve">Viabilité économique </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 xml:space="preserve">Efficacité main d'œuvre </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Efficience du processus productif</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Indépendance technique</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 xml:space="preserve">Rentabilité économique </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rPr>
          <w:trHeight w:val="170"/>
        </w:trPr>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val="restart"/>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est flexible et adaptable</w:t>
            </w:r>
          </w:p>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(50 points)</w:t>
            </w: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Spécialisation économique</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Sensibilité aux aides</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Autonomie financière</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Transmissibilité</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r w:rsidR="000D3F35" w:rsidRPr="0061766F" w:rsidTr="00EA67A4">
        <w:tc>
          <w:tcPr>
            <w:tcW w:w="1276"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2410" w:type="dxa"/>
            <w:vMerge/>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p>
        </w:tc>
        <w:tc>
          <w:tcPr>
            <w:tcW w:w="3969" w:type="dxa"/>
          </w:tcPr>
          <w:p w:rsidR="000D3F35" w:rsidRPr="0061766F" w:rsidRDefault="000D3F35" w:rsidP="00C65E4A">
            <w:pPr>
              <w:autoSpaceDE w:val="0"/>
              <w:autoSpaceDN w:val="0"/>
              <w:adjustRightInd w:val="0"/>
              <w:spacing w:line="312" w:lineRule="auto"/>
              <w:rPr>
                <w:rFonts w:asciiTheme="majorBidi" w:hAnsiTheme="majorBidi" w:cstheme="majorBidi"/>
                <w:color w:val="000000"/>
                <w:sz w:val="26"/>
                <w:szCs w:val="26"/>
              </w:rPr>
            </w:pPr>
            <w:r w:rsidRPr="0061766F">
              <w:rPr>
                <w:rFonts w:asciiTheme="majorBidi" w:hAnsiTheme="majorBidi" w:cstheme="majorBidi"/>
                <w:color w:val="000000"/>
                <w:sz w:val="26"/>
                <w:szCs w:val="26"/>
              </w:rPr>
              <w:t>Polyvalence de l'outil de production</w:t>
            </w:r>
          </w:p>
        </w:tc>
        <w:tc>
          <w:tcPr>
            <w:tcW w:w="1701" w:type="dxa"/>
          </w:tcPr>
          <w:p w:rsidR="000D3F35" w:rsidRPr="0061766F" w:rsidRDefault="000D3F35" w:rsidP="00C65E4A">
            <w:pPr>
              <w:autoSpaceDE w:val="0"/>
              <w:autoSpaceDN w:val="0"/>
              <w:adjustRightInd w:val="0"/>
              <w:spacing w:line="312" w:lineRule="auto"/>
              <w:jc w:val="center"/>
              <w:rPr>
                <w:rFonts w:asciiTheme="majorBidi" w:hAnsiTheme="majorBidi" w:cstheme="majorBidi"/>
                <w:color w:val="000000"/>
                <w:sz w:val="26"/>
                <w:szCs w:val="26"/>
              </w:rPr>
            </w:pPr>
            <w:r w:rsidRPr="0061766F">
              <w:rPr>
                <w:rFonts w:asciiTheme="majorBidi" w:hAnsiTheme="majorBidi" w:cstheme="majorBidi"/>
                <w:color w:val="000000"/>
                <w:sz w:val="26"/>
                <w:szCs w:val="26"/>
              </w:rPr>
              <w:t>10</w:t>
            </w:r>
          </w:p>
        </w:tc>
      </w:tr>
    </w:tbl>
    <w:p w:rsidR="00443AE6" w:rsidRDefault="00443AE6" w:rsidP="00C65E4A">
      <w:pPr>
        <w:spacing w:line="312" w:lineRule="auto"/>
        <w:rPr>
          <w:rFonts w:asciiTheme="majorBidi" w:hAnsiTheme="majorBidi" w:cstheme="majorBidi"/>
          <w:b/>
          <w:bCs/>
          <w:sz w:val="28"/>
          <w:szCs w:val="28"/>
        </w:rPr>
      </w:pPr>
    </w:p>
    <w:p w:rsidR="000D3F35" w:rsidRPr="008F6999" w:rsidRDefault="00201C1F"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.5.3.1. Viabilité économique (VE)</w:t>
      </w:r>
    </w:p>
    <w:p w:rsidR="000D3F35" w:rsidRPr="00D7480B" w:rsidRDefault="000D3F35" w:rsidP="00C65E4A">
      <w:pPr>
        <w:spacing w:line="312" w:lineRule="auto"/>
        <w:jc w:val="both"/>
        <w:rPr>
          <w:rFonts w:asciiTheme="majorBidi" w:eastAsia="Times New Roman" w:hAnsiTheme="majorBidi" w:cstheme="majorBidi"/>
          <w:b/>
          <w:bCs/>
          <w:sz w:val="28"/>
          <w:szCs w:val="28"/>
          <w:u w:val="single"/>
        </w:rPr>
      </w:pPr>
      <w:r w:rsidRPr="00D7480B">
        <w:rPr>
          <w:rFonts w:asciiTheme="majorBidi" w:eastAsia="Times New Roman" w:hAnsiTheme="majorBidi" w:cstheme="majorBidi"/>
          <w:b/>
          <w:bCs/>
          <w:sz w:val="28"/>
          <w:szCs w:val="28"/>
        </w:rPr>
        <w:t xml:space="preserve">1) </w:t>
      </w:r>
      <w:r w:rsidRPr="00D7480B">
        <w:rPr>
          <w:rFonts w:asciiTheme="majorBidi" w:eastAsia="Times New Roman" w:hAnsiTheme="majorBidi" w:cstheme="majorBidi"/>
          <w:b/>
          <w:bCs/>
          <w:sz w:val="28"/>
          <w:szCs w:val="28"/>
          <w:u w:val="single"/>
        </w:rPr>
        <w:t>Caractéristiques et importance</w:t>
      </w:r>
    </w:p>
    <w:p w:rsidR="000D3F35" w:rsidRPr="008F6999" w:rsidRDefault="000D3F35" w:rsidP="000407A0">
      <w:pPr>
        <w:spacing w:line="312" w:lineRule="auto"/>
        <w:ind w:firstLine="284"/>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C’est un indicateur de rentabilité globale. L’objectif de cet indicateur est de mesurer la capacité d’autofinancement de l’exploitation.</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La viabilité économique à court ou moyen terme des exploitations est naturellement une condition élémentaire de leur durabilité. Pour évaluer cette viabilité en évitant divers biais, les besoins de financement sont évalués en ajoutant au total des annuités d’emprunts la moitié des amortissements, </w:t>
      </w:r>
      <w:r w:rsidRPr="008F6999">
        <w:rPr>
          <w:rFonts w:asciiTheme="majorBidi" w:hAnsiTheme="majorBidi" w:cstheme="majorBidi"/>
          <w:color w:val="000000"/>
          <w:sz w:val="28"/>
          <w:szCs w:val="28"/>
        </w:rPr>
        <w:lastRenderedPageBreak/>
        <w:t>représentant la valeur de renouvellement des équipements autofinancés de l’exploitation. L’indicateur déduit ces besoins de financement de l’excédent brut d’exploitation, et rapporte cette différence au nombre de non-salariés de l’exploitation, traduit en équivalents à temps plein (nombre d’UTA non</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salariés) Cet indicateur représente ainsi un résultat économique moyen par actif de l’exploitation, finançant notamment les prélèvements privés. Il est comparé par rapport à une norme sociale : le Smic (</w:t>
      </w:r>
      <w:r w:rsidRPr="008F6999">
        <w:rPr>
          <w:rFonts w:asciiTheme="majorBidi" w:hAnsiTheme="majorBidi" w:cstheme="majorBidi"/>
          <w:sz w:val="28"/>
          <w:szCs w:val="28"/>
        </w:rPr>
        <w:t>Girardin et al., 2004)</w:t>
      </w:r>
      <w:r w:rsidRPr="008F6999">
        <w:rPr>
          <w:rFonts w:asciiTheme="majorBidi" w:hAnsiTheme="majorBidi" w:cstheme="majorBidi"/>
          <w:color w:val="000000"/>
          <w:sz w:val="28"/>
          <w:szCs w:val="28"/>
        </w:rPr>
        <w:t>.</w:t>
      </w:r>
    </w:p>
    <w:p w:rsidR="000D3F35" w:rsidRPr="008F6999" w:rsidRDefault="000D3F35" w:rsidP="000407A0">
      <w:pPr>
        <w:spacing w:line="312" w:lineRule="auto"/>
        <w:ind w:firstLine="284"/>
        <w:jc w:val="both"/>
        <w:rPr>
          <w:rFonts w:asciiTheme="majorBidi" w:hAnsiTheme="majorBidi" w:cstheme="majorBidi"/>
          <w:color w:val="000000"/>
          <w:sz w:val="28"/>
          <w:szCs w:val="28"/>
        </w:rPr>
      </w:pPr>
      <w:r w:rsidRPr="008F6999">
        <w:rPr>
          <w:rFonts w:asciiTheme="majorBidi" w:eastAsia="Times New Roman" w:hAnsiTheme="majorBidi" w:cstheme="majorBidi"/>
          <w:sz w:val="28"/>
          <w:szCs w:val="28"/>
        </w:rPr>
        <w:t>L’EBE est ce qui reste de la valeur ajoutée  après règlement des impôts, taxes et versements assimilés et charges du personnel (Civam, 2008).</w:t>
      </w:r>
    </w:p>
    <w:p w:rsidR="000D3F35" w:rsidRPr="00D7480B" w:rsidRDefault="000D3F35" w:rsidP="00C65E4A">
      <w:pPr>
        <w:spacing w:line="312" w:lineRule="auto"/>
        <w:jc w:val="both"/>
        <w:rPr>
          <w:rFonts w:asciiTheme="majorBidi" w:eastAsia="Times New Roman" w:hAnsiTheme="majorBidi" w:cstheme="majorBidi"/>
          <w:b/>
          <w:bCs/>
          <w:sz w:val="28"/>
          <w:szCs w:val="28"/>
        </w:rPr>
      </w:pPr>
      <w:r w:rsidRPr="00D7480B">
        <w:rPr>
          <w:rFonts w:asciiTheme="majorBidi" w:eastAsia="Times New Roman" w:hAnsiTheme="majorBidi" w:cstheme="majorBidi"/>
          <w:b/>
          <w:bCs/>
          <w:sz w:val="28"/>
          <w:szCs w:val="28"/>
        </w:rPr>
        <w:t xml:space="preserve">2) </w:t>
      </w:r>
      <w:r w:rsidRPr="00D7480B">
        <w:rPr>
          <w:rFonts w:asciiTheme="majorBidi" w:eastAsia="Times New Roman" w:hAnsiTheme="majorBidi" w:cstheme="majorBidi"/>
          <w:b/>
          <w:bCs/>
          <w:sz w:val="28"/>
          <w:szCs w:val="28"/>
          <w:u w:val="single"/>
        </w:rPr>
        <w:t>Mode de calcul</w:t>
      </w:r>
      <w:r w:rsidRPr="00D7480B">
        <w:rPr>
          <w:rFonts w:asciiTheme="majorBidi" w:eastAsia="Times New Roman" w:hAnsiTheme="majorBidi" w:cstheme="majorBidi"/>
          <w:b/>
          <w:bCs/>
          <w:sz w:val="28"/>
          <w:szCs w:val="28"/>
        </w:rPr>
        <w:t xml:space="preserve"> :</w:t>
      </w:r>
    </w:p>
    <w:p w:rsidR="000D3F35" w:rsidRPr="008F6999" w:rsidRDefault="000D3F35" w:rsidP="00C65E4A">
      <w:pPr>
        <w:autoSpaceDE w:val="0"/>
        <w:autoSpaceDN w:val="0"/>
        <w:adjustRightInd w:val="0"/>
        <w:spacing w:line="312" w:lineRule="auto"/>
        <w:jc w:val="center"/>
        <w:rPr>
          <w:rFonts w:asciiTheme="majorBidi" w:hAnsiTheme="majorBidi" w:cstheme="majorBidi"/>
          <w:color w:val="000000"/>
          <w:sz w:val="28"/>
          <w:szCs w:val="28"/>
        </w:rPr>
      </w:pPr>
      <w:r w:rsidRPr="008F6999">
        <w:rPr>
          <w:rFonts w:asciiTheme="majorBidi" w:hAnsiTheme="majorBidi" w:cstheme="majorBidi"/>
          <w:color w:val="000000"/>
          <w:sz w:val="28"/>
          <w:szCs w:val="28"/>
        </w:rPr>
        <w:t>VE = (EBE – BF) / UTH</w:t>
      </w:r>
    </w:p>
    <w:p w:rsidR="000D3F35" w:rsidRPr="008F6999" w:rsidRDefault="000D3F35" w:rsidP="00C65E4A">
      <w:pPr>
        <w:autoSpaceDE w:val="0"/>
        <w:autoSpaceDN w:val="0"/>
        <w:adjustRightInd w:val="0"/>
        <w:spacing w:line="312" w:lineRule="auto"/>
        <w:jc w:val="center"/>
        <w:rPr>
          <w:rFonts w:asciiTheme="majorBidi" w:hAnsiTheme="majorBidi" w:cstheme="majorBidi"/>
          <w:color w:val="000000"/>
          <w:sz w:val="28"/>
          <w:szCs w:val="28"/>
        </w:rPr>
      </w:pPr>
      <w:r w:rsidRPr="008F6999">
        <w:rPr>
          <w:rFonts w:asciiTheme="majorBidi" w:hAnsiTheme="majorBidi" w:cstheme="majorBidi"/>
          <w:color w:val="000000"/>
          <w:sz w:val="28"/>
          <w:szCs w:val="28"/>
        </w:rPr>
        <w:t>BF = ½ amortissement + £ annuités</w:t>
      </w:r>
    </w:p>
    <w:p w:rsidR="000D3F35" w:rsidRPr="008F6999" w:rsidRDefault="000D3F35" w:rsidP="00C65E4A">
      <w:pPr>
        <w:autoSpaceDE w:val="0"/>
        <w:autoSpaceDN w:val="0"/>
        <w:adjustRightInd w:val="0"/>
        <w:spacing w:line="312" w:lineRule="auto"/>
        <w:jc w:val="center"/>
        <w:rPr>
          <w:rFonts w:asciiTheme="majorBidi" w:hAnsiTheme="majorBidi" w:cstheme="majorBidi"/>
          <w:color w:val="000000"/>
          <w:sz w:val="28"/>
          <w:szCs w:val="28"/>
        </w:rPr>
      </w:pPr>
      <w:r w:rsidRPr="008F6999">
        <w:rPr>
          <w:rFonts w:asciiTheme="majorBidi" w:hAnsiTheme="majorBidi" w:cstheme="majorBidi"/>
          <w:color w:val="000000"/>
          <w:sz w:val="28"/>
          <w:szCs w:val="28"/>
        </w:rPr>
        <w:t xml:space="preserve">EBE = Résultats de l’exercice + amortissement + frais financiers </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 xml:space="preserve">A noter que : </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VE </w:t>
      </w:r>
      <w:r w:rsidRPr="008F6999">
        <w:rPr>
          <w:rFonts w:asciiTheme="majorBidi" w:eastAsia="Times New Roman" w:hAnsiTheme="majorBidi" w:cstheme="majorBidi"/>
          <w:sz w:val="28"/>
          <w:szCs w:val="28"/>
        </w:rPr>
        <w:t>: Viabilité Economique</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EBE</w:t>
      </w:r>
      <w:r w:rsidRPr="008F6999">
        <w:rPr>
          <w:rFonts w:asciiTheme="majorBidi" w:eastAsia="Times New Roman" w:hAnsiTheme="majorBidi" w:cstheme="majorBidi"/>
          <w:sz w:val="28"/>
          <w:szCs w:val="28"/>
        </w:rPr>
        <w:t xml:space="preserve"> : Excédant Brute de l’Exploitation  </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BF</w:t>
      </w:r>
      <w:r w:rsidRPr="008F6999">
        <w:rPr>
          <w:rFonts w:asciiTheme="majorBidi" w:eastAsia="Times New Roman" w:hAnsiTheme="majorBidi" w:cstheme="majorBidi"/>
          <w:sz w:val="28"/>
          <w:szCs w:val="28"/>
        </w:rPr>
        <w:t> : Besoins de financement</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UTH</w:t>
      </w:r>
      <w:r w:rsidRPr="008F6999">
        <w:rPr>
          <w:rFonts w:asciiTheme="majorBidi" w:eastAsia="Times New Roman" w:hAnsiTheme="majorBidi" w:cstheme="majorBidi"/>
          <w:sz w:val="28"/>
          <w:szCs w:val="28"/>
        </w:rPr>
        <w:t> : Unité de Travailleur Humain</w:t>
      </w:r>
    </w:p>
    <w:p w:rsidR="000D3F35" w:rsidRPr="008F6999" w:rsidRDefault="000D3F35" w:rsidP="000407A0">
      <w:pPr>
        <w:pStyle w:val="Default"/>
        <w:spacing w:after="200" w:line="312" w:lineRule="auto"/>
        <w:ind w:firstLine="284"/>
        <w:rPr>
          <w:rFonts w:asciiTheme="majorBidi" w:hAnsiTheme="majorBidi" w:cstheme="majorBidi"/>
          <w:sz w:val="28"/>
          <w:szCs w:val="28"/>
        </w:rPr>
      </w:pPr>
      <w:r w:rsidRPr="008F6999">
        <w:rPr>
          <w:rFonts w:asciiTheme="majorBidi" w:hAnsiTheme="majorBidi" w:cstheme="majorBidi"/>
          <w:sz w:val="28"/>
          <w:szCs w:val="28"/>
        </w:rPr>
        <w:t>En effet, dans ce travail nous avons déterminé la viabilité économique selon la méthode donnée par « FORTUN-LAMOTHE, 2012 » et qui est basée  sur le calcul de la marge nette par an :</w:t>
      </w:r>
    </w:p>
    <w:p w:rsidR="000D3F35" w:rsidRPr="008F6999" w:rsidRDefault="000D3F35" w:rsidP="000407A0">
      <w:pPr>
        <w:autoSpaceDE w:val="0"/>
        <w:autoSpaceDN w:val="0"/>
        <w:adjustRightInd w:val="0"/>
        <w:spacing w:line="312" w:lineRule="auto"/>
        <w:ind w:firstLine="284"/>
        <w:rPr>
          <w:rFonts w:asciiTheme="majorBidi" w:hAnsiTheme="majorBidi" w:cstheme="majorBidi"/>
          <w:color w:val="000000"/>
          <w:sz w:val="28"/>
          <w:szCs w:val="28"/>
        </w:rPr>
      </w:pPr>
      <w:r w:rsidRPr="008F6999">
        <w:rPr>
          <w:rFonts w:asciiTheme="majorBidi" w:hAnsiTheme="majorBidi" w:cstheme="majorBidi"/>
          <w:color w:val="000000"/>
          <w:sz w:val="28"/>
          <w:szCs w:val="28"/>
        </w:rPr>
        <w:t>Marge nette HT = Prix de vente HT – prix d’achat HT – Frais de gestion commerciale</w:t>
      </w:r>
      <w:r w:rsidR="000407A0">
        <w:rPr>
          <w:rFonts w:asciiTheme="majorBidi" w:hAnsiTheme="majorBidi" w:cstheme="majorBidi"/>
          <w:color w:val="000000"/>
          <w:sz w:val="28"/>
          <w:szCs w:val="28"/>
        </w:rPr>
        <w:t>.</w:t>
      </w:r>
      <w:r w:rsidRPr="008F6999">
        <w:rPr>
          <w:rFonts w:asciiTheme="majorBidi" w:hAnsiTheme="majorBidi" w:cstheme="majorBidi"/>
          <w:color w:val="000000"/>
          <w:sz w:val="28"/>
          <w:szCs w:val="28"/>
        </w:rPr>
        <w:t xml:space="preserve"> </w:t>
      </w:r>
    </w:p>
    <w:p w:rsidR="00103196" w:rsidRDefault="00103196" w:rsidP="00C65E4A">
      <w:pPr>
        <w:autoSpaceDE w:val="0"/>
        <w:autoSpaceDN w:val="0"/>
        <w:adjustRightInd w:val="0"/>
        <w:spacing w:line="312" w:lineRule="auto"/>
        <w:rPr>
          <w:rFonts w:asciiTheme="majorBidi" w:hAnsiTheme="majorBidi" w:cstheme="majorBidi"/>
          <w:b/>
          <w:bCs/>
          <w:sz w:val="28"/>
          <w:szCs w:val="28"/>
        </w:rPr>
      </w:pPr>
    </w:p>
    <w:p w:rsidR="00103196" w:rsidRDefault="00103196" w:rsidP="00C65E4A">
      <w:pPr>
        <w:autoSpaceDE w:val="0"/>
        <w:autoSpaceDN w:val="0"/>
        <w:adjustRightInd w:val="0"/>
        <w:spacing w:line="312" w:lineRule="auto"/>
        <w:rPr>
          <w:rFonts w:asciiTheme="majorBidi" w:hAnsiTheme="majorBidi" w:cstheme="majorBidi"/>
          <w:b/>
          <w:bCs/>
          <w:sz w:val="28"/>
          <w:szCs w:val="28"/>
        </w:rPr>
      </w:pPr>
    </w:p>
    <w:p w:rsidR="00103196" w:rsidRDefault="00103196" w:rsidP="00C65E4A">
      <w:pPr>
        <w:autoSpaceDE w:val="0"/>
        <w:autoSpaceDN w:val="0"/>
        <w:adjustRightInd w:val="0"/>
        <w:spacing w:line="312" w:lineRule="auto"/>
        <w:rPr>
          <w:rFonts w:asciiTheme="majorBidi" w:hAnsiTheme="majorBidi" w:cstheme="majorBidi"/>
          <w:b/>
          <w:bCs/>
          <w:sz w:val="28"/>
          <w:szCs w:val="28"/>
        </w:rPr>
      </w:pPr>
    </w:p>
    <w:p w:rsidR="000D3F35" w:rsidRPr="00D7480B" w:rsidRDefault="000D3F35" w:rsidP="00C65E4A">
      <w:pPr>
        <w:autoSpaceDE w:val="0"/>
        <w:autoSpaceDN w:val="0"/>
        <w:adjustRightInd w:val="0"/>
        <w:spacing w:line="312" w:lineRule="auto"/>
        <w:rPr>
          <w:rFonts w:asciiTheme="majorBidi" w:hAnsiTheme="majorBidi" w:cstheme="majorBidi"/>
          <w:b/>
          <w:bCs/>
          <w:sz w:val="28"/>
          <w:szCs w:val="28"/>
        </w:rPr>
      </w:pPr>
      <w:r w:rsidRPr="00D7480B">
        <w:rPr>
          <w:rFonts w:asciiTheme="majorBidi" w:hAnsiTheme="majorBidi" w:cstheme="majorBidi"/>
          <w:b/>
          <w:bCs/>
          <w:sz w:val="28"/>
          <w:szCs w:val="28"/>
        </w:rPr>
        <w:lastRenderedPageBreak/>
        <w:t xml:space="preserve">3) </w:t>
      </w:r>
      <w:r w:rsidRPr="00D7480B">
        <w:rPr>
          <w:rFonts w:asciiTheme="majorBidi" w:hAnsiTheme="majorBidi" w:cstheme="majorBidi"/>
          <w:b/>
          <w:bCs/>
          <w:sz w:val="28"/>
          <w:szCs w:val="28"/>
          <w:u w:val="single"/>
        </w:rPr>
        <w:t>Interprétation</w:t>
      </w:r>
    </w:p>
    <w:p w:rsidR="000D3F35" w:rsidRPr="008F6999" w:rsidRDefault="000D3F35" w:rsidP="000407A0">
      <w:pPr>
        <w:autoSpaceDE w:val="0"/>
        <w:autoSpaceDN w:val="0"/>
        <w:adjustRightInd w:val="0"/>
        <w:spacing w:line="312" w:lineRule="auto"/>
        <w:ind w:firstLine="284"/>
        <w:rPr>
          <w:rFonts w:asciiTheme="majorBidi" w:hAnsiTheme="majorBidi" w:cstheme="majorBidi"/>
          <w:sz w:val="28"/>
          <w:szCs w:val="28"/>
        </w:rPr>
      </w:pPr>
      <w:r w:rsidRPr="008F6999">
        <w:rPr>
          <w:rFonts w:asciiTheme="majorBidi" w:hAnsiTheme="majorBidi" w:cstheme="majorBidi"/>
          <w:sz w:val="28"/>
          <w:szCs w:val="28"/>
        </w:rPr>
        <w:t xml:space="preserve">Comme dans la méthode IDEA, la valeur de la marge nette est comparée à une norme sociale représentée par le Smig. Le Smig algérien est estimé à 18000 dinars algériens par mois et à 216000 DA par an. </w:t>
      </w:r>
    </w:p>
    <w:p w:rsidR="00103196" w:rsidRDefault="000D3F35" w:rsidP="00103196">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Des modifications ont été apportées à cet indicateur du fait d’une part, que le SMIG en</w:t>
      </w:r>
      <w:r w:rsidR="00DA5FE1">
        <w:rPr>
          <w:rFonts w:asciiTheme="majorBidi" w:hAnsiTheme="majorBidi" w:cstheme="majorBidi"/>
          <w:sz w:val="28"/>
          <w:szCs w:val="28"/>
        </w:rPr>
        <w:t xml:space="preserve"> </w:t>
      </w:r>
      <w:r w:rsidRPr="008F6999">
        <w:rPr>
          <w:rFonts w:asciiTheme="majorBidi" w:hAnsiTheme="majorBidi" w:cstheme="majorBidi"/>
          <w:sz w:val="28"/>
          <w:szCs w:val="28"/>
        </w:rPr>
        <w:t>Algérie est de l’ordre de 118 euro, soit dix fois moins qu’en France, et, d’autre part, de</w:t>
      </w:r>
      <w:r w:rsidR="00DA5FE1">
        <w:rPr>
          <w:rFonts w:asciiTheme="majorBidi" w:hAnsiTheme="majorBidi" w:cstheme="majorBidi"/>
          <w:sz w:val="28"/>
          <w:szCs w:val="28"/>
        </w:rPr>
        <w:t xml:space="preserve"> </w:t>
      </w:r>
      <w:r w:rsidRPr="008F6999">
        <w:rPr>
          <w:rFonts w:asciiTheme="majorBidi" w:hAnsiTheme="majorBidi" w:cstheme="majorBidi"/>
          <w:sz w:val="28"/>
          <w:szCs w:val="28"/>
        </w:rPr>
        <w:t>l’étendue des données observées au-delà de 3 Smig  (Bekhouche, 2011). Ainsi vue que la méthode de DIAMOND comprend un score maximal de 10 points au lieu de 20 points comme le cas de la méthode IDEA (Tableau</w:t>
      </w:r>
      <w:r w:rsidR="00DA5FE1">
        <w:rPr>
          <w:rFonts w:asciiTheme="majorBidi" w:hAnsiTheme="majorBidi" w:cstheme="majorBidi"/>
          <w:sz w:val="28"/>
          <w:szCs w:val="28"/>
        </w:rPr>
        <w:t xml:space="preserve"> 8</w:t>
      </w:r>
      <w:r w:rsidR="00DA5FE1" w:rsidRPr="008F6999">
        <w:rPr>
          <w:rFonts w:asciiTheme="majorBidi" w:hAnsiTheme="majorBidi" w:cstheme="majorBidi"/>
          <w:sz w:val="28"/>
          <w:szCs w:val="28"/>
        </w:rPr>
        <w:t>)</w:t>
      </w:r>
      <w:r w:rsidRPr="008F6999">
        <w:rPr>
          <w:rFonts w:asciiTheme="majorBidi" w:hAnsiTheme="majorBidi" w:cstheme="majorBidi"/>
          <w:sz w:val="28"/>
          <w:szCs w:val="28"/>
        </w:rPr>
        <w:t>.</w:t>
      </w: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103196" w:rsidRDefault="00103196" w:rsidP="00103196">
      <w:pPr>
        <w:autoSpaceDE w:val="0"/>
        <w:autoSpaceDN w:val="0"/>
        <w:adjustRightInd w:val="0"/>
        <w:spacing w:line="312" w:lineRule="auto"/>
        <w:jc w:val="both"/>
        <w:rPr>
          <w:rFonts w:asciiTheme="majorBidi" w:hAnsiTheme="majorBidi" w:cstheme="majorBidi"/>
          <w:b/>
          <w:bCs/>
          <w:sz w:val="28"/>
          <w:szCs w:val="28"/>
        </w:rPr>
      </w:pPr>
    </w:p>
    <w:p w:rsidR="000D3F35" w:rsidRPr="008F6999" w:rsidRDefault="000D3F35" w:rsidP="00103196">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lastRenderedPageBreak/>
        <w:t>Tableau</w:t>
      </w:r>
      <w:r w:rsidR="006575B8">
        <w:rPr>
          <w:rFonts w:asciiTheme="majorBidi" w:hAnsiTheme="majorBidi" w:cstheme="majorBidi"/>
          <w:b/>
          <w:bCs/>
          <w:sz w:val="28"/>
          <w:szCs w:val="28"/>
        </w:rPr>
        <w:t xml:space="preserve"> 8 </w:t>
      </w:r>
      <w:r w:rsidRPr="008F6999">
        <w:rPr>
          <w:rFonts w:asciiTheme="majorBidi" w:hAnsiTheme="majorBidi" w:cstheme="majorBidi"/>
          <w:b/>
          <w:bCs/>
          <w:sz w:val="28"/>
          <w:szCs w:val="28"/>
        </w:rPr>
        <w:t xml:space="preserve">: </w:t>
      </w:r>
      <w:r w:rsidRPr="008F6999">
        <w:rPr>
          <w:rFonts w:asciiTheme="majorBidi" w:hAnsiTheme="majorBidi" w:cstheme="majorBidi"/>
          <w:sz w:val="28"/>
          <w:szCs w:val="28"/>
        </w:rPr>
        <w:t>Mode de calcul de l’indicateur viabilité économique selon Vilain 2000 et les</w:t>
      </w:r>
      <w:r w:rsidR="006575B8">
        <w:rPr>
          <w:rFonts w:asciiTheme="majorBidi" w:hAnsiTheme="majorBidi" w:cstheme="majorBidi"/>
          <w:sz w:val="28"/>
          <w:szCs w:val="28"/>
        </w:rPr>
        <w:t xml:space="preserve"> </w:t>
      </w:r>
      <w:r w:rsidRPr="008F6999">
        <w:rPr>
          <w:rFonts w:asciiTheme="majorBidi" w:hAnsiTheme="majorBidi" w:cstheme="majorBidi"/>
          <w:sz w:val="28"/>
          <w:szCs w:val="28"/>
        </w:rPr>
        <w:t>modifications apportées.</w:t>
      </w:r>
    </w:p>
    <w:tbl>
      <w:tblPr>
        <w:tblStyle w:val="Grilledutableau"/>
        <w:tblW w:w="0" w:type="auto"/>
        <w:tblLook w:val="04A0"/>
      </w:tblPr>
      <w:tblGrid>
        <w:gridCol w:w="3345"/>
        <w:gridCol w:w="1261"/>
        <w:gridCol w:w="3150"/>
        <w:gridCol w:w="1456"/>
      </w:tblGrid>
      <w:tr w:rsidR="000D3F35" w:rsidRPr="008F6999" w:rsidTr="00EA67A4">
        <w:tc>
          <w:tcPr>
            <w:tcW w:w="4606" w:type="dxa"/>
            <w:gridSpan w:val="2"/>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b/>
                <w:bCs/>
                <w:sz w:val="28"/>
                <w:szCs w:val="28"/>
              </w:rPr>
              <w:t>IDEA (Vilain 2000)</w:t>
            </w:r>
          </w:p>
        </w:tc>
        <w:tc>
          <w:tcPr>
            <w:tcW w:w="4606" w:type="dxa"/>
            <w:gridSpan w:val="2"/>
          </w:tcPr>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Pr>
                <w:rFonts w:asciiTheme="majorBidi" w:hAnsiTheme="majorBidi" w:cstheme="majorBidi"/>
                <w:b/>
                <w:bCs/>
                <w:sz w:val="28"/>
                <w:szCs w:val="28"/>
              </w:rPr>
              <w:t>DIAMOND</w:t>
            </w:r>
          </w:p>
        </w:tc>
      </w:tr>
      <w:tr w:rsidR="000D3F35" w:rsidRPr="008F6999" w:rsidTr="00EA67A4">
        <w:tc>
          <w:tcPr>
            <w:tcW w:w="3345" w:type="dxa"/>
            <w:tcBorders>
              <w:righ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Modalité </w:t>
            </w:r>
          </w:p>
        </w:tc>
        <w:tc>
          <w:tcPr>
            <w:tcW w:w="1261" w:type="dxa"/>
            <w:tcBorders>
              <w:lef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Points </w:t>
            </w:r>
          </w:p>
        </w:tc>
        <w:tc>
          <w:tcPr>
            <w:tcW w:w="3150" w:type="dxa"/>
            <w:tcBorders>
              <w:righ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Modalité </w:t>
            </w:r>
          </w:p>
        </w:tc>
        <w:tc>
          <w:tcPr>
            <w:tcW w:w="1456" w:type="dxa"/>
            <w:tcBorders>
              <w:lef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Points </w:t>
            </w:r>
          </w:p>
        </w:tc>
      </w:tr>
      <w:tr w:rsidR="000D3F35" w:rsidRPr="008F6999" w:rsidTr="00EA67A4">
        <w:tc>
          <w:tcPr>
            <w:tcW w:w="3345" w:type="dxa"/>
            <w:tcBorders>
              <w:righ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Viabilité économique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Moins de 1 Smig: 0    </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de 1 à 1,2 Smig: 1      </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de 1,2 à 1,4 Smig: 2</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de 1,4 à 1,6 Smig: 5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1,6 à 1,8 Smig: 8</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de 1,8 à 2 Smig: 10</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de 2 à 2,2 Smig: 12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2,2 à 2,4 Smig: 14</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2,4 à 2,6 Smig: 16</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2,6 à 2,8 Smig: 18</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2,8 à 3 Smig: 19</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Plus de 3 Smig: 20</w:t>
            </w:r>
          </w:p>
        </w:tc>
        <w:tc>
          <w:tcPr>
            <w:tcW w:w="1261"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20</w:t>
            </w: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3150" w:type="dxa"/>
            <w:tcBorders>
              <w:right w:val="single" w:sz="4" w:space="0" w:color="auto"/>
            </w:tcBorders>
          </w:tcPr>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Marge nette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Moins de 0.5 Smig : 0    </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de 0.5 à 1 Smig : 1      </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de 1 à 1,5 Smig : 2</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de 1,5 à 2 Smig : 3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de 2 à 5 Smig : 6</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de 5 à 9 Smig : 8</w:t>
            </w:r>
          </w:p>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r w:rsidRPr="008F6999">
              <w:rPr>
                <w:rFonts w:asciiTheme="majorBidi" w:hAnsiTheme="majorBidi" w:cstheme="majorBidi"/>
                <w:sz w:val="28"/>
                <w:szCs w:val="28"/>
              </w:rPr>
              <w:t xml:space="preserve">plus de 9 Smig : 10 </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1456"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w:t>
            </w: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r>
    </w:tbl>
    <w:p w:rsidR="000D3F35" w:rsidRPr="008F6999" w:rsidRDefault="000D3F35" w:rsidP="000407A0">
      <w:pPr>
        <w:spacing w:before="240" w:line="312" w:lineRule="auto"/>
        <w:jc w:val="both"/>
        <w:rPr>
          <w:rFonts w:asciiTheme="majorBidi" w:hAnsiTheme="majorBidi" w:cstheme="majorBidi"/>
          <w:b/>
          <w:bCs/>
          <w:sz w:val="28"/>
          <w:szCs w:val="28"/>
          <w:u w:val="single"/>
        </w:rPr>
      </w:pPr>
      <w:r w:rsidRPr="008F6999">
        <w:rPr>
          <w:rFonts w:asciiTheme="majorBidi" w:hAnsiTheme="majorBidi" w:cstheme="majorBidi"/>
          <w:b/>
          <w:bCs/>
          <w:sz w:val="28"/>
          <w:szCs w:val="28"/>
        </w:rPr>
        <w:t xml:space="preserve">1.5.3.2.  </w:t>
      </w:r>
      <w:r w:rsidRPr="008F6999">
        <w:rPr>
          <w:rFonts w:asciiTheme="majorBidi" w:hAnsiTheme="majorBidi" w:cstheme="majorBidi"/>
          <w:b/>
          <w:bCs/>
          <w:sz w:val="28"/>
          <w:szCs w:val="28"/>
          <w:u w:val="single"/>
        </w:rPr>
        <w:t>Efficience du processus productif</w:t>
      </w:r>
      <w:r w:rsidRPr="008F6999">
        <w:rPr>
          <w:rFonts w:asciiTheme="majorBidi" w:hAnsiTheme="majorBidi" w:cstheme="majorBidi"/>
          <w:b/>
          <w:bCs/>
          <w:sz w:val="28"/>
          <w:szCs w:val="28"/>
        </w:rPr>
        <w:t> (E)</w:t>
      </w:r>
    </w:p>
    <w:p w:rsidR="000D3F35" w:rsidRPr="00D7480B" w:rsidRDefault="000D3F35" w:rsidP="00C65E4A">
      <w:pPr>
        <w:spacing w:line="312" w:lineRule="auto"/>
        <w:jc w:val="both"/>
        <w:rPr>
          <w:rFonts w:asciiTheme="majorBidi" w:eastAsia="Times New Roman" w:hAnsiTheme="majorBidi" w:cstheme="majorBidi"/>
          <w:b/>
          <w:bCs/>
          <w:sz w:val="28"/>
          <w:szCs w:val="28"/>
          <w:u w:val="single"/>
        </w:rPr>
      </w:pPr>
      <w:r w:rsidRPr="00D7480B">
        <w:rPr>
          <w:rFonts w:asciiTheme="majorBidi" w:eastAsia="Times New Roman" w:hAnsiTheme="majorBidi" w:cstheme="majorBidi"/>
          <w:b/>
          <w:bCs/>
          <w:sz w:val="28"/>
          <w:szCs w:val="28"/>
        </w:rPr>
        <w:t>1)</w:t>
      </w:r>
      <w:r w:rsidRPr="00D7480B">
        <w:rPr>
          <w:rFonts w:asciiTheme="majorBidi" w:eastAsia="Times New Roman" w:hAnsiTheme="majorBidi" w:cstheme="majorBidi"/>
          <w:b/>
          <w:bCs/>
          <w:sz w:val="28"/>
          <w:szCs w:val="28"/>
          <w:u w:val="single"/>
        </w:rPr>
        <w:t xml:space="preserve"> Caractéristiques et importance:</w:t>
      </w:r>
    </w:p>
    <w:p w:rsidR="000D3F35" w:rsidRPr="008F6999" w:rsidRDefault="000D3F35" w:rsidP="000407A0">
      <w:pPr>
        <w:spacing w:line="312" w:lineRule="auto"/>
        <w:ind w:firstLine="284"/>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 xml:space="preserve">Cet indicateur favorise la tendance vers l’autonomie et l’économie des ressources. Il exprime le taux de dépendance aux intrants et caractérise des systèmes qui valorisent leurs potentialités et leurs savoir-faire en matière de production, de transformation, de commercialisation et de services (Vilain, 2003).    </w:t>
      </w:r>
    </w:p>
    <w:p w:rsidR="000D3F35" w:rsidRPr="00D7480B" w:rsidRDefault="000D3F35" w:rsidP="00C65E4A">
      <w:pPr>
        <w:spacing w:line="312" w:lineRule="auto"/>
        <w:jc w:val="both"/>
        <w:rPr>
          <w:rFonts w:asciiTheme="majorBidi" w:eastAsia="Times New Roman" w:hAnsiTheme="majorBidi" w:cstheme="majorBidi"/>
          <w:b/>
          <w:bCs/>
          <w:sz w:val="28"/>
          <w:szCs w:val="28"/>
          <w:u w:val="single"/>
        </w:rPr>
      </w:pPr>
      <w:r w:rsidRPr="00D7480B">
        <w:rPr>
          <w:rFonts w:asciiTheme="majorBidi" w:eastAsia="Times New Roman" w:hAnsiTheme="majorBidi" w:cstheme="majorBidi"/>
          <w:b/>
          <w:bCs/>
          <w:sz w:val="28"/>
          <w:szCs w:val="28"/>
          <w:u w:val="single"/>
        </w:rPr>
        <w:lastRenderedPageBreak/>
        <w:t>2) Mode de calcul</w:t>
      </w:r>
    </w:p>
    <w:p w:rsidR="000D3F35" w:rsidRDefault="000D3F35" w:rsidP="00C65E4A">
      <w:pPr>
        <w:spacing w:line="312" w:lineRule="auto"/>
        <w:jc w:val="center"/>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Efficience(%)</w:t>
      </w:r>
      <w:r w:rsidRPr="008F6999">
        <w:rPr>
          <w:rFonts w:asciiTheme="majorBidi" w:eastAsia="Times New Roman" w:hAnsiTheme="majorBidi" w:cstheme="majorBidi"/>
          <w:sz w:val="28"/>
          <w:szCs w:val="28"/>
        </w:rPr>
        <w:t xml:space="preserve"> = </w:t>
      </w:r>
      <m:oMath>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Produits-intrants</m:t>
            </m:r>
          </m:e>
        </m:d>
        <m:r>
          <w:rPr>
            <w:rFonts w:ascii="Cambria Math" w:eastAsia="Times New Roman" w:hAnsi="Cambria Math" w:cstheme="majorBidi"/>
            <w:sz w:val="28"/>
            <w:szCs w:val="28"/>
          </w:rPr>
          <m:t>*100/Produits</m:t>
        </m:r>
      </m:oMath>
    </w:p>
    <w:p w:rsidR="000D3F35" w:rsidRPr="008F6999" w:rsidRDefault="00DA5FE1" w:rsidP="00C65E4A">
      <w:pPr>
        <w:spacing w:line="312" w:lineRule="auto"/>
        <w:jc w:val="both"/>
        <w:rPr>
          <w:rFonts w:asciiTheme="majorBidi" w:eastAsia="Times New Roman" w:hAnsiTheme="majorBidi" w:cstheme="majorBidi"/>
          <w:sz w:val="28"/>
          <w:szCs w:val="28"/>
        </w:rPr>
      </w:pPr>
      <w:r w:rsidRPr="00D7480B">
        <w:rPr>
          <w:rFonts w:asciiTheme="majorBidi" w:eastAsia="Times New Roman" w:hAnsiTheme="majorBidi" w:cstheme="majorBidi"/>
          <w:b/>
          <w:bCs/>
          <w:sz w:val="28"/>
          <w:szCs w:val="28"/>
        </w:rPr>
        <w:t>3</w:t>
      </w:r>
      <w:r>
        <w:rPr>
          <w:rFonts w:asciiTheme="majorBidi" w:eastAsia="Times New Roman" w:hAnsiTheme="majorBidi" w:cstheme="majorBidi"/>
          <w:b/>
          <w:bCs/>
          <w:sz w:val="28"/>
          <w:szCs w:val="28"/>
        </w:rPr>
        <w:t>)</w:t>
      </w:r>
      <w:r w:rsidRPr="00D7480B">
        <w:rPr>
          <w:rFonts w:asciiTheme="majorBidi" w:eastAsia="Times New Roman" w:hAnsiTheme="majorBidi" w:cstheme="majorBidi"/>
          <w:b/>
          <w:bCs/>
          <w:sz w:val="28"/>
          <w:szCs w:val="28"/>
          <w:u w:val="single"/>
        </w:rPr>
        <w:t xml:space="preserve"> Interprétation</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Efficience inférieure à 10% : 0 point</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10 et 20% : 1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20 et 30% : 2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30 et 40% : 3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40 et 50% : 4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50 et 60% : 5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60 et 70% : 6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70 et 80% : 7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Comprise entre 80 et 90% : </w:t>
      </w:r>
      <w:r w:rsidRPr="008F6999">
        <w:rPr>
          <w:rFonts w:asciiTheme="majorBidi" w:hAnsiTheme="majorBidi" w:cstheme="majorBidi"/>
          <w:b/>
          <w:bCs/>
          <w:sz w:val="28"/>
          <w:szCs w:val="28"/>
        </w:rPr>
        <w:t>8</w:t>
      </w:r>
      <w:r w:rsidRPr="008F6999">
        <w:rPr>
          <w:rFonts w:asciiTheme="majorBidi" w:hAnsiTheme="majorBidi" w:cstheme="majorBidi"/>
          <w:sz w:val="28"/>
          <w:szCs w:val="28"/>
        </w:rPr>
        <w:t xml:space="preserve"> points</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Comprise entre 90-95% : 9 points</w:t>
      </w:r>
    </w:p>
    <w:p w:rsidR="000D3F35" w:rsidRPr="008F6999" w:rsidRDefault="000D3F35" w:rsidP="00C65E4A">
      <w:pPr>
        <w:spacing w:line="312" w:lineRule="auto"/>
        <w:jc w:val="both"/>
        <w:rPr>
          <w:rFonts w:asciiTheme="majorBidi" w:hAnsiTheme="majorBidi" w:cstheme="majorBidi"/>
          <w:color w:val="000000"/>
          <w:sz w:val="28"/>
          <w:szCs w:val="28"/>
        </w:rPr>
      </w:pPr>
      <w:r w:rsidRPr="008F6999">
        <w:rPr>
          <w:rFonts w:asciiTheme="majorBidi" w:hAnsiTheme="majorBidi" w:cstheme="majorBidi"/>
          <w:sz w:val="28"/>
          <w:szCs w:val="28"/>
        </w:rPr>
        <w:t xml:space="preserve">Supérieure à 95 % : 10 </w:t>
      </w:r>
      <w:r w:rsidRPr="008F6999">
        <w:rPr>
          <w:rFonts w:asciiTheme="majorBidi" w:hAnsiTheme="majorBidi" w:cstheme="majorBidi"/>
          <w:color w:val="000000"/>
          <w:sz w:val="28"/>
          <w:szCs w:val="28"/>
        </w:rPr>
        <w:t xml:space="preserve">points </w:t>
      </w:r>
    </w:p>
    <w:p w:rsidR="000D3F35" w:rsidRPr="008F6999" w:rsidRDefault="00201C1F" w:rsidP="00C65E4A">
      <w:pPr>
        <w:spacing w:line="312" w:lineRule="auto"/>
        <w:jc w:val="both"/>
        <w:rPr>
          <w:rFonts w:asciiTheme="majorBidi" w:hAnsiTheme="majorBidi" w:cstheme="majorBidi"/>
          <w:b/>
          <w:bCs/>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.5.3.3. </w:t>
      </w:r>
      <w:r w:rsidR="000D3F35" w:rsidRPr="008F6999">
        <w:rPr>
          <w:rFonts w:asciiTheme="majorBidi" w:hAnsiTheme="majorBidi" w:cstheme="majorBidi"/>
          <w:b/>
          <w:bCs/>
          <w:sz w:val="28"/>
          <w:szCs w:val="28"/>
          <w:u w:val="single"/>
        </w:rPr>
        <w:t>Taux de spécialisation économique</w:t>
      </w:r>
      <w:r w:rsidR="000D3F35" w:rsidRPr="008F6999">
        <w:rPr>
          <w:rFonts w:asciiTheme="majorBidi" w:hAnsiTheme="majorBidi" w:cstheme="majorBidi"/>
          <w:b/>
          <w:bCs/>
          <w:sz w:val="28"/>
          <w:szCs w:val="28"/>
        </w:rPr>
        <w:t> (TSE)</w:t>
      </w:r>
    </w:p>
    <w:p w:rsidR="000D3F35" w:rsidRPr="00D7480B" w:rsidRDefault="000D3F35" w:rsidP="00C65E4A">
      <w:pPr>
        <w:spacing w:line="312" w:lineRule="auto"/>
        <w:jc w:val="both"/>
        <w:rPr>
          <w:rFonts w:asciiTheme="majorBidi" w:hAnsiTheme="majorBidi" w:cstheme="majorBidi"/>
          <w:b/>
          <w:bCs/>
          <w:sz w:val="28"/>
          <w:szCs w:val="28"/>
        </w:rPr>
      </w:pPr>
      <w:r w:rsidRPr="00D7480B">
        <w:rPr>
          <w:rFonts w:asciiTheme="majorBidi" w:hAnsiTheme="majorBidi" w:cstheme="majorBidi"/>
          <w:b/>
          <w:bCs/>
          <w:sz w:val="28"/>
          <w:szCs w:val="28"/>
        </w:rPr>
        <w:t xml:space="preserve">1) </w:t>
      </w:r>
      <w:r w:rsidRPr="00D7480B">
        <w:rPr>
          <w:rFonts w:asciiTheme="majorBidi" w:hAnsiTheme="majorBidi" w:cstheme="majorBidi"/>
          <w:b/>
          <w:bCs/>
          <w:sz w:val="28"/>
          <w:szCs w:val="28"/>
          <w:u w:val="single"/>
        </w:rPr>
        <w:t>Caractérisation et importance</w:t>
      </w:r>
      <w:r w:rsidRPr="00D7480B">
        <w:rPr>
          <w:rFonts w:asciiTheme="majorBidi" w:hAnsiTheme="majorBidi" w:cstheme="majorBidi"/>
          <w:b/>
          <w:bCs/>
          <w:sz w:val="28"/>
          <w:szCs w:val="28"/>
        </w:rPr>
        <w:t> </w:t>
      </w:r>
    </w:p>
    <w:p w:rsidR="000D3F35" w:rsidRPr="008F6999" w:rsidRDefault="000D3F35" w:rsidP="000407A0">
      <w:pPr>
        <w:spacing w:line="312" w:lineRule="auto"/>
        <w:ind w:firstLine="284"/>
        <w:jc w:val="both"/>
        <w:rPr>
          <w:rFonts w:asciiTheme="majorBidi" w:eastAsia="Times New Roman" w:hAnsiTheme="majorBidi" w:cstheme="majorBidi"/>
          <w:color w:val="FF0000"/>
          <w:sz w:val="28"/>
          <w:szCs w:val="28"/>
        </w:rPr>
      </w:pPr>
      <w:r w:rsidRPr="008F6999">
        <w:rPr>
          <w:rFonts w:asciiTheme="majorBidi" w:hAnsiTheme="majorBidi" w:cstheme="majorBidi"/>
          <w:sz w:val="28"/>
          <w:szCs w:val="28"/>
        </w:rPr>
        <w:t>Les objectifs d’adaptabilité et de cohérence constituent l’essentiel de cet indicateur : une exploitation agricole diversifiée est moins fragile face aux contraintes économiques (évolution des marchés, des prix des intrants, des primes …) et face aux aléas climatiques ou parasitaires</w:t>
      </w:r>
      <w:r w:rsidRPr="008F6999">
        <w:rPr>
          <w:rFonts w:asciiTheme="majorBidi" w:eastAsia="Times New Roman" w:hAnsiTheme="majorBidi" w:cstheme="majorBidi"/>
          <w:sz w:val="28"/>
          <w:szCs w:val="28"/>
        </w:rPr>
        <w:t xml:space="preserve"> (Girardin et al., 2004). A l’inverse, une monoproduction double d’un acheteur unique cumule ainsi les facteurs de risque (Vilain, 2008).</w:t>
      </w:r>
    </w:p>
    <w:p w:rsidR="000D3F35" w:rsidRDefault="000D3F35" w:rsidP="00C65E4A">
      <w:pPr>
        <w:spacing w:line="312" w:lineRule="auto"/>
        <w:jc w:val="both"/>
        <w:rPr>
          <w:rFonts w:asciiTheme="majorBidi" w:eastAsia="Times New Roman" w:hAnsiTheme="majorBidi" w:cstheme="majorBidi"/>
          <w:sz w:val="28"/>
          <w:szCs w:val="28"/>
          <w:u w:val="single"/>
        </w:rPr>
      </w:pPr>
    </w:p>
    <w:p w:rsidR="000407A0" w:rsidRPr="008F6999" w:rsidRDefault="000407A0" w:rsidP="00C65E4A">
      <w:pPr>
        <w:spacing w:line="312" w:lineRule="auto"/>
        <w:jc w:val="both"/>
        <w:rPr>
          <w:rFonts w:asciiTheme="majorBidi" w:eastAsia="Times New Roman" w:hAnsiTheme="majorBidi" w:cstheme="majorBidi"/>
          <w:sz w:val="28"/>
          <w:szCs w:val="28"/>
          <w:u w:val="single"/>
        </w:rPr>
      </w:pPr>
    </w:p>
    <w:p w:rsidR="000D3F35" w:rsidRPr="008F6999" w:rsidRDefault="000D3F35" w:rsidP="00C65E4A">
      <w:pPr>
        <w:spacing w:line="312" w:lineRule="auto"/>
        <w:jc w:val="both"/>
        <w:rPr>
          <w:rFonts w:asciiTheme="majorBidi" w:eastAsia="Times New Roman" w:hAnsiTheme="majorBidi" w:cstheme="majorBidi"/>
          <w:sz w:val="28"/>
          <w:szCs w:val="28"/>
          <w:u w:val="single"/>
        </w:rPr>
      </w:pPr>
      <w:r w:rsidRPr="00D7480B">
        <w:rPr>
          <w:rFonts w:asciiTheme="majorBidi" w:eastAsia="Times New Roman" w:hAnsiTheme="majorBidi" w:cstheme="majorBidi"/>
          <w:b/>
          <w:bCs/>
          <w:sz w:val="28"/>
          <w:szCs w:val="28"/>
        </w:rPr>
        <w:lastRenderedPageBreak/>
        <w:t xml:space="preserve">2) </w:t>
      </w:r>
      <w:r w:rsidRPr="00D7480B">
        <w:rPr>
          <w:rFonts w:asciiTheme="majorBidi" w:eastAsia="Times New Roman" w:hAnsiTheme="majorBidi" w:cstheme="majorBidi"/>
          <w:b/>
          <w:bCs/>
          <w:sz w:val="28"/>
          <w:szCs w:val="28"/>
          <w:u w:val="single"/>
        </w:rPr>
        <w:t>Mode de calcul</w:t>
      </w:r>
      <w:r w:rsidRPr="008F6999">
        <w:rPr>
          <w:rFonts w:asciiTheme="majorBidi" w:eastAsia="Times New Roman" w:hAnsiTheme="majorBidi" w:cstheme="majorBidi"/>
          <w:sz w:val="28"/>
          <w:szCs w:val="28"/>
        </w:rPr>
        <w:t> :</w:t>
      </w:r>
    </w:p>
    <w:p w:rsidR="000D3F35" w:rsidRDefault="000D3F35" w:rsidP="00C65E4A">
      <w:pPr>
        <w:spacing w:line="312" w:lineRule="auto"/>
        <w:jc w:val="center"/>
        <w:rPr>
          <w:rFonts w:asciiTheme="majorBidi" w:hAnsiTheme="majorBidi" w:cstheme="majorBidi"/>
          <w:bCs/>
          <w:sz w:val="28"/>
          <w:szCs w:val="28"/>
        </w:rPr>
      </w:pPr>
      <w:r w:rsidRPr="00537103">
        <w:rPr>
          <w:rFonts w:asciiTheme="majorBidi" w:hAnsiTheme="majorBidi" w:cstheme="majorBidi"/>
          <w:b/>
          <w:bCs/>
          <w:sz w:val="28"/>
          <w:szCs w:val="28"/>
        </w:rPr>
        <w:t>TSE (%)</w:t>
      </w:r>
      <w:r w:rsidRPr="008F6999">
        <w:rPr>
          <w:rFonts w:asciiTheme="majorBidi" w:hAnsiTheme="majorBidi" w:cstheme="majorBidi"/>
          <w:bCs/>
          <w:sz w:val="28"/>
          <w:szCs w:val="28"/>
        </w:rPr>
        <w:t xml:space="preserve"> = (Part de produit de la filière *100) /  produit total</w:t>
      </w:r>
    </w:p>
    <w:p w:rsidR="000D3F35" w:rsidRPr="00D7480B" w:rsidRDefault="000D3F35" w:rsidP="00C65E4A">
      <w:pPr>
        <w:spacing w:line="312" w:lineRule="auto"/>
        <w:jc w:val="both"/>
        <w:rPr>
          <w:rFonts w:asciiTheme="majorBidi" w:eastAsia="Times New Roman" w:hAnsiTheme="majorBidi" w:cstheme="majorBidi"/>
          <w:b/>
          <w:bCs/>
          <w:sz w:val="28"/>
          <w:szCs w:val="28"/>
        </w:rPr>
      </w:pPr>
      <w:r w:rsidRPr="00D7480B">
        <w:rPr>
          <w:rFonts w:asciiTheme="majorBidi" w:eastAsia="Times New Roman" w:hAnsiTheme="majorBidi" w:cstheme="majorBidi"/>
          <w:b/>
          <w:bCs/>
          <w:sz w:val="28"/>
          <w:szCs w:val="28"/>
        </w:rPr>
        <w:t xml:space="preserve">3) </w:t>
      </w:r>
      <w:r w:rsidRPr="00D7480B">
        <w:rPr>
          <w:rFonts w:asciiTheme="majorBidi" w:eastAsia="Times New Roman" w:hAnsiTheme="majorBidi" w:cstheme="majorBidi"/>
          <w:b/>
          <w:bCs/>
          <w:sz w:val="28"/>
          <w:szCs w:val="28"/>
          <w:u w:val="single"/>
        </w:rPr>
        <w:t>Interprétation</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a)   la plus importante activité génère :</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moins de 25 % du chiffre d’affaire : 6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de 25 à 50 % du chiffre d’affaire : 4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de 50 à 80 % du chiffre d’affaire : 2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plus de 80 % du chiffre d’affaire : 0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b)   le plus important client achète :</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moins de 25 % du chiffre d’affaire : 4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de 25 – 50 % du chiffre d’affaire : 2 points</w:t>
      </w:r>
    </w:p>
    <w:p w:rsidR="000D3F35" w:rsidRPr="008F6999"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sz w:val="28"/>
          <w:szCs w:val="28"/>
        </w:rPr>
        <w:t>plus de 50 % du chiffre d’affaire : 0 points</w:t>
      </w:r>
    </w:p>
    <w:p w:rsidR="000D3F35" w:rsidRPr="008F6999" w:rsidRDefault="00201C1F" w:rsidP="00C65E4A">
      <w:pPr>
        <w:spacing w:line="312" w:lineRule="auto"/>
        <w:jc w:val="both"/>
        <w:rPr>
          <w:rFonts w:asciiTheme="majorBidi" w:hAnsiTheme="majorBidi" w:cstheme="majorBidi"/>
          <w:b/>
          <w:bCs/>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.5.3.4. </w:t>
      </w:r>
      <w:r w:rsidR="000D3F35" w:rsidRPr="008F6999">
        <w:rPr>
          <w:rFonts w:asciiTheme="majorBidi" w:hAnsiTheme="majorBidi" w:cstheme="majorBidi"/>
          <w:b/>
          <w:bCs/>
          <w:sz w:val="28"/>
          <w:szCs w:val="28"/>
          <w:u w:val="single"/>
        </w:rPr>
        <w:t>Sensibilité aux aides directes</w:t>
      </w:r>
      <w:r w:rsidR="000D3F35" w:rsidRPr="008F6999">
        <w:rPr>
          <w:rFonts w:asciiTheme="majorBidi" w:hAnsiTheme="majorBidi" w:cstheme="majorBidi"/>
          <w:b/>
          <w:bCs/>
          <w:sz w:val="28"/>
          <w:szCs w:val="28"/>
        </w:rPr>
        <w:t> (SA)</w:t>
      </w:r>
    </w:p>
    <w:p w:rsidR="000D3F35" w:rsidRPr="008F6999" w:rsidRDefault="000D3F35" w:rsidP="00C65E4A">
      <w:pPr>
        <w:spacing w:line="312" w:lineRule="auto"/>
        <w:jc w:val="both"/>
        <w:rPr>
          <w:rFonts w:asciiTheme="majorBidi" w:hAnsiTheme="majorBidi" w:cstheme="majorBidi"/>
          <w:sz w:val="28"/>
          <w:szCs w:val="28"/>
          <w:u w:val="single"/>
        </w:rPr>
      </w:pPr>
      <w:r w:rsidRPr="00D7480B">
        <w:rPr>
          <w:rFonts w:asciiTheme="majorBidi" w:eastAsia="Times New Roman" w:hAnsiTheme="majorBidi" w:cstheme="majorBidi"/>
          <w:b/>
          <w:bCs/>
          <w:sz w:val="28"/>
          <w:szCs w:val="28"/>
        </w:rPr>
        <w:t xml:space="preserve">1) </w:t>
      </w:r>
      <w:r w:rsidRPr="00D7480B">
        <w:rPr>
          <w:rFonts w:asciiTheme="majorBidi" w:eastAsia="Times New Roman" w:hAnsiTheme="majorBidi" w:cstheme="majorBidi"/>
          <w:b/>
          <w:bCs/>
          <w:sz w:val="28"/>
          <w:szCs w:val="28"/>
          <w:u w:val="single"/>
        </w:rPr>
        <w:t>Caractéristiques et importance</w:t>
      </w:r>
      <w:r w:rsidRPr="008F6999">
        <w:rPr>
          <w:rFonts w:asciiTheme="majorBidi" w:eastAsia="Times New Roman" w:hAnsiTheme="majorBidi" w:cstheme="majorBidi"/>
          <w:sz w:val="28"/>
          <w:szCs w:val="28"/>
        </w:rPr>
        <w:t>:</w:t>
      </w:r>
    </w:p>
    <w:p w:rsidR="000D3F35" w:rsidRPr="008F6999" w:rsidRDefault="000D3F35" w:rsidP="000407A0">
      <w:pPr>
        <w:spacing w:line="312" w:lineRule="auto"/>
        <w:ind w:firstLine="284"/>
        <w:jc w:val="both"/>
        <w:rPr>
          <w:rFonts w:asciiTheme="majorBidi" w:hAnsiTheme="majorBidi" w:cstheme="majorBidi"/>
          <w:color w:val="FF0000"/>
          <w:sz w:val="28"/>
          <w:szCs w:val="28"/>
          <w:u w:val="single"/>
        </w:rPr>
      </w:pPr>
      <w:r w:rsidRPr="008F6999">
        <w:rPr>
          <w:rFonts w:asciiTheme="majorBidi" w:eastAsia="Times New Roman" w:hAnsiTheme="majorBidi" w:cstheme="majorBidi"/>
          <w:sz w:val="28"/>
          <w:szCs w:val="28"/>
        </w:rPr>
        <w:t>Cet indicateur traduit la dépendance aux aides liées au système de production. L’idéal est de ne dépendre d’aucune aide</w:t>
      </w:r>
      <w:r w:rsidR="00DA5FE1">
        <w:rPr>
          <w:rFonts w:asciiTheme="majorBidi" w:eastAsia="Times New Roman" w:hAnsiTheme="majorBidi" w:cstheme="majorBidi"/>
          <w:sz w:val="28"/>
          <w:szCs w:val="28"/>
        </w:rPr>
        <w:t xml:space="preserve"> </w:t>
      </w:r>
      <w:r w:rsidRPr="008F6999">
        <w:rPr>
          <w:rFonts w:asciiTheme="majorBidi" w:eastAsia="Times New Roman" w:hAnsiTheme="majorBidi" w:cstheme="majorBidi"/>
          <w:sz w:val="28"/>
          <w:szCs w:val="28"/>
        </w:rPr>
        <w:t>(Civam, 2008).</w:t>
      </w:r>
      <w:r w:rsidRPr="008F6999">
        <w:rPr>
          <w:rFonts w:asciiTheme="majorBidi" w:hAnsiTheme="majorBidi" w:cstheme="majorBidi"/>
          <w:sz w:val="28"/>
          <w:szCs w:val="28"/>
        </w:rPr>
        <w:t>L’indicateur prend en compte les subventions d’exploitation et autres aides publiques à la production versées aux</w:t>
      </w:r>
      <w:r w:rsidR="00DA5FE1">
        <w:rPr>
          <w:rFonts w:asciiTheme="majorBidi" w:hAnsiTheme="majorBidi" w:cstheme="majorBidi"/>
          <w:sz w:val="28"/>
          <w:szCs w:val="28"/>
        </w:rPr>
        <w:t xml:space="preserve"> </w:t>
      </w:r>
      <w:r w:rsidRPr="008F6999">
        <w:rPr>
          <w:rFonts w:asciiTheme="majorBidi" w:hAnsiTheme="majorBidi" w:cstheme="majorBidi"/>
          <w:sz w:val="28"/>
          <w:szCs w:val="28"/>
        </w:rPr>
        <w:t>exploitations, et exclut les aides financées directement par les producteurs, les aides à l’investissement et les aides</w:t>
      </w:r>
      <w:r w:rsidR="00DA5FE1">
        <w:rPr>
          <w:rFonts w:asciiTheme="majorBidi" w:hAnsiTheme="majorBidi" w:cstheme="majorBidi"/>
          <w:sz w:val="28"/>
          <w:szCs w:val="28"/>
        </w:rPr>
        <w:t xml:space="preserve"> </w:t>
      </w:r>
      <w:r w:rsidRPr="008F6999">
        <w:rPr>
          <w:rFonts w:asciiTheme="majorBidi" w:hAnsiTheme="majorBidi" w:cstheme="majorBidi"/>
          <w:sz w:val="28"/>
          <w:szCs w:val="28"/>
        </w:rPr>
        <w:t>indirectes sous forme de bonification d’intérêts. Dès lors que plus de 80% de l’EBE provient d’aides directes, le système est</w:t>
      </w:r>
      <w:r w:rsidR="00DA5FE1">
        <w:rPr>
          <w:rFonts w:asciiTheme="majorBidi" w:hAnsiTheme="majorBidi" w:cstheme="majorBidi"/>
          <w:sz w:val="28"/>
          <w:szCs w:val="28"/>
        </w:rPr>
        <w:t xml:space="preserve"> </w:t>
      </w:r>
      <w:r w:rsidRPr="008F6999">
        <w:rPr>
          <w:rFonts w:asciiTheme="majorBidi" w:hAnsiTheme="majorBidi" w:cstheme="majorBidi"/>
          <w:sz w:val="28"/>
          <w:szCs w:val="28"/>
        </w:rPr>
        <w:t>considéré comme très sensible aux aides et à leurs fluctuations (Vilain, 2008 et Girardin et al., 2004).</w:t>
      </w:r>
    </w:p>
    <w:p w:rsidR="000D3F35" w:rsidRPr="00D7480B" w:rsidRDefault="000D3F35" w:rsidP="00C65E4A">
      <w:pPr>
        <w:spacing w:line="312" w:lineRule="auto"/>
        <w:jc w:val="both"/>
        <w:rPr>
          <w:rFonts w:asciiTheme="majorBidi" w:eastAsia="Times New Roman" w:hAnsiTheme="majorBidi" w:cstheme="majorBidi"/>
          <w:b/>
          <w:bCs/>
          <w:sz w:val="28"/>
          <w:szCs w:val="28"/>
          <w:u w:val="single"/>
        </w:rPr>
      </w:pPr>
      <w:r w:rsidRPr="00D7480B">
        <w:rPr>
          <w:rFonts w:asciiTheme="majorBidi" w:eastAsia="Times New Roman" w:hAnsiTheme="majorBidi" w:cstheme="majorBidi"/>
          <w:b/>
          <w:bCs/>
          <w:sz w:val="28"/>
          <w:szCs w:val="28"/>
        </w:rPr>
        <w:t xml:space="preserve">2) </w:t>
      </w:r>
      <w:r w:rsidRPr="00D7480B">
        <w:rPr>
          <w:rFonts w:asciiTheme="majorBidi" w:eastAsia="Times New Roman" w:hAnsiTheme="majorBidi" w:cstheme="majorBidi"/>
          <w:b/>
          <w:bCs/>
          <w:sz w:val="28"/>
          <w:szCs w:val="28"/>
          <w:u w:val="single"/>
        </w:rPr>
        <w:t>Mode de calcul</w:t>
      </w:r>
      <w:r w:rsidRPr="00D7480B">
        <w:rPr>
          <w:rFonts w:asciiTheme="majorBidi" w:eastAsia="Times New Roman" w:hAnsiTheme="majorBidi" w:cstheme="majorBidi"/>
          <w:b/>
          <w:bCs/>
          <w:sz w:val="28"/>
          <w:szCs w:val="28"/>
        </w:rPr>
        <w:t> :</w:t>
      </w:r>
    </w:p>
    <w:p w:rsidR="000D3F35" w:rsidRPr="008F6999" w:rsidRDefault="000D3F35" w:rsidP="00C65E4A">
      <w:pPr>
        <w:spacing w:line="312" w:lineRule="auto"/>
        <w:jc w:val="center"/>
        <w:rPr>
          <w:rFonts w:asciiTheme="majorBidi" w:eastAsia="+mn-ea" w:hAnsiTheme="majorBidi" w:cstheme="majorBidi"/>
          <w:bCs/>
          <w:color w:val="000000"/>
          <w:kern w:val="24"/>
          <w:sz w:val="28"/>
          <w:szCs w:val="28"/>
        </w:rPr>
      </w:pPr>
      <w:r w:rsidRPr="008F6999">
        <w:rPr>
          <w:rFonts w:asciiTheme="majorBidi" w:hAnsiTheme="majorBidi" w:cstheme="majorBidi"/>
          <w:sz w:val="28"/>
          <w:szCs w:val="28"/>
        </w:rPr>
        <w:t>Sensibilité aux aides directes</w:t>
      </w:r>
      <w:r w:rsidRPr="008F6999">
        <w:rPr>
          <w:rFonts w:asciiTheme="majorBidi" w:eastAsia="+mn-ea" w:hAnsiTheme="majorBidi" w:cstheme="majorBidi"/>
          <w:bCs/>
          <w:color w:val="000000"/>
          <w:kern w:val="24"/>
          <w:sz w:val="28"/>
          <w:szCs w:val="28"/>
        </w:rPr>
        <w:t xml:space="preserve">(%) = Totale des aides *100 / EBE </w:t>
      </w:r>
    </w:p>
    <w:p w:rsidR="000D3F35" w:rsidRPr="008F6999" w:rsidRDefault="000D3F35" w:rsidP="00C65E4A">
      <w:pPr>
        <w:spacing w:line="312" w:lineRule="auto"/>
        <w:jc w:val="both"/>
        <w:rPr>
          <w:rFonts w:asciiTheme="majorBidi" w:eastAsia="+mn-ea" w:hAnsiTheme="majorBidi" w:cstheme="majorBidi"/>
          <w:bCs/>
          <w:color w:val="000000"/>
          <w:kern w:val="24"/>
          <w:sz w:val="28"/>
          <w:szCs w:val="28"/>
        </w:rPr>
      </w:pPr>
      <w:r w:rsidRPr="008F6999">
        <w:rPr>
          <w:rFonts w:asciiTheme="majorBidi" w:eastAsia="+mn-ea" w:hAnsiTheme="majorBidi" w:cstheme="majorBidi"/>
          <w:bCs/>
          <w:color w:val="000000"/>
          <w:kern w:val="24"/>
          <w:sz w:val="28"/>
          <w:szCs w:val="28"/>
        </w:rPr>
        <w:t>EBE = Excédant Brute de l’Exploitation</w:t>
      </w:r>
    </w:p>
    <w:p w:rsidR="000D3F35" w:rsidRPr="00D7480B" w:rsidRDefault="000D3F35" w:rsidP="00C65E4A">
      <w:pPr>
        <w:autoSpaceDE w:val="0"/>
        <w:autoSpaceDN w:val="0"/>
        <w:adjustRightInd w:val="0"/>
        <w:spacing w:line="312" w:lineRule="auto"/>
        <w:rPr>
          <w:rFonts w:asciiTheme="majorBidi" w:hAnsiTheme="majorBidi" w:cstheme="majorBidi"/>
          <w:b/>
          <w:bCs/>
          <w:sz w:val="28"/>
          <w:szCs w:val="28"/>
          <w:u w:val="single"/>
        </w:rPr>
      </w:pPr>
      <w:r w:rsidRPr="00D7480B">
        <w:rPr>
          <w:rFonts w:asciiTheme="majorBidi" w:hAnsiTheme="majorBidi" w:cstheme="majorBidi"/>
          <w:b/>
          <w:bCs/>
          <w:sz w:val="28"/>
          <w:szCs w:val="28"/>
        </w:rPr>
        <w:lastRenderedPageBreak/>
        <w:t xml:space="preserve">3) </w:t>
      </w:r>
      <w:r w:rsidRPr="00D7480B">
        <w:rPr>
          <w:rFonts w:asciiTheme="majorBidi" w:hAnsiTheme="majorBidi" w:cstheme="majorBidi"/>
          <w:b/>
          <w:bCs/>
          <w:sz w:val="28"/>
          <w:szCs w:val="28"/>
          <w:u w:val="single"/>
        </w:rPr>
        <w:t>Interprétation</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Si : SA inférieure à 20% : 10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20 et 40% : 8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40 et 60% : 6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60 et 80% : 4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80 et 100% : 2 points</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Supérieure à 100% : 0 point</w:t>
      </w:r>
      <w:r>
        <w:rPr>
          <w:rFonts w:asciiTheme="majorBidi" w:hAnsiTheme="majorBidi" w:cstheme="majorBidi"/>
          <w:sz w:val="28"/>
          <w:szCs w:val="28"/>
        </w:rPr>
        <w:t>.</w:t>
      </w:r>
    </w:p>
    <w:p w:rsidR="000D3F35" w:rsidRPr="008F6999" w:rsidRDefault="00201C1F" w:rsidP="00C65E4A">
      <w:pPr>
        <w:spacing w:line="312" w:lineRule="auto"/>
        <w:jc w:val="both"/>
        <w:rPr>
          <w:rFonts w:asciiTheme="majorBidi" w:hAnsiTheme="majorBidi" w:cstheme="majorBidi"/>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.5.3.5. </w:t>
      </w:r>
      <w:r w:rsidR="000D3F35" w:rsidRPr="008F6999">
        <w:rPr>
          <w:rFonts w:asciiTheme="majorBidi" w:hAnsiTheme="majorBidi" w:cstheme="majorBidi"/>
          <w:b/>
          <w:bCs/>
          <w:sz w:val="28"/>
          <w:szCs w:val="28"/>
          <w:u w:val="single"/>
        </w:rPr>
        <w:t>Autonomie financière</w:t>
      </w:r>
      <w:r w:rsidR="000D3F35" w:rsidRPr="008F6999">
        <w:rPr>
          <w:rFonts w:asciiTheme="majorBidi" w:hAnsiTheme="majorBidi" w:cstheme="majorBidi"/>
          <w:b/>
          <w:bCs/>
          <w:sz w:val="28"/>
          <w:szCs w:val="28"/>
        </w:rPr>
        <w:t> :</w:t>
      </w:r>
    </w:p>
    <w:p w:rsidR="000D3F35" w:rsidRPr="008F6999" w:rsidRDefault="000D3F35" w:rsidP="00C65E4A">
      <w:pPr>
        <w:spacing w:line="312" w:lineRule="auto"/>
        <w:jc w:val="both"/>
        <w:rPr>
          <w:rFonts w:asciiTheme="majorBidi" w:eastAsia="Times New Roman" w:hAnsiTheme="majorBidi" w:cstheme="majorBidi"/>
          <w:sz w:val="28"/>
          <w:szCs w:val="28"/>
          <w:u w:val="single"/>
        </w:rPr>
      </w:pPr>
      <w:r w:rsidRPr="00D7480B">
        <w:rPr>
          <w:rFonts w:asciiTheme="majorBidi" w:eastAsia="Times New Roman" w:hAnsiTheme="majorBidi" w:cstheme="majorBidi"/>
          <w:b/>
          <w:bCs/>
          <w:sz w:val="28"/>
          <w:szCs w:val="28"/>
        </w:rPr>
        <w:t xml:space="preserve">1) </w:t>
      </w:r>
      <w:r w:rsidRPr="00D7480B">
        <w:rPr>
          <w:rFonts w:asciiTheme="majorBidi" w:eastAsia="Times New Roman" w:hAnsiTheme="majorBidi" w:cstheme="majorBidi"/>
          <w:b/>
          <w:bCs/>
          <w:sz w:val="28"/>
          <w:szCs w:val="28"/>
          <w:u w:val="single"/>
        </w:rPr>
        <w:t>Caractéristiques et importance</w:t>
      </w:r>
    </w:p>
    <w:p w:rsidR="000D3F35" w:rsidRPr="008F6999" w:rsidRDefault="000D3F35" w:rsidP="000407A0">
      <w:pPr>
        <w:spacing w:line="312" w:lineRule="auto"/>
        <w:ind w:firstLine="284"/>
        <w:jc w:val="both"/>
        <w:rPr>
          <w:rFonts w:asciiTheme="majorBidi" w:eastAsia="Times New Roman" w:hAnsiTheme="majorBidi" w:cstheme="majorBidi"/>
          <w:color w:val="FF0000"/>
          <w:sz w:val="28"/>
          <w:szCs w:val="28"/>
        </w:rPr>
      </w:pPr>
      <w:r w:rsidRPr="008F6999">
        <w:rPr>
          <w:rFonts w:asciiTheme="majorBidi" w:eastAsia="Times New Roman" w:hAnsiTheme="majorBidi" w:cstheme="majorBidi"/>
          <w:sz w:val="28"/>
          <w:szCs w:val="28"/>
        </w:rPr>
        <w:t>Cet indicateur donne un  aperçu de  la  stratégie d’investissement par  rapport  à l’EBE consolidé. L’EBE Consolidé sous-entend intégralité des comptes de l’exploitation pour l’ensemble des productions et des activités en respectant des dates de clôtures des comptes  identiques (Civam, 2008).</w:t>
      </w:r>
    </w:p>
    <w:p w:rsidR="000D3F35" w:rsidRPr="008F6999" w:rsidRDefault="000D3F35" w:rsidP="000407A0">
      <w:pPr>
        <w:autoSpaceDE w:val="0"/>
        <w:autoSpaceDN w:val="0"/>
        <w:adjustRightInd w:val="0"/>
        <w:spacing w:line="312" w:lineRule="auto"/>
        <w:ind w:firstLine="284"/>
        <w:jc w:val="both"/>
        <w:rPr>
          <w:rFonts w:asciiTheme="majorBidi" w:eastAsia="Times New Roman" w:hAnsiTheme="majorBidi" w:cstheme="majorBidi"/>
          <w:sz w:val="28"/>
          <w:szCs w:val="28"/>
        </w:rPr>
      </w:pPr>
      <w:r w:rsidRPr="008F6999">
        <w:rPr>
          <w:rFonts w:asciiTheme="majorBidi" w:hAnsiTheme="majorBidi" w:cstheme="majorBidi"/>
          <w:color w:val="000000"/>
          <w:sz w:val="28"/>
          <w:szCs w:val="28"/>
        </w:rPr>
        <w:t>L’autonomie et son contraire, la dépendance, caractérisent un type de relation avec le milieu biophysique et socioéconomique. Pour cette raison, la recherche d’une relative autonomie est un des concepts-clés de l’agriculture durable. L’autonomie suppose une dette à niveau qui ne mette pas en difficulté l’exploitation, et ajustée à une capacité de remboursement suffisante. Cet indicateur permet d’apprécier les marges de manœuvre dont dispose l’entreprise, face aux aléas économiques pour rembourser les emprunts qu’elle a dû contracter (Girardin et al., 2004)</w:t>
      </w:r>
      <w:r w:rsidRPr="008F6999">
        <w:rPr>
          <w:rFonts w:asciiTheme="majorBidi" w:hAnsiTheme="majorBidi" w:cstheme="majorBidi"/>
          <w:i/>
          <w:iCs/>
          <w:color w:val="000000"/>
          <w:sz w:val="28"/>
          <w:szCs w:val="28"/>
        </w:rPr>
        <w:t>.</w:t>
      </w:r>
    </w:p>
    <w:p w:rsidR="000D3F35" w:rsidRPr="008F6999" w:rsidRDefault="000D3F35" w:rsidP="00C65E4A">
      <w:pPr>
        <w:spacing w:line="312" w:lineRule="auto"/>
        <w:jc w:val="both"/>
        <w:rPr>
          <w:rFonts w:asciiTheme="majorBidi" w:eastAsia="Times New Roman" w:hAnsiTheme="majorBidi" w:cstheme="majorBidi"/>
          <w:sz w:val="28"/>
          <w:szCs w:val="28"/>
          <w:u w:val="single"/>
        </w:rPr>
      </w:pPr>
      <w:r w:rsidRPr="00D7480B">
        <w:rPr>
          <w:rFonts w:asciiTheme="majorBidi" w:eastAsia="Times New Roman" w:hAnsiTheme="majorBidi" w:cstheme="majorBidi"/>
          <w:b/>
          <w:bCs/>
          <w:sz w:val="28"/>
          <w:szCs w:val="28"/>
        </w:rPr>
        <w:t xml:space="preserve">2) </w:t>
      </w:r>
      <w:r w:rsidRPr="00D7480B">
        <w:rPr>
          <w:rFonts w:asciiTheme="majorBidi" w:eastAsia="Times New Roman" w:hAnsiTheme="majorBidi" w:cstheme="majorBidi"/>
          <w:b/>
          <w:bCs/>
          <w:sz w:val="28"/>
          <w:szCs w:val="28"/>
          <w:u w:val="single"/>
        </w:rPr>
        <w:t>Mode de calcul</w:t>
      </w:r>
      <w:r w:rsidRPr="008F6999">
        <w:rPr>
          <w:rFonts w:asciiTheme="majorBidi" w:eastAsia="Times New Roman" w:hAnsiTheme="majorBidi" w:cstheme="majorBidi"/>
          <w:sz w:val="28"/>
          <w:szCs w:val="28"/>
        </w:rPr>
        <w:t> </w:t>
      </w:r>
    </w:p>
    <w:p w:rsidR="000D3F35" w:rsidRPr="008F6999" w:rsidRDefault="000D3F35" w:rsidP="00C65E4A">
      <w:pPr>
        <w:spacing w:line="312" w:lineRule="auto"/>
        <w:jc w:val="center"/>
        <w:rPr>
          <w:rFonts w:asciiTheme="majorBidi" w:eastAsia="Times New Roman" w:hAnsiTheme="majorBidi" w:cstheme="majorBidi"/>
          <w:bCs/>
          <w:sz w:val="28"/>
          <w:szCs w:val="28"/>
        </w:rPr>
      </w:pPr>
      <w:r w:rsidRPr="008F6999">
        <w:rPr>
          <w:rFonts w:asciiTheme="majorBidi" w:eastAsia="Times New Roman" w:hAnsiTheme="majorBidi" w:cstheme="majorBidi"/>
          <w:b/>
          <w:sz w:val="28"/>
          <w:szCs w:val="28"/>
        </w:rPr>
        <w:t>DF =</w:t>
      </w:r>
      <w:r w:rsidRPr="008F6999">
        <w:rPr>
          <w:rFonts w:asciiTheme="majorBidi" w:eastAsia="Times New Roman" w:hAnsiTheme="majorBidi" w:cstheme="majorBidi"/>
          <w:bCs/>
          <w:sz w:val="28"/>
          <w:szCs w:val="28"/>
        </w:rPr>
        <w:t xml:space="preserve"> (</w:t>
      </w:r>
      <w:r w:rsidRPr="008F6999">
        <w:rPr>
          <w:rFonts w:asciiTheme="majorBidi" w:eastAsia="SymbolMT" w:hAnsiTheme="majorBidi" w:cstheme="majorBidi"/>
          <w:sz w:val="28"/>
          <w:szCs w:val="28"/>
        </w:rPr>
        <w:t xml:space="preserve">Σ </w:t>
      </w:r>
      <w:r w:rsidRPr="008F6999">
        <w:rPr>
          <w:rFonts w:asciiTheme="majorBidi" w:eastAsia="Times New Roman" w:hAnsiTheme="majorBidi" w:cstheme="majorBidi"/>
          <w:bCs/>
          <w:sz w:val="28"/>
          <w:szCs w:val="28"/>
        </w:rPr>
        <w:t>annuités + frais financières) *100 / EBE</w:t>
      </w:r>
    </w:p>
    <w:p w:rsidR="000D3F35" w:rsidRDefault="000D3F35" w:rsidP="00C65E4A">
      <w:pPr>
        <w:spacing w:line="312" w:lineRule="auto"/>
        <w:jc w:val="both"/>
        <w:rPr>
          <w:rFonts w:asciiTheme="majorBidi" w:hAnsiTheme="majorBidi" w:cstheme="majorBidi"/>
          <w:sz w:val="28"/>
          <w:szCs w:val="28"/>
        </w:rPr>
      </w:pPr>
      <w:r w:rsidRPr="00D7480B">
        <w:rPr>
          <w:rFonts w:asciiTheme="majorBidi" w:hAnsiTheme="majorBidi" w:cstheme="majorBidi"/>
          <w:b/>
          <w:bCs/>
          <w:sz w:val="28"/>
          <w:szCs w:val="28"/>
        </w:rPr>
        <w:t>DF</w:t>
      </w:r>
      <w:r>
        <w:rPr>
          <w:rFonts w:asciiTheme="majorBidi" w:hAnsiTheme="majorBidi" w:cstheme="majorBidi"/>
          <w:sz w:val="28"/>
          <w:szCs w:val="28"/>
        </w:rPr>
        <w:t> :</w:t>
      </w:r>
      <w:r w:rsidRPr="00D7480B">
        <w:rPr>
          <w:rFonts w:asciiTheme="majorBidi" w:hAnsiTheme="majorBidi" w:cstheme="majorBidi"/>
          <w:sz w:val="28"/>
          <w:szCs w:val="28"/>
        </w:rPr>
        <w:t xml:space="preserve"> Dépendance financière</w:t>
      </w:r>
      <w:r>
        <w:rPr>
          <w:rFonts w:asciiTheme="majorBidi" w:hAnsiTheme="majorBidi" w:cstheme="majorBidi"/>
          <w:sz w:val="28"/>
          <w:szCs w:val="28"/>
        </w:rPr>
        <w:t> ;</w:t>
      </w:r>
    </w:p>
    <w:p w:rsidR="000D3F35" w:rsidRDefault="000D3F35" w:rsidP="00C65E4A">
      <w:pPr>
        <w:spacing w:line="312" w:lineRule="auto"/>
        <w:jc w:val="both"/>
        <w:rPr>
          <w:rFonts w:asciiTheme="majorBidi" w:eastAsia="Times New Roman" w:hAnsiTheme="majorBidi" w:cstheme="majorBidi"/>
          <w:sz w:val="28"/>
          <w:szCs w:val="28"/>
        </w:rPr>
      </w:pPr>
      <w:r w:rsidRPr="008F6999">
        <w:rPr>
          <w:rFonts w:asciiTheme="majorBidi" w:eastAsia="Times New Roman" w:hAnsiTheme="majorBidi" w:cstheme="majorBidi"/>
          <w:b/>
          <w:bCs/>
          <w:sz w:val="28"/>
          <w:szCs w:val="28"/>
        </w:rPr>
        <w:t>EBE</w:t>
      </w:r>
      <w:r w:rsidRPr="008F6999">
        <w:rPr>
          <w:rFonts w:asciiTheme="majorBidi" w:eastAsia="Times New Roman" w:hAnsiTheme="majorBidi" w:cstheme="majorBidi"/>
          <w:sz w:val="28"/>
          <w:szCs w:val="28"/>
        </w:rPr>
        <w:t> : Excédant Brut de l’Exploitation</w:t>
      </w:r>
    </w:p>
    <w:p w:rsidR="000407A0" w:rsidRPr="008F6999" w:rsidRDefault="000407A0" w:rsidP="00C65E4A">
      <w:pPr>
        <w:spacing w:line="312" w:lineRule="auto"/>
        <w:jc w:val="both"/>
        <w:rPr>
          <w:rFonts w:asciiTheme="majorBidi" w:eastAsia="Times New Roman" w:hAnsiTheme="majorBidi" w:cstheme="majorBidi"/>
          <w:sz w:val="28"/>
          <w:szCs w:val="28"/>
        </w:rPr>
      </w:pPr>
    </w:p>
    <w:p w:rsidR="000D3F35" w:rsidRPr="00D7480B" w:rsidRDefault="000D3F35" w:rsidP="00C65E4A">
      <w:pPr>
        <w:autoSpaceDE w:val="0"/>
        <w:autoSpaceDN w:val="0"/>
        <w:adjustRightInd w:val="0"/>
        <w:spacing w:line="312" w:lineRule="auto"/>
        <w:rPr>
          <w:rFonts w:asciiTheme="majorBidi" w:hAnsiTheme="majorBidi" w:cstheme="majorBidi"/>
          <w:b/>
          <w:bCs/>
          <w:sz w:val="28"/>
          <w:szCs w:val="28"/>
        </w:rPr>
      </w:pPr>
      <w:r w:rsidRPr="00D7480B">
        <w:rPr>
          <w:rFonts w:asciiTheme="majorBidi" w:hAnsiTheme="majorBidi" w:cstheme="majorBidi"/>
          <w:b/>
          <w:bCs/>
          <w:sz w:val="28"/>
          <w:szCs w:val="28"/>
        </w:rPr>
        <w:lastRenderedPageBreak/>
        <w:t xml:space="preserve">3) </w:t>
      </w:r>
      <w:r w:rsidRPr="00D7480B">
        <w:rPr>
          <w:rFonts w:asciiTheme="majorBidi" w:hAnsiTheme="majorBidi" w:cstheme="majorBidi"/>
          <w:b/>
          <w:bCs/>
          <w:sz w:val="28"/>
          <w:szCs w:val="28"/>
          <w:u w:val="single"/>
        </w:rPr>
        <w:t>Interprétation</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DF inférieur à 20% : 10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20 et 25% : 8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25 et 30% : 6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30 et 35% : 4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35 et 40% : 2 points</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Supérieure à 40% : 0 point</w:t>
      </w:r>
      <w:r>
        <w:rPr>
          <w:rFonts w:asciiTheme="majorBidi" w:hAnsiTheme="majorBidi" w:cstheme="majorBidi"/>
          <w:sz w:val="28"/>
          <w:szCs w:val="28"/>
        </w:rPr>
        <w:t>.</w:t>
      </w:r>
    </w:p>
    <w:p w:rsidR="000D3F35" w:rsidRPr="008F6999" w:rsidRDefault="00201C1F" w:rsidP="00C65E4A">
      <w:pPr>
        <w:spacing w:line="312" w:lineRule="auto"/>
        <w:jc w:val="both"/>
        <w:rPr>
          <w:rFonts w:asciiTheme="majorBidi" w:hAnsiTheme="majorBidi" w:cstheme="majorBidi"/>
          <w:b/>
          <w:bCs/>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.5.3.6</w:t>
      </w:r>
      <w:r w:rsidR="004724CB" w:rsidRPr="008F6999">
        <w:rPr>
          <w:rFonts w:asciiTheme="majorBidi" w:eastAsia="Times New Roman" w:hAnsiTheme="majorBidi" w:cstheme="majorBidi"/>
          <w:b/>
          <w:sz w:val="28"/>
          <w:szCs w:val="28"/>
        </w:rPr>
        <w:t>.</w:t>
      </w:r>
      <w:r w:rsidR="004724CB" w:rsidRPr="008F6999">
        <w:rPr>
          <w:rFonts w:asciiTheme="majorBidi" w:hAnsiTheme="majorBidi" w:cstheme="majorBidi"/>
          <w:b/>
          <w:bCs/>
          <w:sz w:val="28"/>
          <w:szCs w:val="28"/>
          <w:u w:val="single"/>
        </w:rPr>
        <w:t xml:space="preserve"> Transmissibilité</w:t>
      </w:r>
      <w:r w:rsidR="000D3F35" w:rsidRPr="008F6999">
        <w:rPr>
          <w:rFonts w:asciiTheme="majorBidi" w:hAnsiTheme="majorBidi" w:cstheme="majorBidi"/>
          <w:b/>
          <w:bCs/>
          <w:sz w:val="28"/>
          <w:szCs w:val="28"/>
          <w:u w:val="single"/>
        </w:rPr>
        <w:t xml:space="preserve"> économique</w:t>
      </w:r>
      <w:r w:rsidR="000D3F35" w:rsidRPr="008F6999">
        <w:rPr>
          <w:rFonts w:asciiTheme="majorBidi" w:hAnsiTheme="majorBidi" w:cstheme="majorBidi"/>
          <w:b/>
          <w:bCs/>
          <w:sz w:val="28"/>
          <w:szCs w:val="28"/>
        </w:rPr>
        <w:t> (T)</w:t>
      </w:r>
    </w:p>
    <w:p w:rsidR="000D3F35" w:rsidRPr="00D7480B" w:rsidRDefault="000D3F35" w:rsidP="00C65E4A">
      <w:pPr>
        <w:spacing w:line="312" w:lineRule="auto"/>
        <w:jc w:val="both"/>
        <w:rPr>
          <w:rFonts w:asciiTheme="majorBidi" w:eastAsia="Times New Roman" w:hAnsiTheme="majorBidi" w:cstheme="majorBidi"/>
          <w:b/>
          <w:bCs/>
          <w:sz w:val="28"/>
          <w:szCs w:val="28"/>
          <w:u w:val="single"/>
        </w:rPr>
      </w:pPr>
      <w:r w:rsidRPr="00D7480B">
        <w:rPr>
          <w:rFonts w:asciiTheme="majorBidi" w:hAnsiTheme="majorBidi" w:cstheme="majorBidi"/>
          <w:b/>
          <w:bCs/>
          <w:sz w:val="28"/>
          <w:szCs w:val="28"/>
        </w:rPr>
        <w:t xml:space="preserve">1) </w:t>
      </w:r>
      <w:r w:rsidRPr="00D7480B">
        <w:rPr>
          <w:rFonts w:asciiTheme="majorBidi" w:eastAsia="Times New Roman" w:hAnsiTheme="majorBidi" w:cstheme="majorBidi"/>
          <w:b/>
          <w:bCs/>
          <w:sz w:val="28"/>
          <w:szCs w:val="28"/>
          <w:u w:val="single"/>
        </w:rPr>
        <w:t>Caractéristiques et importance</w:t>
      </w:r>
      <w:r w:rsidRPr="00D7480B">
        <w:rPr>
          <w:rFonts w:asciiTheme="majorBidi" w:eastAsia="Times New Roman" w:hAnsiTheme="majorBidi" w:cstheme="majorBidi"/>
          <w:b/>
          <w:bCs/>
          <w:sz w:val="28"/>
          <w:szCs w:val="28"/>
        </w:rPr>
        <w:t xml:space="preserve"> :</w:t>
      </w:r>
    </w:p>
    <w:p w:rsidR="000D3F35" w:rsidRPr="008F6999" w:rsidRDefault="000D3F35" w:rsidP="000407A0">
      <w:pPr>
        <w:spacing w:line="312" w:lineRule="auto"/>
        <w:ind w:firstLine="284"/>
        <w:jc w:val="both"/>
        <w:rPr>
          <w:rFonts w:asciiTheme="majorBidi" w:eastAsia="Times New Roman" w:hAnsiTheme="majorBidi" w:cstheme="majorBidi"/>
          <w:color w:val="FF0000"/>
          <w:sz w:val="28"/>
          <w:szCs w:val="28"/>
        </w:rPr>
      </w:pPr>
      <w:r w:rsidRPr="008F6999">
        <w:rPr>
          <w:rFonts w:asciiTheme="majorBidi" w:eastAsia="Times New Roman" w:hAnsiTheme="majorBidi" w:cstheme="majorBidi"/>
          <w:sz w:val="28"/>
          <w:szCs w:val="28"/>
        </w:rPr>
        <w:t>Cet indicateur traduit l’évaluation du montant de la reprise pour un éventuel repreneur et notamment pour l’installation d’un jeune (Civam, 2008).</w:t>
      </w:r>
    </w:p>
    <w:p w:rsidR="000D3F35" w:rsidRPr="008F6999" w:rsidRDefault="000D3F35" w:rsidP="000407A0">
      <w:pPr>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L’indicateur de transmissibilité économique aborde un aspect de la durabilité des exploitations auquel elles sont fréquemment confrontées lors de la cessation d’activité du chef ou du départ d’un associé. En effet, pour perdurer à travers le renouvellement normal des générations, l’entreprise agricole doit rester à « dimension humaine » et la valeur de son capital d’exploitation ne doit pas dissuader d’éventuels repreneurs ou de nouveaux associés, tout en restant d’un montant suffisant pour que l’outil de production ainsi repris soit bien structuré (Girardin, 2004).</w:t>
      </w:r>
    </w:p>
    <w:p w:rsidR="000D3F35" w:rsidRPr="00D7480B" w:rsidRDefault="000D3F35" w:rsidP="00C65E4A">
      <w:pPr>
        <w:spacing w:line="312" w:lineRule="auto"/>
        <w:jc w:val="both"/>
        <w:rPr>
          <w:rFonts w:asciiTheme="majorBidi" w:hAnsiTheme="majorBidi" w:cstheme="majorBidi"/>
          <w:b/>
          <w:bCs/>
          <w:sz w:val="28"/>
          <w:szCs w:val="28"/>
          <w:u w:val="single"/>
        </w:rPr>
      </w:pPr>
      <w:r w:rsidRPr="00D7480B">
        <w:rPr>
          <w:rFonts w:asciiTheme="majorBidi" w:hAnsiTheme="majorBidi" w:cstheme="majorBidi"/>
          <w:b/>
          <w:bCs/>
          <w:sz w:val="28"/>
          <w:szCs w:val="28"/>
        </w:rPr>
        <w:t xml:space="preserve">2) </w:t>
      </w:r>
      <w:r w:rsidRPr="00D7480B">
        <w:rPr>
          <w:rFonts w:asciiTheme="majorBidi" w:hAnsiTheme="majorBidi" w:cstheme="majorBidi"/>
          <w:b/>
          <w:bCs/>
          <w:sz w:val="28"/>
          <w:szCs w:val="28"/>
          <w:u w:val="single"/>
        </w:rPr>
        <w:t>Mode de calcul</w:t>
      </w:r>
      <w:r w:rsidRPr="00D7480B">
        <w:rPr>
          <w:rFonts w:asciiTheme="majorBidi" w:hAnsiTheme="majorBidi" w:cstheme="majorBidi"/>
          <w:b/>
          <w:bCs/>
          <w:sz w:val="28"/>
          <w:szCs w:val="28"/>
        </w:rPr>
        <w:t> </w:t>
      </w:r>
    </w:p>
    <w:p w:rsidR="000D3F35" w:rsidRPr="008F6999" w:rsidRDefault="000D3F35" w:rsidP="00C65E4A">
      <w:pPr>
        <w:spacing w:line="312" w:lineRule="auto"/>
        <w:ind w:left="284"/>
        <w:jc w:val="both"/>
        <w:rPr>
          <w:rFonts w:asciiTheme="majorBidi" w:hAnsiTheme="majorBidi" w:cstheme="majorBidi"/>
          <w:sz w:val="28"/>
          <w:szCs w:val="28"/>
        </w:rPr>
      </w:pPr>
      <w:r w:rsidRPr="008F6999">
        <w:rPr>
          <w:rFonts w:asciiTheme="majorBidi" w:hAnsiTheme="majorBidi" w:cstheme="majorBidi"/>
          <w:sz w:val="28"/>
          <w:szCs w:val="28"/>
        </w:rPr>
        <w:t>T=</w:t>
      </w:r>
      <m:oMath>
        <m:r>
          <w:rPr>
            <w:rFonts w:ascii="Cambria Math" w:hAnsi="Cambria Math" w:cstheme="majorBidi"/>
            <w:sz w:val="28"/>
            <w:szCs w:val="28"/>
          </w:rPr>
          <m:t xml:space="preserve"> Capital </m:t>
        </m:r>
        <m:sSup>
          <m:sSupPr>
            <m:ctrlPr>
              <w:rPr>
                <w:rFonts w:ascii="Cambria Math" w:hAnsi="Cambria Math" w:cstheme="majorBidi"/>
                <w:i/>
                <w:sz w:val="28"/>
                <w:szCs w:val="28"/>
              </w:rPr>
            </m:ctrlPr>
          </m:sSupPr>
          <m:e>
            <m:r>
              <w:rPr>
                <w:rFonts w:ascii="Cambria Math" w:hAnsi="Cambria Math" w:cstheme="majorBidi"/>
                <w:sz w:val="28"/>
                <w:szCs w:val="28"/>
              </w:rPr>
              <m:t>d</m:t>
            </m:r>
          </m:e>
          <m:sup>
            <m:r>
              <w:rPr>
                <w:rFonts w:ascii="Cambria Math" w:hAnsi="Cambria Math" w:cstheme="majorBidi"/>
                <w:sz w:val="28"/>
                <w:szCs w:val="28"/>
              </w:rPr>
              <m:t>'</m:t>
            </m:r>
          </m:sup>
        </m:sSup>
        <m:r>
          <w:rPr>
            <w:rFonts w:ascii="Cambria Math" w:hAnsi="Cambria Math" w:cstheme="majorBidi"/>
            <w:sz w:val="28"/>
            <w:szCs w:val="28"/>
          </w:rPr>
          <m:t>exploitation / UTH non salarié</m:t>
        </m:r>
      </m:oMath>
    </w:p>
    <w:p w:rsidR="000D3F35" w:rsidRPr="008F6999" w:rsidRDefault="000D3F35" w:rsidP="00C65E4A">
      <w:pPr>
        <w:spacing w:line="312" w:lineRule="auto"/>
        <w:ind w:left="284"/>
        <w:jc w:val="both"/>
        <w:rPr>
          <w:rFonts w:asciiTheme="majorBidi" w:hAnsiTheme="majorBidi" w:cstheme="majorBidi"/>
          <w:sz w:val="28"/>
          <w:szCs w:val="28"/>
        </w:rPr>
      </w:pPr>
      <w:r w:rsidRPr="008F6999">
        <w:rPr>
          <w:rFonts w:asciiTheme="majorBidi" w:hAnsiTheme="majorBidi" w:cstheme="majorBidi"/>
          <w:b/>
          <w:bCs/>
          <w:sz w:val="28"/>
          <w:szCs w:val="28"/>
        </w:rPr>
        <w:t>T</w:t>
      </w:r>
      <w:r w:rsidRPr="008F6999">
        <w:rPr>
          <w:rFonts w:asciiTheme="majorBidi" w:hAnsiTheme="majorBidi" w:cstheme="majorBidi"/>
          <w:sz w:val="28"/>
          <w:szCs w:val="28"/>
        </w:rPr>
        <w:t xml:space="preserve"> : Transmissibilité </w:t>
      </w:r>
    </w:p>
    <w:p w:rsidR="000D3F35" w:rsidRDefault="000D3F35" w:rsidP="00C65E4A">
      <w:pPr>
        <w:spacing w:line="312" w:lineRule="auto"/>
        <w:ind w:left="284"/>
        <w:jc w:val="both"/>
        <w:rPr>
          <w:rFonts w:asciiTheme="majorBidi" w:hAnsiTheme="majorBidi" w:cstheme="majorBidi"/>
          <w:sz w:val="28"/>
          <w:szCs w:val="28"/>
        </w:rPr>
      </w:pPr>
      <w:r w:rsidRPr="008F6999">
        <w:rPr>
          <w:rFonts w:asciiTheme="majorBidi" w:hAnsiTheme="majorBidi" w:cstheme="majorBidi"/>
          <w:b/>
          <w:bCs/>
          <w:sz w:val="28"/>
          <w:szCs w:val="28"/>
        </w:rPr>
        <w:t>UTH</w:t>
      </w:r>
      <w:r w:rsidRPr="008F6999">
        <w:rPr>
          <w:rFonts w:asciiTheme="majorBidi" w:hAnsiTheme="majorBidi" w:cstheme="majorBidi"/>
          <w:sz w:val="28"/>
          <w:szCs w:val="28"/>
        </w:rPr>
        <w:t xml:space="preserve"> : Unité de Travailleur Humain </w:t>
      </w:r>
    </w:p>
    <w:p w:rsidR="000407A0" w:rsidRDefault="000407A0" w:rsidP="00C65E4A">
      <w:pPr>
        <w:spacing w:line="312" w:lineRule="auto"/>
        <w:ind w:left="284"/>
        <w:jc w:val="both"/>
        <w:rPr>
          <w:rFonts w:asciiTheme="majorBidi" w:hAnsiTheme="majorBidi" w:cstheme="majorBidi"/>
          <w:sz w:val="28"/>
          <w:szCs w:val="28"/>
        </w:rPr>
      </w:pPr>
    </w:p>
    <w:p w:rsidR="000407A0" w:rsidRPr="008F6999" w:rsidRDefault="000407A0" w:rsidP="00C65E4A">
      <w:pPr>
        <w:spacing w:line="312" w:lineRule="auto"/>
        <w:ind w:left="284"/>
        <w:jc w:val="both"/>
        <w:rPr>
          <w:rFonts w:asciiTheme="majorBidi" w:hAnsiTheme="majorBidi" w:cstheme="majorBidi"/>
          <w:sz w:val="28"/>
          <w:szCs w:val="28"/>
        </w:rPr>
      </w:pPr>
    </w:p>
    <w:p w:rsidR="000D3F35" w:rsidRPr="00D7480B" w:rsidRDefault="000D3F35" w:rsidP="00C65E4A">
      <w:pPr>
        <w:autoSpaceDE w:val="0"/>
        <w:autoSpaceDN w:val="0"/>
        <w:adjustRightInd w:val="0"/>
        <w:spacing w:line="312" w:lineRule="auto"/>
        <w:rPr>
          <w:rFonts w:asciiTheme="majorBidi" w:hAnsiTheme="majorBidi" w:cstheme="majorBidi"/>
          <w:b/>
          <w:bCs/>
          <w:sz w:val="28"/>
          <w:szCs w:val="28"/>
        </w:rPr>
      </w:pPr>
      <w:r w:rsidRPr="00D7480B">
        <w:rPr>
          <w:rFonts w:asciiTheme="majorBidi" w:hAnsiTheme="majorBidi" w:cstheme="majorBidi"/>
          <w:b/>
          <w:bCs/>
          <w:sz w:val="28"/>
          <w:szCs w:val="28"/>
        </w:rPr>
        <w:lastRenderedPageBreak/>
        <w:t xml:space="preserve">3) </w:t>
      </w:r>
      <w:r w:rsidRPr="00D7480B">
        <w:rPr>
          <w:rFonts w:asciiTheme="majorBidi" w:hAnsiTheme="majorBidi" w:cstheme="majorBidi"/>
          <w:b/>
          <w:bCs/>
          <w:sz w:val="28"/>
          <w:szCs w:val="28"/>
          <w:u w:val="single"/>
        </w:rPr>
        <w:t>Interprétation</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Transmissibilité inférieure à 60 k€/UTH : 10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60 et 80 k€ : 9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80 et 90 k€ : 8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90 et 100 k€ : 7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100 et 120 k€ : 6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120 et 140 k€ : 5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140 et 160 k€ : 4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160 et 200 k€ : 3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200 et 250 k€ : 2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Comprise entre 250 et 300 k€ : 1 points</w:t>
      </w: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Supérieure à 300 k€ : 0 point</w:t>
      </w:r>
    </w:p>
    <w:p w:rsidR="000D3F35" w:rsidRPr="00D7480B" w:rsidRDefault="000D3F35" w:rsidP="00C65E4A">
      <w:pPr>
        <w:autoSpaceDE w:val="0"/>
        <w:autoSpaceDN w:val="0"/>
        <w:adjustRightInd w:val="0"/>
        <w:spacing w:line="312" w:lineRule="auto"/>
        <w:rPr>
          <w:rFonts w:asciiTheme="majorBidi" w:hAnsiTheme="majorBidi" w:cstheme="majorBidi"/>
          <w:b/>
          <w:bCs/>
          <w:sz w:val="28"/>
          <w:szCs w:val="28"/>
        </w:rPr>
      </w:pPr>
      <w:r w:rsidRPr="00D7480B">
        <w:rPr>
          <w:rFonts w:asciiTheme="majorBidi" w:hAnsiTheme="majorBidi" w:cstheme="majorBidi"/>
          <w:b/>
          <w:bCs/>
          <w:sz w:val="28"/>
          <w:szCs w:val="28"/>
          <w:u w:val="single"/>
        </w:rPr>
        <w:t>Seuils indicatifs</w:t>
      </w:r>
      <w:r w:rsidRPr="00D7480B">
        <w:rPr>
          <w:rFonts w:asciiTheme="majorBidi" w:hAnsiTheme="majorBidi" w:cstheme="majorBidi"/>
          <w:b/>
          <w:bCs/>
          <w:sz w:val="28"/>
          <w:szCs w:val="28"/>
        </w:rPr>
        <w:t xml:space="preserve"> :</w:t>
      </w:r>
    </w:p>
    <w:p w:rsidR="000D3F35" w:rsidRDefault="000D3F35" w:rsidP="000407A0">
      <w:pPr>
        <w:spacing w:line="312" w:lineRule="auto"/>
        <w:ind w:firstLine="284"/>
        <w:jc w:val="both"/>
        <w:rPr>
          <w:rFonts w:asciiTheme="majorBidi" w:eastAsia="Times New Roman" w:hAnsiTheme="majorBidi" w:cstheme="majorBidi"/>
          <w:sz w:val="28"/>
          <w:szCs w:val="28"/>
        </w:rPr>
      </w:pPr>
      <w:r w:rsidRPr="008F6999">
        <w:rPr>
          <w:rFonts w:asciiTheme="majorBidi" w:hAnsiTheme="majorBidi" w:cstheme="majorBidi"/>
          <w:sz w:val="28"/>
          <w:szCs w:val="28"/>
        </w:rPr>
        <w:t>Le seuil est évalué en montant €. 100 K€ est un seuil indicatif pour le plafond à ne pas dépasser pour les immobilisations et stocks. Au-delà de 190 K€ le montant est considéré comme élevé</w:t>
      </w:r>
      <w:r w:rsidR="004724CB">
        <w:rPr>
          <w:rFonts w:asciiTheme="majorBidi" w:hAnsiTheme="majorBidi" w:cstheme="majorBidi"/>
          <w:sz w:val="28"/>
          <w:szCs w:val="28"/>
        </w:rPr>
        <w:t xml:space="preserve"> </w:t>
      </w:r>
      <w:r w:rsidRPr="008F6999">
        <w:rPr>
          <w:rFonts w:asciiTheme="majorBidi" w:eastAsia="Times New Roman" w:hAnsiTheme="majorBidi" w:cstheme="majorBidi"/>
          <w:sz w:val="28"/>
          <w:szCs w:val="28"/>
        </w:rPr>
        <w:t>(Civam, 2008).</w:t>
      </w:r>
    </w:p>
    <w:p w:rsidR="000D3F35" w:rsidRPr="008F6999" w:rsidRDefault="00201C1F" w:rsidP="00C65E4A">
      <w:pPr>
        <w:spacing w:line="312" w:lineRule="auto"/>
        <w:jc w:val="both"/>
        <w:rPr>
          <w:rFonts w:asciiTheme="majorBidi" w:hAnsiTheme="majorBidi" w:cstheme="majorBidi"/>
          <w:bCs/>
          <w:sz w:val="28"/>
          <w:szCs w:val="28"/>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.5.3.7. </w:t>
      </w:r>
      <w:r w:rsidR="000D3F35" w:rsidRPr="008F6999">
        <w:rPr>
          <w:rFonts w:asciiTheme="majorBidi" w:hAnsiTheme="majorBidi" w:cstheme="majorBidi"/>
          <w:b/>
          <w:bCs/>
          <w:sz w:val="28"/>
          <w:szCs w:val="28"/>
          <w:u w:val="single"/>
        </w:rPr>
        <w:t>Rentabilité économique</w:t>
      </w:r>
      <w:r w:rsidR="000D3F35" w:rsidRPr="008F6999">
        <w:rPr>
          <w:rFonts w:asciiTheme="majorBidi" w:hAnsiTheme="majorBidi" w:cstheme="majorBidi"/>
          <w:b/>
          <w:bCs/>
          <w:sz w:val="28"/>
          <w:szCs w:val="28"/>
        </w:rPr>
        <w:t> </w:t>
      </w:r>
    </w:p>
    <w:p w:rsidR="000D3F35" w:rsidRPr="00537103" w:rsidRDefault="000D3F35" w:rsidP="00C65E4A">
      <w:pPr>
        <w:spacing w:line="312" w:lineRule="auto"/>
        <w:jc w:val="both"/>
        <w:rPr>
          <w:rFonts w:asciiTheme="majorBidi" w:hAnsiTheme="majorBidi" w:cstheme="majorBidi"/>
          <w:b/>
          <w:bCs/>
          <w:sz w:val="28"/>
          <w:szCs w:val="28"/>
        </w:rPr>
      </w:pPr>
      <w:r w:rsidRPr="00537103">
        <w:rPr>
          <w:rFonts w:asciiTheme="majorBidi" w:hAnsiTheme="majorBidi" w:cstheme="majorBidi"/>
          <w:b/>
          <w:bCs/>
          <w:sz w:val="28"/>
          <w:szCs w:val="28"/>
        </w:rPr>
        <w:t xml:space="preserve">1) </w:t>
      </w:r>
      <w:r w:rsidRPr="00537103">
        <w:rPr>
          <w:rFonts w:asciiTheme="majorBidi" w:hAnsiTheme="majorBidi" w:cstheme="majorBidi"/>
          <w:b/>
          <w:bCs/>
          <w:sz w:val="28"/>
          <w:szCs w:val="28"/>
          <w:u w:val="single"/>
        </w:rPr>
        <w:t>Caractérisation et importance</w:t>
      </w:r>
      <w:r w:rsidRPr="00537103">
        <w:rPr>
          <w:rFonts w:asciiTheme="majorBidi" w:hAnsiTheme="majorBidi" w:cstheme="majorBidi"/>
          <w:b/>
          <w:bCs/>
          <w:sz w:val="28"/>
          <w:szCs w:val="28"/>
        </w:rPr>
        <w:t> :</w:t>
      </w:r>
    </w:p>
    <w:p w:rsidR="000D3F35" w:rsidRPr="008F6999" w:rsidRDefault="000D3F35" w:rsidP="000407A0">
      <w:pPr>
        <w:spacing w:line="312" w:lineRule="auto"/>
        <w:ind w:firstLine="284"/>
        <w:jc w:val="both"/>
        <w:rPr>
          <w:rFonts w:asciiTheme="majorBidi" w:hAnsiTheme="majorBidi" w:cstheme="majorBidi"/>
          <w:bCs/>
          <w:sz w:val="28"/>
          <w:szCs w:val="28"/>
        </w:rPr>
      </w:pPr>
      <w:r w:rsidRPr="008F6999">
        <w:rPr>
          <w:rFonts w:asciiTheme="majorBidi" w:hAnsiTheme="majorBidi" w:cstheme="majorBidi"/>
          <w:bCs/>
          <w:sz w:val="28"/>
          <w:szCs w:val="28"/>
        </w:rPr>
        <w:t>La rentabilité économique est une mesure de la performance économique de l'entreprise dans l'utilisation de l'ensemble de son capital économique, c'est-à-dire des immobilisations, du besoin en fonds de roulement et de la trésorerie nette.</w:t>
      </w:r>
    </w:p>
    <w:p w:rsidR="000D3F35" w:rsidRPr="008F6999" w:rsidRDefault="000D3F35" w:rsidP="000407A0">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 ratio permet de faire le rapport entre le résultat d’exploitation et les immobilisations d’exploitation auxquelles s'ajoute le BFRE. Il permet donc de </w:t>
      </w:r>
      <w:r w:rsidRPr="008F6999">
        <w:rPr>
          <w:rFonts w:asciiTheme="majorBidi" w:hAnsiTheme="majorBidi" w:cstheme="majorBidi"/>
          <w:sz w:val="28"/>
          <w:szCs w:val="28"/>
        </w:rPr>
        <w:lastRenderedPageBreak/>
        <w:t>dégager la performance économique de l’entreprise en termes d’efficacité et d’efficience.</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Ce ratio permet donc de déterminer la capacité d’une entreprise à rémunérer ses</w:t>
      </w:r>
      <w:r w:rsidR="004724CB">
        <w:rPr>
          <w:rFonts w:asciiTheme="majorBidi" w:hAnsiTheme="majorBidi" w:cstheme="majorBidi"/>
          <w:sz w:val="28"/>
          <w:szCs w:val="28"/>
        </w:rPr>
        <w:t xml:space="preserve"> </w:t>
      </w:r>
      <w:r w:rsidRPr="008F6999">
        <w:rPr>
          <w:rFonts w:asciiTheme="majorBidi" w:hAnsiTheme="majorBidi" w:cstheme="majorBidi"/>
          <w:sz w:val="28"/>
          <w:szCs w:val="28"/>
        </w:rPr>
        <w:t>apporteurs de capitaux.</w:t>
      </w:r>
    </w:p>
    <w:p w:rsidR="000D3F35" w:rsidRPr="008F6999" w:rsidRDefault="000D3F35" w:rsidP="00C65E4A">
      <w:pPr>
        <w:spacing w:line="312" w:lineRule="auto"/>
        <w:jc w:val="both"/>
        <w:rPr>
          <w:rFonts w:asciiTheme="majorBidi" w:hAnsiTheme="majorBidi" w:cstheme="majorBidi"/>
          <w:sz w:val="28"/>
          <w:szCs w:val="28"/>
          <w:u w:val="single"/>
        </w:rPr>
      </w:pPr>
      <w:r w:rsidRPr="00BF2DDC">
        <w:rPr>
          <w:rFonts w:asciiTheme="majorBidi" w:hAnsiTheme="majorBidi" w:cstheme="majorBidi"/>
          <w:b/>
          <w:bCs/>
          <w:sz w:val="28"/>
          <w:szCs w:val="28"/>
        </w:rPr>
        <w:t xml:space="preserve">2) </w:t>
      </w:r>
      <w:r w:rsidRPr="00BF2DDC">
        <w:rPr>
          <w:rFonts w:asciiTheme="majorBidi" w:hAnsiTheme="majorBidi" w:cstheme="majorBidi"/>
          <w:b/>
          <w:bCs/>
          <w:sz w:val="28"/>
          <w:szCs w:val="28"/>
          <w:u w:val="single"/>
        </w:rPr>
        <w:t>Mode de calcul</w:t>
      </w:r>
      <w:r w:rsidRPr="00BF2DDC">
        <w:rPr>
          <w:rFonts w:asciiTheme="majorBidi" w:hAnsiTheme="majorBidi" w:cstheme="majorBidi"/>
          <w:b/>
          <w:bCs/>
          <w:sz w:val="28"/>
          <w:szCs w:val="28"/>
        </w:rPr>
        <w:t> </w:t>
      </w:r>
    </w:p>
    <w:p w:rsidR="000D3F35"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Ratio de rentabilité économique = Résultat d’exploitation / (immobilisations    </w:t>
      </w:r>
      <w:r w:rsidR="004724CB">
        <w:rPr>
          <w:rFonts w:asciiTheme="majorBidi" w:hAnsiTheme="majorBidi" w:cstheme="majorBidi"/>
          <w:sz w:val="28"/>
          <w:szCs w:val="28"/>
        </w:rPr>
        <w:t xml:space="preserve"> </w:t>
      </w:r>
      <w:r w:rsidRPr="008F6999">
        <w:rPr>
          <w:rFonts w:asciiTheme="majorBidi" w:hAnsiTheme="majorBidi" w:cstheme="majorBidi"/>
          <w:sz w:val="28"/>
          <w:szCs w:val="28"/>
        </w:rPr>
        <w:t>d’exploitation + BFRHE)</w:t>
      </w:r>
      <w:r w:rsidR="00EE5E3D">
        <w:rPr>
          <w:rFonts w:asciiTheme="majorBidi" w:hAnsiTheme="majorBidi" w:cstheme="majorBidi"/>
          <w:sz w:val="28"/>
          <w:szCs w:val="28"/>
        </w:rPr>
        <w:t>.</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sz w:val="28"/>
          <w:szCs w:val="28"/>
        </w:rPr>
        <w:t>BFRHE : besoins de fond de roulement.</w:t>
      </w:r>
    </w:p>
    <w:p w:rsidR="000D3F35" w:rsidRPr="008F6999" w:rsidRDefault="000D3F35" w:rsidP="00C65E4A">
      <w:pPr>
        <w:spacing w:line="312" w:lineRule="auto"/>
        <w:jc w:val="both"/>
        <w:rPr>
          <w:rFonts w:asciiTheme="majorBidi" w:hAnsiTheme="majorBidi" w:cstheme="majorBidi"/>
          <w:bCs/>
          <w:sz w:val="28"/>
          <w:szCs w:val="28"/>
        </w:rPr>
      </w:pPr>
      <w:r w:rsidRPr="008F6999">
        <w:rPr>
          <w:rFonts w:asciiTheme="majorBidi" w:hAnsiTheme="majorBidi" w:cstheme="majorBidi"/>
          <w:sz w:val="28"/>
          <w:szCs w:val="28"/>
        </w:rPr>
        <w:t>Ratio de rentabilité économique = Résultat d’exploitation / Capitaux investis</w:t>
      </w:r>
    </w:p>
    <w:p w:rsidR="000D3F35" w:rsidRPr="00BF2DDC" w:rsidRDefault="000D3F35" w:rsidP="00C65E4A">
      <w:pPr>
        <w:spacing w:line="312" w:lineRule="auto"/>
        <w:jc w:val="both"/>
        <w:rPr>
          <w:rFonts w:asciiTheme="majorBidi" w:eastAsia="Times New Roman" w:hAnsiTheme="majorBidi" w:cstheme="majorBidi"/>
          <w:b/>
          <w:bCs/>
          <w:sz w:val="28"/>
          <w:szCs w:val="28"/>
        </w:rPr>
      </w:pPr>
      <w:r w:rsidRPr="00BF2DDC">
        <w:rPr>
          <w:rFonts w:asciiTheme="majorBidi" w:eastAsia="Times New Roman" w:hAnsiTheme="majorBidi" w:cstheme="majorBidi"/>
          <w:b/>
          <w:bCs/>
          <w:sz w:val="28"/>
          <w:szCs w:val="28"/>
        </w:rPr>
        <w:t>3) Interprétation</w:t>
      </w:r>
    </w:p>
    <w:p w:rsidR="000D3F35" w:rsidRDefault="000D3F35" w:rsidP="00EE5E3D">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Certaines études avancent, toujours à partir des comptes nationaux, des rentabilités économiques nettement plus élevées : de l’ordre de 13 % chez Askenazy (2003) et même de 15 % à 20 % chez Sylvain (2001) (Picart, 2004).</w:t>
      </w:r>
    </w:p>
    <w:p w:rsidR="000D3F35" w:rsidRDefault="000D3F35"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sz w:val="28"/>
          <w:szCs w:val="28"/>
        </w:rPr>
        <w:t>Pour un ratio de rentabilité (RR %) :</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inférieur à 10% : 0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entre10-20%  : 1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entre20-30%  : 2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entre30-40%  : 3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entre40-50%  : 4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entre50-60%  : 5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entre60-70%  : 6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entre70-80%  : 7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entre80-90%  : 8 points</w:t>
      </w:r>
    </w:p>
    <w:p w:rsidR="000D3F35"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RR entre90-100%  : 9 points</w:t>
      </w:r>
    </w:p>
    <w:p w:rsidR="00DF59B0" w:rsidRDefault="000D3F35"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lastRenderedPageBreak/>
        <w:t>RR supérieur à100%  : 10 points</w:t>
      </w:r>
    </w:p>
    <w:p w:rsidR="000D3F35" w:rsidRPr="00DF59B0" w:rsidRDefault="00201C1F" w:rsidP="00C65E4A">
      <w:pPr>
        <w:autoSpaceDE w:val="0"/>
        <w:autoSpaceDN w:val="0"/>
        <w:adjustRightInd w:val="0"/>
        <w:spacing w:line="312" w:lineRule="auto"/>
        <w:jc w:val="both"/>
        <w:rPr>
          <w:rFonts w:asciiTheme="majorBidi" w:eastAsia="Times New Roman" w:hAnsiTheme="majorBidi" w:cstheme="majorBidi"/>
          <w:sz w:val="28"/>
          <w:szCs w:val="28"/>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.5.3.8. </w:t>
      </w:r>
      <w:r w:rsidR="000D3F35" w:rsidRPr="008F6999">
        <w:rPr>
          <w:rFonts w:asciiTheme="majorBidi" w:hAnsiTheme="majorBidi" w:cstheme="majorBidi"/>
          <w:b/>
          <w:bCs/>
          <w:sz w:val="28"/>
          <w:szCs w:val="28"/>
          <w:u w:val="single"/>
        </w:rPr>
        <w:t>Efficacité de la main d’œuvre</w:t>
      </w:r>
      <w:r w:rsidR="000D3F35" w:rsidRPr="008F6999">
        <w:rPr>
          <w:rFonts w:asciiTheme="majorBidi" w:hAnsiTheme="majorBidi" w:cstheme="majorBidi"/>
          <w:b/>
          <w:bCs/>
          <w:sz w:val="28"/>
          <w:szCs w:val="28"/>
        </w:rPr>
        <w:t> :</w:t>
      </w:r>
    </w:p>
    <w:p w:rsidR="000D3F35" w:rsidRPr="008F6999" w:rsidRDefault="000D3F35" w:rsidP="00EE5E3D">
      <w:pPr>
        <w:spacing w:line="312" w:lineRule="auto"/>
        <w:ind w:firstLine="284"/>
        <w:jc w:val="both"/>
        <w:rPr>
          <w:rFonts w:asciiTheme="majorBidi" w:hAnsiTheme="majorBidi" w:cstheme="majorBidi"/>
          <w:bCs/>
          <w:sz w:val="28"/>
          <w:szCs w:val="28"/>
        </w:rPr>
      </w:pPr>
      <w:r w:rsidRPr="00BF2DDC">
        <w:rPr>
          <w:rFonts w:asciiTheme="majorBidi" w:hAnsiTheme="majorBidi" w:cstheme="majorBidi"/>
          <w:sz w:val="28"/>
          <w:szCs w:val="28"/>
        </w:rPr>
        <w:t>Cet indicateur est établis d’après le ressenti de l’agriculteur.</w:t>
      </w:r>
      <w:r w:rsidR="004724CB">
        <w:rPr>
          <w:rFonts w:asciiTheme="majorBidi" w:hAnsiTheme="majorBidi" w:cstheme="majorBidi"/>
          <w:sz w:val="28"/>
          <w:szCs w:val="28"/>
        </w:rPr>
        <w:t xml:space="preserve"> </w:t>
      </w:r>
      <w:r w:rsidRPr="008F6999">
        <w:rPr>
          <w:rFonts w:asciiTheme="majorBidi" w:hAnsiTheme="majorBidi" w:cstheme="majorBidi"/>
          <w:bCs/>
          <w:sz w:val="28"/>
          <w:szCs w:val="28"/>
        </w:rPr>
        <w:t>La qualité de la main d’œuvre peut être :</w:t>
      </w:r>
    </w:p>
    <w:p w:rsidR="000D3F35" w:rsidRPr="008F6999" w:rsidRDefault="000D3F35" w:rsidP="00C65E4A">
      <w:pPr>
        <w:pStyle w:val="Paragraphedeliste"/>
        <w:numPr>
          <w:ilvl w:val="0"/>
          <w:numId w:val="2"/>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 xml:space="preserve">hautement qualifiée : 10 points </w:t>
      </w:r>
    </w:p>
    <w:p w:rsidR="000D3F35" w:rsidRPr="008F6999" w:rsidRDefault="000D3F35" w:rsidP="00C65E4A">
      <w:pPr>
        <w:pStyle w:val="Paragraphedeliste"/>
        <w:numPr>
          <w:ilvl w:val="0"/>
          <w:numId w:val="2"/>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bonne : 8 points</w:t>
      </w:r>
    </w:p>
    <w:p w:rsidR="000D3F35" w:rsidRPr="008F6999" w:rsidRDefault="000D3F35" w:rsidP="00C65E4A">
      <w:pPr>
        <w:pStyle w:val="Paragraphedeliste"/>
        <w:numPr>
          <w:ilvl w:val="0"/>
          <w:numId w:val="2"/>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 xml:space="preserve">assez bonne : 6 points </w:t>
      </w:r>
    </w:p>
    <w:p w:rsidR="000D3F35" w:rsidRPr="008F6999" w:rsidRDefault="000D3F35" w:rsidP="00C65E4A">
      <w:pPr>
        <w:pStyle w:val="Paragraphedeliste"/>
        <w:numPr>
          <w:ilvl w:val="0"/>
          <w:numId w:val="2"/>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 xml:space="preserve">moyenne : 4 points </w:t>
      </w:r>
    </w:p>
    <w:p w:rsidR="000D3F35" w:rsidRPr="008F6999" w:rsidRDefault="000D3F35" w:rsidP="00C65E4A">
      <w:pPr>
        <w:pStyle w:val="Paragraphedeliste"/>
        <w:numPr>
          <w:ilvl w:val="0"/>
          <w:numId w:val="2"/>
        </w:numPr>
        <w:spacing w:line="312" w:lineRule="auto"/>
        <w:jc w:val="both"/>
        <w:rPr>
          <w:rFonts w:asciiTheme="majorBidi" w:hAnsiTheme="majorBidi" w:cstheme="majorBidi"/>
          <w:b/>
          <w:bCs/>
          <w:sz w:val="28"/>
          <w:szCs w:val="28"/>
          <w:u w:val="single"/>
        </w:rPr>
      </w:pPr>
      <w:r w:rsidRPr="008F6999">
        <w:rPr>
          <w:rFonts w:asciiTheme="majorBidi" w:hAnsiTheme="majorBidi" w:cstheme="majorBidi"/>
          <w:bCs/>
          <w:sz w:val="28"/>
          <w:szCs w:val="28"/>
        </w:rPr>
        <w:t>faible</w:t>
      </w:r>
      <w:r w:rsidRPr="008F6999">
        <w:rPr>
          <w:rFonts w:asciiTheme="majorBidi" w:hAnsiTheme="majorBidi" w:cstheme="majorBidi"/>
          <w:b/>
          <w:bCs/>
          <w:sz w:val="28"/>
          <w:szCs w:val="28"/>
        </w:rPr>
        <w:t> </w:t>
      </w:r>
      <w:r w:rsidRPr="008F6999">
        <w:rPr>
          <w:rFonts w:asciiTheme="majorBidi" w:hAnsiTheme="majorBidi" w:cstheme="majorBidi"/>
          <w:sz w:val="28"/>
          <w:szCs w:val="28"/>
        </w:rPr>
        <w:t xml:space="preserve">: 2 points </w:t>
      </w:r>
    </w:p>
    <w:p w:rsidR="000D3F35" w:rsidRPr="008F6999" w:rsidRDefault="000D3F35" w:rsidP="00C65E4A">
      <w:pPr>
        <w:pStyle w:val="Paragraphedeliste"/>
        <w:numPr>
          <w:ilvl w:val="0"/>
          <w:numId w:val="2"/>
        </w:numPr>
        <w:spacing w:line="312" w:lineRule="auto"/>
        <w:jc w:val="both"/>
        <w:rPr>
          <w:rFonts w:asciiTheme="majorBidi" w:hAnsiTheme="majorBidi" w:cstheme="majorBidi"/>
          <w:b/>
          <w:bCs/>
          <w:sz w:val="28"/>
          <w:szCs w:val="28"/>
          <w:u w:val="single"/>
        </w:rPr>
      </w:pPr>
      <w:r w:rsidRPr="008F6999">
        <w:rPr>
          <w:rFonts w:asciiTheme="majorBidi" w:hAnsiTheme="majorBidi" w:cstheme="majorBidi"/>
          <w:sz w:val="28"/>
          <w:szCs w:val="28"/>
        </w:rPr>
        <w:t>très faible : 0 point</w:t>
      </w:r>
    </w:p>
    <w:p w:rsidR="000D3F35" w:rsidRPr="008F6999" w:rsidRDefault="00201C1F" w:rsidP="00C65E4A">
      <w:pPr>
        <w:spacing w:line="312" w:lineRule="auto"/>
        <w:jc w:val="both"/>
        <w:rPr>
          <w:rFonts w:asciiTheme="majorBidi" w:hAnsiTheme="majorBidi" w:cstheme="majorBidi"/>
          <w:b/>
          <w:bCs/>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.5.3.9. </w:t>
      </w:r>
      <w:r w:rsidR="000D3F35" w:rsidRPr="008F6999">
        <w:rPr>
          <w:rFonts w:asciiTheme="majorBidi" w:hAnsiTheme="majorBidi" w:cstheme="majorBidi"/>
          <w:b/>
          <w:bCs/>
          <w:sz w:val="28"/>
          <w:szCs w:val="28"/>
          <w:u w:val="single"/>
        </w:rPr>
        <w:t>Indépendance technique :</w:t>
      </w:r>
    </w:p>
    <w:p w:rsidR="000D3F35" w:rsidRPr="008F6999" w:rsidRDefault="000D3F35" w:rsidP="00C65E4A">
      <w:pPr>
        <w:spacing w:line="312" w:lineRule="auto"/>
        <w:ind w:left="284"/>
        <w:jc w:val="both"/>
        <w:rPr>
          <w:rFonts w:asciiTheme="majorBidi" w:hAnsiTheme="majorBidi" w:cstheme="majorBidi"/>
          <w:bCs/>
          <w:sz w:val="28"/>
          <w:szCs w:val="28"/>
        </w:rPr>
      </w:pPr>
      <w:r w:rsidRPr="008F6999">
        <w:rPr>
          <w:rFonts w:asciiTheme="majorBidi" w:hAnsiTheme="majorBidi" w:cstheme="majorBidi"/>
          <w:bCs/>
          <w:sz w:val="28"/>
          <w:szCs w:val="28"/>
        </w:rPr>
        <w:t>C’est le degré d’autonomie par apport à votre filière :</w:t>
      </w:r>
    </w:p>
    <w:p w:rsidR="000D3F35" w:rsidRPr="008F6999" w:rsidRDefault="000D3F35" w:rsidP="00C65E4A">
      <w:pPr>
        <w:pStyle w:val="Paragraphedeliste"/>
        <w:numPr>
          <w:ilvl w:val="0"/>
          <w:numId w:val="3"/>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approvisionnement en aliment : 2 points</w:t>
      </w:r>
    </w:p>
    <w:p w:rsidR="000D3F35" w:rsidRPr="008F6999" w:rsidRDefault="000D3F35" w:rsidP="00C65E4A">
      <w:pPr>
        <w:pStyle w:val="Paragraphedeliste"/>
        <w:numPr>
          <w:ilvl w:val="0"/>
          <w:numId w:val="3"/>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 xml:space="preserve">approvisionnement en matériels biologique : 2 points </w:t>
      </w:r>
    </w:p>
    <w:p w:rsidR="000D3F35" w:rsidRPr="008F6999" w:rsidRDefault="000D3F35" w:rsidP="00C65E4A">
      <w:pPr>
        <w:pStyle w:val="Paragraphedeliste"/>
        <w:numPr>
          <w:ilvl w:val="0"/>
          <w:numId w:val="3"/>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approvisionnement en produits vétérinaires : 2 points</w:t>
      </w:r>
    </w:p>
    <w:p w:rsidR="000D3F35" w:rsidRPr="008F6999" w:rsidRDefault="000D3F35" w:rsidP="00C65E4A">
      <w:pPr>
        <w:pStyle w:val="Paragraphedeliste"/>
        <w:numPr>
          <w:ilvl w:val="0"/>
          <w:numId w:val="3"/>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approvisionnement en équipement : 2 points</w:t>
      </w:r>
    </w:p>
    <w:p w:rsidR="000D3F35" w:rsidRPr="008F6999" w:rsidRDefault="000D3F35" w:rsidP="00C65E4A">
      <w:pPr>
        <w:pStyle w:val="Paragraphedeliste"/>
        <w:numPr>
          <w:ilvl w:val="0"/>
          <w:numId w:val="3"/>
        </w:num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Commercialisation des produits avicoles : 2 points</w:t>
      </w:r>
    </w:p>
    <w:p w:rsidR="000D3F35" w:rsidRPr="008F6999" w:rsidRDefault="00201C1F" w:rsidP="00C65E4A">
      <w:pPr>
        <w:spacing w:line="312" w:lineRule="auto"/>
        <w:jc w:val="both"/>
        <w:rPr>
          <w:rFonts w:asciiTheme="majorBidi" w:hAnsiTheme="majorBidi" w:cstheme="majorBidi"/>
          <w:b/>
          <w:bCs/>
          <w:sz w:val="28"/>
          <w:szCs w:val="28"/>
          <w:u w:val="single"/>
        </w:rPr>
      </w:pPr>
      <w:r>
        <w:rPr>
          <w:rFonts w:asciiTheme="majorBidi" w:hAnsiTheme="majorBidi" w:cstheme="majorBidi"/>
          <w:b/>
          <w:bCs/>
          <w:sz w:val="28"/>
          <w:szCs w:val="28"/>
        </w:rPr>
        <w:t>1</w:t>
      </w:r>
      <w:r w:rsidR="000D3F35" w:rsidRPr="008F6999">
        <w:rPr>
          <w:rFonts w:asciiTheme="majorBidi" w:hAnsiTheme="majorBidi" w:cstheme="majorBidi"/>
          <w:b/>
          <w:bCs/>
          <w:sz w:val="28"/>
          <w:szCs w:val="28"/>
        </w:rPr>
        <w:t xml:space="preserve">.5.3.10. </w:t>
      </w:r>
      <w:r w:rsidR="000D3F35" w:rsidRPr="008F6999">
        <w:rPr>
          <w:rFonts w:asciiTheme="majorBidi" w:hAnsiTheme="majorBidi" w:cstheme="majorBidi"/>
          <w:b/>
          <w:bCs/>
          <w:sz w:val="28"/>
          <w:szCs w:val="28"/>
          <w:u w:val="single"/>
        </w:rPr>
        <w:t>Polyvalence de l’outil de production</w:t>
      </w:r>
      <w:r w:rsidR="000D3F35" w:rsidRPr="008F6999">
        <w:rPr>
          <w:rFonts w:asciiTheme="majorBidi" w:hAnsiTheme="majorBidi" w:cstheme="majorBidi"/>
          <w:b/>
          <w:bCs/>
          <w:sz w:val="28"/>
          <w:szCs w:val="28"/>
        </w:rPr>
        <w:t xml:space="preserve">   :</w:t>
      </w:r>
    </w:p>
    <w:p w:rsidR="000D3F35" w:rsidRPr="008F6999" w:rsidRDefault="000D3F35" w:rsidP="00C65E4A">
      <w:pPr>
        <w:spacing w:line="312" w:lineRule="auto"/>
        <w:jc w:val="both"/>
        <w:rPr>
          <w:rFonts w:asciiTheme="majorBidi" w:hAnsiTheme="majorBidi" w:cstheme="majorBidi"/>
          <w:bCs/>
          <w:sz w:val="28"/>
          <w:szCs w:val="28"/>
        </w:rPr>
      </w:pPr>
      <w:r w:rsidRPr="008F6999">
        <w:rPr>
          <w:rFonts w:asciiTheme="majorBidi" w:hAnsiTheme="majorBidi" w:cstheme="majorBidi"/>
          <w:bCs/>
          <w:sz w:val="28"/>
          <w:szCs w:val="28"/>
        </w:rPr>
        <w:t>C’est la qualité et l’efficacité des out</w:t>
      </w:r>
      <w:r>
        <w:rPr>
          <w:rFonts w:asciiTheme="majorBidi" w:hAnsiTheme="majorBidi" w:cstheme="majorBidi"/>
          <w:bCs/>
          <w:sz w:val="28"/>
          <w:szCs w:val="28"/>
        </w:rPr>
        <w:t>ils et infrastructure polyvalent</w:t>
      </w:r>
      <w:r w:rsidRPr="008F6999">
        <w:rPr>
          <w:rFonts w:asciiTheme="majorBidi" w:hAnsiTheme="majorBidi" w:cstheme="majorBidi"/>
          <w:bCs/>
          <w:sz w:val="28"/>
          <w:szCs w:val="28"/>
        </w:rPr>
        <w:t>e.</w:t>
      </w:r>
    </w:p>
    <w:p w:rsidR="000D3F35" w:rsidRPr="008F6999"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Très bonne qualité : 10 points </w:t>
      </w:r>
    </w:p>
    <w:p w:rsidR="000D3F35" w:rsidRPr="008F6999"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Bonne qualité : 8 points </w:t>
      </w:r>
    </w:p>
    <w:p w:rsidR="000D3F35" w:rsidRPr="008F6999"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Assez bonne qualité : 6 points </w:t>
      </w:r>
    </w:p>
    <w:p w:rsidR="000D3F35" w:rsidRPr="008F6999"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Moyenne : 4 points </w:t>
      </w:r>
    </w:p>
    <w:p w:rsidR="000D3F35" w:rsidRPr="008F6999"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Faible qualité : 2 points </w:t>
      </w:r>
    </w:p>
    <w:p w:rsidR="000D3F35" w:rsidRDefault="000D3F35" w:rsidP="00C65E4A">
      <w:pPr>
        <w:pStyle w:val="Paragraphedeliste"/>
        <w:numPr>
          <w:ilvl w:val="0"/>
          <w:numId w:val="10"/>
        </w:num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Très faible qualité : 0 point. </w:t>
      </w:r>
    </w:p>
    <w:p w:rsidR="0012375F" w:rsidRDefault="00FA462A"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b/>
          <w:bCs/>
          <w:sz w:val="28"/>
          <w:szCs w:val="28"/>
        </w:rPr>
        <w:t>1</w:t>
      </w:r>
      <w:r w:rsidR="000D3F35" w:rsidRPr="00537103">
        <w:rPr>
          <w:rFonts w:asciiTheme="majorBidi" w:hAnsiTheme="majorBidi" w:cstheme="majorBidi"/>
          <w:b/>
          <w:bCs/>
          <w:sz w:val="28"/>
          <w:szCs w:val="28"/>
        </w:rPr>
        <w:t xml:space="preserve">.5.4. Analyses statistiques : </w:t>
      </w:r>
      <w:r w:rsidR="000D3F35" w:rsidRPr="00537103">
        <w:rPr>
          <w:rFonts w:asciiTheme="majorBidi" w:hAnsiTheme="majorBidi" w:cstheme="majorBidi"/>
          <w:sz w:val="28"/>
          <w:szCs w:val="28"/>
        </w:rPr>
        <w:t>Les données collectées sont enregistrées sur l’Excel et elles ont subi un traitement au moyen du logiciel PAST version 1.2.</w:t>
      </w:r>
    </w:p>
    <w:p w:rsidR="0012375F" w:rsidRDefault="0012375F" w:rsidP="00C65E4A">
      <w:pPr>
        <w:autoSpaceDE w:val="0"/>
        <w:autoSpaceDN w:val="0"/>
        <w:adjustRightInd w:val="0"/>
        <w:spacing w:line="312" w:lineRule="auto"/>
        <w:jc w:val="both"/>
        <w:rPr>
          <w:rFonts w:asciiTheme="majorBidi" w:hAnsiTheme="majorBidi" w:cstheme="majorBidi"/>
          <w:sz w:val="28"/>
          <w:szCs w:val="28"/>
        </w:rPr>
      </w:pPr>
    </w:p>
    <w:p w:rsidR="000D3F35" w:rsidRPr="0012375F" w:rsidRDefault="00DF59B0" w:rsidP="00C65E4A">
      <w:pPr>
        <w:autoSpaceDE w:val="0"/>
        <w:autoSpaceDN w:val="0"/>
        <w:adjustRightInd w:val="0"/>
        <w:spacing w:line="312" w:lineRule="auto"/>
        <w:jc w:val="both"/>
        <w:rPr>
          <w:rFonts w:asciiTheme="majorBidi" w:hAnsiTheme="majorBidi" w:cstheme="majorBidi"/>
          <w:sz w:val="28"/>
          <w:szCs w:val="28"/>
        </w:rPr>
      </w:pPr>
      <w:r>
        <w:rPr>
          <w:rFonts w:asciiTheme="majorBidi" w:hAnsiTheme="majorBidi" w:cstheme="majorBidi"/>
          <w:b/>
          <w:bCs/>
          <w:sz w:val="28"/>
          <w:szCs w:val="28"/>
        </w:rPr>
        <w:lastRenderedPageBreak/>
        <w:t xml:space="preserve">II. </w:t>
      </w:r>
      <w:r w:rsidR="000D3F35" w:rsidRPr="00DF59B0">
        <w:rPr>
          <w:rFonts w:asciiTheme="majorBidi" w:hAnsiTheme="majorBidi" w:cstheme="majorBidi"/>
          <w:b/>
          <w:bCs/>
          <w:sz w:val="28"/>
          <w:szCs w:val="28"/>
        </w:rPr>
        <w:t xml:space="preserve">Résultats et discussion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II.1. Identification des exploitations avicoles</w:t>
      </w:r>
    </w:p>
    <w:p w:rsidR="000D3F35" w:rsidRPr="008F6999" w:rsidRDefault="000D3F35" w:rsidP="00EE5E3D">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D’après les données collectées au cours de notre enquête, l’élevage avicole est conduit par des hommes de 42 ans d’âge en moyenne. Ces éleveurs sont dotés d’une expérience de plus de 17 ans dans le domaine de production avicole. Parmi eux, seulement un exploitant a fait des études supérieures, le reste  vient du secondaire (03) et du SEM (01) (Tableau</w:t>
      </w:r>
      <w:r w:rsidR="006575B8">
        <w:rPr>
          <w:rFonts w:asciiTheme="majorBidi" w:hAnsiTheme="majorBidi" w:cstheme="majorBidi"/>
          <w:sz w:val="28"/>
          <w:szCs w:val="28"/>
        </w:rPr>
        <w:t xml:space="preserve"> </w:t>
      </w:r>
      <w:r w:rsidR="004724CB">
        <w:rPr>
          <w:rFonts w:asciiTheme="majorBidi" w:hAnsiTheme="majorBidi" w:cstheme="majorBidi"/>
          <w:sz w:val="28"/>
          <w:szCs w:val="28"/>
        </w:rPr>
        <w:t>9)</w:t>
      </w:r>
      <w:r w:rsidRPr="008F6999">
        <w:rPr>
          <w:rFonts w:asciiTheme="majorBidi" w:hAnsiTheme="majorBidi" w:cstheme="majorBidi"/>
          <w:sz w:val="28"/>
          <w:szCs w:val="28"/>
        </w:rPr>
        <w:t>.</w:t>
      </w:r>
    </w:p>
    <w:p w:rsidR="000D3F35" w:rsidRDefault="000D3F35" w:rsidP="00EE5E3D">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L’élevage est pratiqué dans des bâtiments avicoles de type industriel, d’une superficie qui varie de 672 à 1000 m². La plupart des aviculteurs dispose de 4 à 5 ateliers d’élevage, à l’exception d’un éleveur qui possède un seul atelier. </w:t>
      </w:r>
    </w:p>
    <w:p w:rsidR="006575B8" w:rsidRDefault="006575B8" w:rsidP="00C65E4A">
      <w:pPr>
        <w:autoSpaceDE w:val="0"/>
        <w:autoSpaceDN w:val="0"/>
        <w:adjustRightInd w:val="0"/>
        <w:spacing w:line="312" w:lineRule="auto"/>
        <w:rPr>
          <w:rFonts w:asciiTheme="majorBidi" w:hAnsiTheme="majorBidi" w:cstheme="majorBidi"/>
          <w:sz w:val="28"/>
          <w:szCs w:val="28"/>
        </w:rPr>
      </w:pPr>
      <w:r>
        <w:rPr>
          <w:rFonts w:asciiTheme="majorBidi" w:hAnsiTheme="majorBidi" w:cstheme="majorBidi"/>
          <w:sz w:val="28"/>
          <w:szCs w:val="28"/>
        </w:rPr>
        <w:t xml:space="preserve">                    </w:t>
      </w: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6575B8" w:rsidRDefault="006575B8" w:rsidP="00C65E4A">
      <w:pPr>
        <w:autoSpaceDE w:val="0"/>
        <w:autoSpaceDN w:val="0"/>
        <w:adjustRightInd w:val="0"/>
        <w:spacing w:line="312" w:lineRule="auto"/>
        <w:rPr>
          <w:rFonts w:asciiTheme="majorBidi" w:hAnsiTheme="majorBidi" w:cstheme="majorBidi"/>
          <w:sz w:val="28"/>
          <w:szCs w:val="28"/>
        </w:rPr>
      </w:pPr>
    </w:p>
    <w:p w:rsidR="000D3F35" w:rsidRPr="008F6999" w:rsidRDefault="006575B8" w:rsidP="00C65E4A">
      <w:pPr>
        <w:autoSpaceDE w:val="0"/>
        <w:autoSpaceDN w:val="0"/>
        <w:adjustRightInd w:val="0"/>
        <w:spacing w:line="312" w:lineRule="auto"/>
        <w:rPr>
          <w:rFonts w:asciiTheme="majorBidi" w:hAnsiTheme="majorBidi" w:cstheme="majorBidi"/>
          <w:sz w:val="28"/>
          <w:szCs w:val="28"/>
        </w:rPr>
      </w:pPr>
      <w:r>
        <w:rPr>
          <w:rFonts w:asciiTheme="majorBidi" w:hAnsiTheme="majorBidi" w:cstheme="majorBidi"/>
          <w:sz w:val="28"/>
          <w:szCs w:val="28"/>
        </w:rPr>
        <w:lastRenderedPageBreak/>
        <w:t xml:space="preserve">                 </w:t>
      </w:r>
      <w:r w:rsidR="000D3F35" w:rsidRPr="0088450B">
        <w:rPr>
          <w:rFonts w:asciiTheme="majorBidi" w:hAnsiTheme="majorBidi" w:cstheme="majorBidi"/>
          <w:b/>
          <w:bCs/>
          <w:sz w:val="28"/>
          <w:szCs w:val="28"/>
        </w:rPr>
        <w:t>Tableau</w:t>
      </w:r>
      <w:r w:rsidR="000D3F35" w:rsidRPr="008F6999">
        <w:rPr>
          <w:rFonts w:asciiTheme="majorBidi" w:hAnsiTheme="majorBidi" w:cstheme="majorBidi"/>
          <w:sz w:val="28"/>
          <w:szCs w:val="28"/>
        </w:rPr>
        <w:t> </w:t>
      </w:r>
      <w:r w:rsidRPr="006575B8">
        <w:rPr>
          <w:rFonts w:asciiTheme="majorBidi" w:hAnsiTheme="majorBidi" w:cstheme="majorBidi"/>
          <w:b/>
          <w:bCs/>
          <w:sz w:val="28"/>
          <w:szCs w:val="28"/>
        </w:rPr>
        <w:t>9</w:t>
      </w:r>
      <w:r w:rsidR="000D3F35" w:rsidRPr="008F6999">
        <w:rPr>
          <w:rFonts w:asciiTheme="majorBidi" w:hAnsiTheme="majorBidi" w:cstheme="majorBidi"/>
          <w:sz w:val="28"/>
          <w:szCs w:val="28"/>
        </w:rPr>
        <w:t>: Identification des exploitations avicoles</w:t>
      </w:r>
    </w:p>
    <w:tbl>
      <w:tblPr>
        <w:tblStyle w:val="Grilledutableau"/>
        <w:tblW w:w="9480" w:type="dxa"/>
        <w:tblLook w:val="0480"/>
      </w:tblPr>
      <w:tblGrid>
        <w:gridCol w:w="1787"/>
        <w:gridCol w:w="1461"/>
        <w:gridCol w:w="1336"/>
        <w:gridCol w:w="1616"/>
        <w:gridCol w:w="1528"/>
        <w:gridCol w:w="1474"/>
        <w:gridCol w:w="56"/>
        <w:gridCol w:w="222"/>
      </w:tblGrid>
      <w:tr w:rsidR="000D3F35" w:rsidRPr="008F6999" w:rsidTr="00EA67A4">
        <w:trPr>
          <w:trHeight w:val="722"/>
        </w:trPr>
        <w:tc>
          <w:tcPr>
            <w:tcW w:w="1601"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Exploitation </w:t>
            </w:r>
          </w:p>
        </w:tc>
        <w:tc>
          <w:tcPr>
            <w:tcW w:w="1680"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Coq Hodna</w:t>
            </w:r>
          </w:p>
        </w:tc>
        <w:tc>
          <w:tcPr>
            <w:tcW w:w="1318"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   ORAC</w:t>
            </w:r>
          </w:p>
        </w:tc>
        <w:tc>
          <w:tcPr>
            <w:tcW w:w="1416" w:type="dxa"/>
            <w:tcBorders>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Belhaous</w:t>
            </w:r>
          </w:p>
        </w:tc>
        <w:tc>
          <w:tcPr>
            <w:tcW w:w="1619" w:type="dxa"/>
            <w:tcBorders>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Frahtia </w:t>
            </w:r>
          </w:p>
        </w:tc>
        <w:tc>
          <w:tcPr>
            <w:tcW w:w="1624" w:type="dxa"/>
            <w:gridSpan w:val="2"/>
            <w:tcBorders>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Lachache </w:t>
            </w:r>
          </w:p>
        </w:tc>
        <w:tc>
          <w:tcPr>
            <w:tcW w:w="222" w:type="dxa"/>
            <w:vMerge w:val="restart"/>
            <w:tcBorders>
              <w:left w:val="single" w:sz="4" w:space="0" w:color="auto"/>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rPr>
          <w:trHeight w:val="563"/>
        </w:trPr>
        <w:tc>
          <w:tcPr>
            <w:tcW w:w="1601" w:type="dxa"/>
            <w:tcBorders>
              <w:top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Région </w:t>
            </w:r>
          </w:p>
        </w:tc>
        <w:tc>
          <w:tcPr>
            <w:tcW w:w="1680"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Berhoum </w:t>
            </w:r>
          </w:p>
        </w:tc>
        <w:tc>
          <w:tcPr>
            <w:tcW w:w="1318"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Maarif</w:t>
            </w:r>
          </w:p>
        </w:tc>
        <w:tc>
          <w:tcPr>
            <w:tcW w:w="1416" w:type="dxa"/>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Sidi -Amara</w:t>
            </w:r>
          </w:p>
        </w:tc>
        <w:tc>
          <w:tcPr>
            <w:tcW w:w="1619" w:type="dxa"/>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Mezrir</w:t>
            </w:r>
          </w:p>
        </w:tc>
        <w:tc>
          <w:tcPr>
            <w:tcW w:w="1624" w:type="dxa"/>
            <w:gridSpan w:val="2"/>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Sidi-Amara</w:t>
            </w:r>
          </w:p>
        </w:tc>
        <w:tc>
          <w:tcPr>
            <w:tcW w:w="222" w:type="dxa"/>
            <w:vMerge/>
            <w:tcBorders>
              <w:left w:val="single" w:sz="4" w:space="0" w:color="auto"/>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rPr>
          <w:trHeight w:val="506"/>
        </w:trPr>
        <w:tc>
          <w:tcPr>
            <w:tcW w:w="1601" w:type="dxa"/>
            <w:tcBorders>
              <w:bottom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Commune </w:t>
            </w:r>
          </w:p>
        </w:tc>
        <w:tc>
          <w:tcPr>
            <w:tcW w:w="1680"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S’Hamda</w:t>
            </w:r>
          </w:p>
        </w:tc>
        <w:tc>
          <w:tcPr>
            <w:tcW w:w="1318" w:type="dxa"/>
            <w:tcBorders>
              <w:top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Chellal</w:t>
            </w:r>
          </w:p>
        </w:tc>
        <w:tc>
          <w:tcPr>
            <w:tcW w:w="1416" w:type="dxa"/>
            <w:tcBorders>
              <w:top w:val="single" w:sz="4" w:space="0" w:color="auto"/>
              <w:left w:val="single" w:sz="4" w:space="0" w:color="auto"/>
              <w:bottom w:val="single" w:sz="4" w:space="0" w:color="auto"/>
              <w:right w:val="single" w:sz="4" w:space="0" w:color="auto"/>
            </w:tcBorders>
          </w:tcPr>
          <w:p w:rsidR="000D3F35" w:rsidRPr="0088450B" w:rsidRDefault="000D3F35" w:rsidP="00C65E4A">
            <w:pPr>
              <w:spacing w:line="312" w:lineRule="auto"/>
              <w:rPr>
                <w:rFonts w:asciiTheme="majorBidi" w:hAnsiTheme="majorBidi" w:cstheme="majorBidi"/>
                <w:sz w:val="28"/>
                <w:szCs w:val="28"/>
              </w:rPr>
            </w:pPr>
            <w:r w:rsidRPr="0088450B">
              <w:rPr>
                <w:rFonts w:asciiTheme="majorBidi" w:hAnsiTheme="majorBidi" w:cstheme="majorBidi"/>
                <w:sz w:val="28"/>
                <w:szCs w:val="28"/>
              </w:rPr>
              <w:t>M’tarfa</w:t>
            </w:r>
          </w:p>
        </w:tc>
        <w:tc>
          <w:tcPr>
            <w:tcW w:w="1619" w:type="dxa"/>
            <w:tcBorders>
              <w:top w:val="single" w:sz="4" w:space="0" w:color="auto"/>
              <w:left w:val="single" w:sz="4" w:space="0" w:color="auto"/>
              <w:bottom w:val="single" w:sz="4" w:space="0" w:color="auto"/>
              <w:right w:val="single" w:sz="4" w:space="0" w:color="auto"/>
            </w:tcBorders>
          </w:tcPr>
          <w:p w:rsidR="000D3F35" w:rsidRPr="0088450B" w:rsidRDefault="000D3F35" w:rsidP="00C65E4A">
            <w:pPr>
              <w:spacing w:line="312" w:lineRule="auto"/>
              <w:rPr>
                <w:rFonts w:asciiTheme="majorBidi" w:hAnsiTheme="majorBidi" w:cstheme="majorBidi"/>
                <w:sz w:val="28"/>
                <w:szCs w:val="28"/>
              </w:rPr>
            </w:pPr>
            <w:r w:rsidRPr="0088450B">
              <w:rPr>
                <w:rFonts w:asciiTheme="majorBidi" w:hAnsiTheme="majorBidi" w:cstheme="majorBidi"/>
                <w:sz w:val="28"/>
                <w:szCs w:val="28"/>
              </w:rPr>
              <w:t xml:space="preserve">M’sila </w:t>
            </w:r>
          </w:p>
        </w:tc>
        <w:tc>
          <w:tcPr>
            <w:tcW w:w="1624" w:type="dxa"/>
            <w:gridSpan w:val="2"/>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Bechelga</w:t>
            </w:r>
          </w:p>
        </w:tc>
        <w:tc>
          <w:tcPr>
            <w:tcW w:w="222" w:type="dxa"/>
            <w:vMerge/>
            <w:tcBorders>
              <w:left w:val="single" w:sz="4" w:space="0" w:color="auto"/>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rPr>
          <w:trHeight w:val="436"/>
        </w:trPr>
        <w:tc>
          <w:tcPr>
            <w:tcW w:w="1601" w:type="dxa"/>
            <w:tcBorders>
              <w:top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Age (ans)</w:t>
            </w:r>
          </w:p>
        </w:tc>
        <w:tc>
          <w:tcPr>
            <w:tcW w:w="1680" w:type="dxa"/>
            <w:tcBorders>
              <w:top w:val="single" w:sz="4" w:space="0" w:color="auto"/>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50</w:t>
            </w:r>
          </w:p>
        </w:tc>
        <w:tc>
          <w:tcPr>
            <w:tcW w:w="1318" w:type="dxa"/>
            <w:tcBorders>
              <w:top w:val="single" w:sz="4" w:space="0" w:color="auto"/>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57</w:t>
            </w:r>
          </w:p>
        </w:tc>
        <w:tc>
          <w:tcPr>
            <w:tcW w:w="1416" w:type="dxa"/>
            <w:tcBorders>
              <w:top w:val="single" w:sz="4" w:space="0" w:color="auto"/>
              <w:left w:val="single" w:sz="4" w:space="0" w:color="auto"/>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28</w:t>
            </w:r>
          </w:p>
        </w:tc>
        <w:tc>
          <w:tcPr>
            <w:tcW w:w="1619" w:type="dxa"/>
            <w:tcBorders>
              <w:top w:val="single" w:sz="4" w:space="0" w:color="auto"/>
              <w:left w:val="single" w:sz="4" w:space="0" w:color="auto"/>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38</w:t>
            </w:r>
          </w:p>
        </w:tc>
        <w:tc>
          <w:tcPr>
            <w:tcW w:w="1624" w:type="dxa"/>
            <w:gridSpan w:val="2"/>
            <w:tcBorders>
              <w:top w:val="single" w:sz="4" w:space="0" w:color="auto"/>
              <w:left w:val="single" w:sz="4" w:space="0" w:color="auto"/>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38</w:t>
            </w:r>
          </w:p>
        </w:tc>
        <w:tc>
          <w:tcPr>
            <w:tcW w:w="222" w:type="dxa"/>
            <w:vMerge/>
            <w:tcBorders>
              <w:left w:val="single" w:sz="4" w:space="0" w:color="auto"/>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c>
          <w:tcPr>
            <w:tcW w:w="1601"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Niveau </w:t>
            </w:r>
          </w:p>
        </w:tc>
        <w:tc>
          <w:tcPr>
            <w:tcW w:w="1680"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Lycée </w:t>
            </w:r>
          </w:p>
        </w:tc>
        <w:tc>
          <w:tcPr>
            <w:tcW w:w="1318"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Lycée </w:t>
            </w:r>
          </w:p>
        </w:tc>
        <w:tc>
          <w:tcPr>
            <w:tcW w:w="1416"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universitaire</w:t>
            </w:r>
          </w:p>
        </w:tc>
        <w:tc>
          <w:tcPr>
            <w:tcW w:w="1619"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Lycée</w:t>
            </w:r>
          </w:p>
        </w:tc>
        <w:tc>
          <w:tcPr>
            <w:tcW w:w="1624" w:type="dxa"/>
            <w:gridSpan w:val="2"/>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SEM</w:t>
            </w:r>
          </w:p>
        </w:tc>
        <w:tc>
          <w:tcPr>
            <w:tcW w:w="222" w:type="dxa"/>
            <w:vMerge/>
            <w:tcBorders>
              <w:left w:val="single" w:sz="4" w:space="0" w:color="auto"/>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c>
          <w:tcPr>
            <w:tcW w:w="1601"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Revenu annuel (DA) </w:t>
            </w:r>
          </w:p>
        </w:tc>
        <w:tc>
          <w:tcPr>
            <w:tcW w:w="1680" w:type="dxa"/>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15000000</w:t>
            </w:r>
          </w:p>
        </w:tc>
        <w:tc>
          <w:tcPr>
            <w:tcW w:w="1318"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1.082.500</w:t>
            </w:r>
          </w:p>
        </w:tc>
        <w:tc>
          <w:tcPr>
            <w:tcW w:w="1416" w:type="dxa"/>
            <w:tcBorders>
              <w:bottom w:val="nil"/>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9366288</w:t>
            </w:r>
          </w:p>
        </w:tc>
        <w:tc>
          <w:tcPr>
            <w:tcW w:w="1619" w:type="dxa"/>
            <w:tcBorders>
              <w:bottom w:val="nil"/>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100000000</w:t>
            </w:r>
          </w:p>
        </w:tc>
        <w:tc>
          <w:tcPr>
            <w:tcW w:w="1624" w:type="dxa"/>
            <w:gridSpan w:val="2"/>
            <w:tcBorders>
              <w:bottom w:val="nil"/>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100000000</w:t>
            </w:r>
          </w:p>
        </w:tc>
        <w:tc>
          <w:tcPr>
            <w:tcW w:w="222" w:type="dxa"/>
            <w:vMerge/>
            <w:tcBorders>
              <w:left w:val="single" w:sz="4" w:space="0" w:color="auto"/>
              <w:bottom w:val="nil"/>
              <w:right w:val="nil"/>
            </w:tcBorders>
          </w:tcPr>
          <w:p w:rsidR="000D3F35" w:rsidRPr="008F6999" w:rsidRDefault="000D3F35" w:rsidP="00C65E4A">
            <w:pPr>
              <w:spacing w:line="312" w:lineRule="auto"/>
              <w:rPr>
                <w:rFonts w:asciiTheme="majorBidi" w:hAnsiTheme="majorBidi" w:cstheme="majorBidi"/>
                <w:sz w:val="28"/>
                <w:szCs w:val="28"/>
              </w:rPr>
            </w:pPr>
          </w:p>
        </w:tc>
      </w:tr>
      <w:tr w:rsidR="000D3F35" w:rsidRPr="008F6999" w:rsidTr="00EA67A4">
        <w:trPr>
          <w:gridAfter w:val="1"/>
          <w:wAfter w:w="222" w:type="dxa"/>
        </w:trPr>
        <w:tc>
          <w:tcPr>
            <w:tcW w:w="1601"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Nombre de bâtiment </w:t>
            </w:r>
          </w:p>
        </w:tc>
        <w:tc>
          <w:tcPr>
            <w:tcW w:w="1680"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5</w:t>
            </w:r>
          </w:p>
        </w:tc>
        <w:tc>
          <w:tcPr>
            <w:tcW w:w="1318" w:type="dxa"/>
            <w:tcBorders>
              <w:lef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4</w:t>
            </w:r>
          </w:p>
        </w:tc>
        <w:tc>
          <w:tcPr>
            <w:tcW w:w="1416"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5</w:t>
            </w:r>
          </w:p>
        </w:tc>
        <w:tc>
          <w:tcPr>
            <w:tcW w:w="1619"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4</w:t>
            </w:r>
          </w:p>
        </w:tc>
        <w:tc>
          <w:tcPr>
            <w:tcW w:w="1624" w:type="dxa"/>
            <w:gridSpan w:val="2"/>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1</w:t>
            </w:r>
          </w:p>
        </w:tc>
      </w:tr>
      <w:tr w:rsidR="000D3F35" w:rsidRPr="008F6999" w:rsidTr="00EA67A4">
        <w:trPr>
          <w:gridAfter w:val="1"/>
          <w:wAfter w:w="222" w:type="dxa"/>
        </w:trPr>
        <w:tc>
          <w:tcPr>
            <w:tcW w:w="1601"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Superficie de bâtiment (m²)</w:t>
            </w:r>
          </w:p>
        </w:tc>
        <w:tc>
          <w:tcPr>
            <w:tcW w:w="1680"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742</w:t>
            </w:r>
          </w:p>
        </w:tc>
        <w:tc>
          <w:tcPr>
            <w:tcW w:w="1318" w:type="dxa"/>
            <w:tcBorders>
              <w:lef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770</w:t>
            </w:r>
          </w:p>
        </w:tc>
        <w:tc>
          <w:tcPr>
            <w:tcW w:w="1416"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840</w:t>
            </w:r>
          </w:p>
        </w:tc>
        <w:tc>
          <w:tcPr>
            <w:tcW w:w="1619"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1000</w:t>
            </w:r>
          </w:p>
        </w:tc>
        <w:tc>
          <w:tcPr>
            <w:tcW w:w="1624" w:type="dxa"/>
            <w:gridSpan w:val="2"/>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672</w:t>
            </w:r>
          </w:p>
        </w:tc>
      </w:tr>
      <w:tr w:rsidR="000D3F35" w:rsidRPr="008F6999" w:rsidTr="00EE5E3D">
        <w:trPr>
          <w:gridAfter w:val="1"/>
          <w:wAfter w:w="222" w:type="dxa"/>
        </w:trPr>
        <w:tc>
          <w:tcPr>
            <w:tcW w:w="1601" w:type="dxa"/>
          </w:tcPr>
          <w:p w:rsidR="000D3F35"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Superficie d’exploitation</w:t>
            </w:r>
          </w:p>
          <w:p w:rsidR="000D3F35" w:rsidRPr="008F6999" w:rsidRDefault="000D3F35" w:rsidP="00C65E4A">
            <w:pPr>
              <w:spacing w:line="312" w:lineRule="auto"/>
              <w:rPr>
                <w:rFonts w:asciiTheme="majorBidi" w:hAnsiTheme="majorBidi" w:cstheme="majorBidi"/>
                <w:sz w:val="28"/>
                <w:szCs w:val="28"/>
              </w:rPr>
            </w:pPr>
            <w:r>
              <w:rPr>
                <w:rFonts w:asciiTheme="majorBidi" w:hAnsiTheme="majorBidi" w:cstheme="majorBidi"/>
                <w:sz w:val="28"/>
                <w:szCs w:val="28"/>
              </w:rPr>
              <w:t>(ha)</w:t>
            </w:r>
          </w:p>
        </w:tc>
        <w:tc>
          <w:tcPr>
            <w:tcW w:w="1680" w:type="dxa"/>
            <w:tcBorders>
              <w:bottom w:val="single" w:sz="4" w:space="0" w:color="auto"/>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4</w:t>
            </w:r>
          </w:p>
        </w:tc>
        <w:tc>
          <w:tcPr>
            <w:tcW w:w="1318" w:type="dxa"/>
            <w:tcBorders>
              <w:lef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4</w:t>
            </w:r>
          </w:p>
        </w:tc>
        <w:tc>
          <w:tcPr>
            <w:tcW w:w="1416"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 xml:space="preserve">5 </w:t>
            </w:r>
          </w:p>
        </w:tc>
        <w:tc>
          <w:tcPr>
            <w:tcW w:w="1619" w:type="dxa"/>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7</w:t>
            </w:r>
          </w:p>
        </w:tc>
        <w:tc>
          <w:tcPr>
            <w:tcW w:w="1624" w:type="dxa"/>
            <w:gridSpan w:val="2"/>
            <w:tcBorders>
              <w:right w:val="single" w:sz="4" w:space="0" w:color="auto"/>
            </w:tcBorders>
          </w:tcPr>
          <w:p w:rsidR="000D3F35" w:rsidRPr="0088450B"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15</w:t>
            </w:r>
          </w:p>
        </w:tc>
      </w:tr>
      <w:tr w:rsidR="000D3F35" w:rsidRPr="008F6999" w:rsidTr="00EE5E3D">
        <w:trPr>
          <w:gridAfter w:val="1"/>
          <w:wAfter w:w="222" w:type="dxa"/>
          <w:trHeight w:val="550"/>
        </w:trPr>
        <w:tc>
          <w:tcPr>
            <w:tcW w:w="1601" w:type="dxa"/>
            <w:tcBorders>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Type de bâtiment</w:t>
            </w:r>
          </w:p>
        </w:tc>
        <w:tc>
          <w:tcPr>
            <w:tcW w:w="1680" w:type="dxa"/>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Industriel</w:t>
            </w:r>
          </w:p>
        </w:tc>
        <w:tc>
          <w:tcPr>
            <w:tcW w:w="1318" w:type="dxa"/>
            <w:tcBorders>
              <w:left w:val="single" w:sz="4" w:space="0" w:color="auto"/>
              <w:bottom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Industriel </w:t>
            </w:r>
          </w:p>
        </w:tc>
        <w:tc>
          <w:tcPr>
            <w:tcW w:w="1416" w:type="dxa"/>
            <w:tcBorders>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 Industriel</w:t>
            </w:r>
          </w:p>
        </w:tc>
        <w:tc>
          <w:tcPr>
            <w:tcW w:w="1619" w:type="dxa"/>
            <w:tcBorders>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Semi-industriel</w:t>
            </w:r>
          </w:p>
        </w:tc>
        <w:tc>
          <w:tcPr>
            <w:tcW w:w="1624" w:type="dxa"/>
            <w:gridSpan w:val="2"/>
            <w:tcBorders>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Industriel </w:t>
            </w:r>
          </w:p>
        </w:tc>
      </w:tr>
      <w:tr w:rsidR="000D3F35" w:rsidRPr="008F6999" w:rsidTr="00EE5E3D">
        <w:trPr>
          <w:gridAfter w:val="2"/>
          <w:wAfter w:w="300" w:type="dxa"/>
          <w:trHeight w:val="619"/>
        </w:trPr>
        <w:tc>
          <w:tcPr>
            <w:tcW w:w="9180" w:type="dxa"/>
            <w:gridSpan w:val="6"/>
            <w:vMerge w:val="restart"/>
            <w:tcBorders>
              <w:top w:val="nil"/>
              <w:left w:val="nil"/>
              <w:bottom w:val="nil"/>
              <w:right w:val="nil"/>
            </w:tcBorders>
          </w:tcPr>
          <w:p w:rsidR="000D3F35" w:rsidRDefault="000D3F35" w:rsidP="00C65E4A">
            <w:pPr>
              <w:spacing w:line="312" w:lineRule="auto"/>
              <w:jc w:val="both"/>
              <w:rPr>
                <w:rFonts w:asciiTheme="majorBidi" w:hAnsiTheme="majorBidi" w:cstheme="majorBidi"/>
                <w:sz w:val="28"/>
                <w:szCs w:val="28"/>
              </w:rPr>
            </w:pPr>
          </w:p>
          <w:p w:rsidR="00EE5E3D" w:rsidRDefault="00EE5E3D" w:rsidP="00C65E4A">
            <w:pPr>
              <w:spacing w:line="312" w:lineRule="auto"/>
              <w:jc w:val="both"/>
              <w:rPr>
                <w:rFonts w:asciiTheme="majorBidi" w:hAnsiTheme="majorBidi" w:cstheme="majorBidi"/>
                <w:sz w:val="28"/>
                <w:szCs w:val="28"/>
              </w:rPr>
            </w:pPr>
          </w:p>
          <w:p w:rsidR="00EE5E3D" w:rsidRPr="008F6999" w:rsidRDefault="00EE5E3D" w:rsidP="00C65E4A">
            <w:pPr>
              <w:spacing w:line="312" w:lineRule="auto"/>
              <w:jc w:val="both"/>
              <w:rPr>
                <w:rFonts w:asciiTheme="majorBidi" w:hAnsiTheme="majorBidi" w:cstheme="majorBidi"/>
                <w:sz w:val="28"/>
                <w:szCs w:val="28"/>
              </w:rPr>
            </w:pPr>
          </w:p>
          <w:p w:rsidR="000D3F35" w:rsidRPr="008F6999" w:rsidRDefault="000D3F35" w:rsidP="00C65E4A">
            <w:pPr>
              <w:autoSpaceDE w:val="0"/>
              <w:autoSpaceDN w:val="0"/>
              <w:adjustRightInd w:val="0"/>
              <w:spacing w:line="312" w:lineRule="auto"/>
              <w:jc w:val="both"/>
              <w:rPr>
                <w:rFonts w:asciiTheme="majorBidi" w:hAnsiTheme="majorBidi" w:cstheme="majorBidi"/>
                <w:b/>
                <w:bCs/>
                <w:sz w:val="28"/>
                <w:szCs w:val="28"/>
                <w:u w:val="single"/>
              </w:rPr>
            </w:pPr>
          </w:p>
          <w:p w:rsidR="006575B8" w:rsidRDefault="006575B8" w:rsidP="00C65E4A">
            <w:pPr>
              <w:spacing w:line="312" w:lineRule="auto"/>
              <w:jc w:val="both"/>
              <w:rPr>
                <w:rFonts w:asciiTheme="majorBidi" w:hAnsiTheme="majorBidi" w:cstheme="majorBidi"/>
                <w:b/>
                <w:bCs/>
                <w:sz w:val="28"/>
                <w:szCs w:val="28"/>
              </w:rPr>
            </w:pPr>
          </w:p>
          <w:p w:rsidR="006575B8" w:rsidRPr="00EE5E3D" w:rsidRDefault="006575B8" w:rsidP="00C65E4A">
            <w:pPr>
              <w:spacing w:line="312" w:lineRule="auto"/>
              <w:jc w:val="both"/>
              <w:rPr>
                <w:rFonts w:asciiTheme="majorBidi" w:hAnsiTheme="majorBidi" w:cstheme="majorBidi"/>
                <w:b/>
                <w:bCs/>
                <w:sz w:val="28"/>
                <w:szCs w:val="28"/>
              </w:rPr>
            </w:pPr>
          </w:p>
          <w:p w:rsidR="000D3F35" w:rsidRPr="00EE5E3D" w:rsidRDefault="000D3F35" w:rsidP="00C65E4A">
            <w:pPr>
              <w:spacing w:line="312" w:lineRule="auto"/>
              <w:jc w:val="both"/>
              <w:rPr>
                <w:rFonts w:asciiTheme="majorBidi" w:hAnsiTheme="majorBidi" w:cstheme="majorBidi"/>
                <w:b/>
                <w:bCs/>
                <w:sz w:val="28"/>
                <w:szCs w:val="28"/>
              </w:rPr>
            </w:pPr>
            <w:r w:rsidRPr="00EE5E3D">
              <w:rPr>
                <w:rFonts w:asciiTheme="majorBidi" w:hAnsiTheme="majorBidi" w:cstheme="majorBidi"/>
                <w:b/>
                <w:bCs/>
                <w:sz w:val="28"/>
                <w:szCs w:val="28"/>
              </w:rPr>
              <w:lastRenderedPageBreak/>
              <w:t>II.2. Diversité de l’exploitation</w:t>
            </w:r>
          </w:p>
          <w:p w:rsidR="000D3F35" w:rsidRPr="008F6999" w:rsidRDefault="00D440A6" w:rsidP="00C65E4A">
            <w:pPr>
              <w:spacing w:line="312" w:lineRule="auto"/>
              <w:jc w:val="both"/>
              <w:rPr>
                <w:rFonts w:asciiTheme="majorBidi" w:hAnsiTheme="majorBidi" w:cstheme="majorBidi"/>
                <w:b/>
                <w:bCs/>
                <w:sz w:val="28"/>
                <w:szCs w:val="28"/>
              </w:rPr>
            </w:pPr>
            <w:r w:rsidRPr="00EE5E3D">
              <w:rPr>
                <w:rFonts w:asciiTheme="majorBidi" w:hAnsiTheme="majorBidi" w:cstheme="majorBidi"/>
                <w:b/>
                <w:bCs/>
                <w:sz w:val="28"/>
                <w:szCs w:val="28"/>
              </w:rPr>
              <w:t>2</w:t>
            </w:r>
            <w:r w:rsidR="000D3F35" w:rsidRPr="00EE5E3D">
              <w:rPr>
                <w:rFonts w:asciiTheme="majorBidi" w:hAnsiTheme="majorBidi" w:cstheme="majorBidi"/>
                <w:b/>
                <w:bCs/>
                <w:sz w:val="28"/>
                <w:szCs w:val="28"/>
              </w:rPr>
              <w:t>.2.1. Diversité animal</w:t>
            </w:r>
            <w:r w:rsidR="000D3F35" w:rsidRPr="008F6999">
              <w:rPr>
                <w:rFonts w:asciiTheme="majorBidi" w:hAnsiTheme="majorBidi" w:cstheme="majorBidi"/>
                <w:b/>
                <w:bCs/>
                <w:sz w:val="28"/>
                <w:szCs w:val="28"/>
              </w:rPr>
              <w:t>e</w:t>
            </w:r>
          </w:p>
          <w:p w:rsidR="00E779EC" w:rsidRDefault="000D3F35" w:rsidP="00EE5E3D">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Les données </w:t>
            </w:r>
            <w:r>
              <w:rPr>
                <w:rFonts w:asciiTheme="majorBidi" w:hAnsiTheme="majorBidi" w:cstheme="majorBidi"/>
                <w:sz w:val="28"/>
                <w:szCs w:val="28"/>
              </w:rPr>
              <w:t>représentées</w:t>
            </w:r>
            <w:r w:rsidRPr="008F6999">
              <w:rPr>
                <w:rFonts w:asciiTheme="majorBidi" w:hAnsiTheme="majorBidi" w:cstheme="majorBidi"/>
                <w:sz w:val="28"/>
                <w:szCs w:val="28"/>
              </w:rPr>
              <w:t xml:space="preserve"> dans le tableau</w:t>
            </w:r>
            <w:r w:rsidR="005B58F3">
              <w:rPr>
                <w:rFonts w:asciiTheme="majorBidi" w:hAnsiTheme="majorBidi" w:cstheme="majorBidi"/>
                <w:sz w:val="28"/>
                <w:szCs w:val="28"/>
              </w:rPr>
              <w:t xml:space="preserve"> 10</w:t>
            </w:r>
            <w:r w:rsidRPr="008F6999">
              <w:rPr>
                <w:rFonts w:asciiTheme="majorBidi" w:hAnsiTheme="majorBidi" w:cstheme="majorBidi"/>
                <w:sz w:val="28"/>
                <w:szCs w:val="28"/>
              </w:rPr>
              <w:t xml:space="preserve"> nous montrent que les cinq exploitations avicoles interviewées ne possèdent pas une diversité ni dans la production</w:t>
            </w:r>
            <w:r>
              <w:rPr>
                <w:rFonts w:asciiTheme="majorBidi" w:hAnsiTheme="majorBidi" w:cstheme="majorBidi"/>
                <w:sz w:val="28"/>
                <w:szCs w:val="28"/>
              </w:rPr>
              <w:t xml:space="preserve"> des espèces animales ni dans les</w:t>
            </w:r>
            <w:r w:rsidRPr="008F6999">
              <w:rPr>
                <w:rFonts w:asciiTheme="majorBidi" w:hAnsiTheme="majorBidi" w:cstheme="majorBidi"/>
                <w:sz w:val="28"/>
                <w:szCs w:val="28"/>
              </w:rPr>
              <w:t xml:space="preserve"> pratique</w:t>
            </w:r>
            <w:r>
              <w:rPr>
                <w:rFonts w:asciiTheme="majorBidi" w:hAnsiTheme="majorBidi" w:cstheme="majorBidi"/>
                <w:sz w:val="28"/>
                <w:szCs w:val="28"/>
              </w:rPr>
              <w:t>s</w:t>
            </w:r>
            <w:r w:rsidRPr="008F6999">
              <w:rPr>
                <w:rFonts w:asciiTheme="majorBidi" w:hAnsiTheme="majorBidi" w:cstheme="majorBidi"/>
                <w:sz w:val="28"/>
                <w:szCs w:val="28"/>
              </w:rPr>
              <w:t xml:space="preserve"> des systèmes d’élevage. Mise à part, l’exploitant</w:t>
            </w:r>
            <w:r w:rsidR="006575B8">
              <w:rPr>
                <w:rFonts w:asciiTheme="majorBidi" w:hAnsiTheme="majorBidi" w:cstheme="majorBidi"/>
                <w:sz w:val="28"/>
                <w:szCs w:val="28"/>
              </w:rPr>
              <w:t xml:space="preserve"> </w:t>
            </w:r>
            <w:r w:rsidRPr="008F6999">
              <w:rPr>
                <w:rFonts w:asciiTheme="majorBidi" w:hAnsiTheme="majorBidi" w:cstheme="majorBidi"/>
                <w:sz w:val="28"/>
                <w:szCs w:val="28"/>
              </w:rPr>
              <w:t xml:space="preserve"> Frahtia, qui exploite deux types d’élevage (le poulet de chair et la dinde chair), les autres éleveurs pratiquent, chacun,</w:t>
            </w:r>
            <w:r>
              <w:rPr>
                <w:rFonts w:asciiTheme="majorBidi" w:hAnsiTheme="majorBidi" w:cstheme="majorBidi"/>
                <w:sz w:val="28"/>
                <w:szCs w:val="28"/>
              </w:rPr>
              <w:t xml:space="preserve"> une seule espèce de</w:t>
            </w:r>
            <w:r w:rsidRPr="008F6999">
              <w:rPr>
                <w:rFonts w:asciiTheme="majorBidi" w:hAnsiTheme="majorBidi" w:cstheme="majorBidi"/>
                <w:sz w:val="28"/>
                <w:szCs w:val="28"/>
              </w:rPr>
              <w:t xml:space="preserve"> volaille, un seul type et un seul mode d’élevage (élevage standard). En effet, nous trouvons une diversité dans l’utilisation des souches de volailles qui varient d’une exploitation à l’autre.</w:t>
            </w:r>
          </w:p>
          <w:p w:rsidR="00E779EC" w:rsidRDefault="00E779EC" w:rsidP="00C65E4A">
            <w:pPr>
              <w:spacing w:line="312" w:lineRule="auto"/>
              <w:jc w:val="both"/>
              <w:rPr>
                <w:rFonts w:asciiTheme="majorBidi" w:hAnsiTheme="majorBidi" w:cstheme="majorBidi"/>
                <w:sz w:val="28"/>
                <w:szCs w:val="28"/>
              </w:rPr>
            </w:pPr>
            <w:r>
              <w:rPr>
                <w:rFonts w:asciiTheme="majorBidi" w:hAnsiTheme="majorBidi" w:cstheme="majorBidi"/>
                <w:sz w:val="28"/>
                <w:szCs w:val="28"/>
              </w:rPr>
              <w:t xml:space="preserve">                     </w:t>
            </w: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E779EC" w:rsidRDefault="00E779EC" w:rsidP="00C65E4A">
            <w:pPr>
              <w:spacing w:line="312" w:lineRule="auto"/>
              <w:jc w:val="both"/>
              <w:rPr>
                <w:rFonts w:asciiTheme="majorBidi" w:hAnsiTheme="majorBidi" w:cstheme="majorBidi"/>
                <w:sz w:val="28"/>
                <w:szCs w:val="28"/>
              </w:rPr>
            </w:pPr>
          </w:p>
          <w:p w:rsidR="000D3F35" w:rsidRPr="008F6999" w:rsidRDefault="00E779EC" w:rsidP="00C65E4A">
            <w:pPr>
              <w:spacing w:line="312"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                       </w:t>
            </w:r>
            <w:r w:rsidR="000D3F35" w:rsidRPr="008F6999">
              <w:rPr>
                <w:rFonts w:asciiTheme="majorBidi" w:hAnsiTheme="majorBidi" w:cstheme="majorBidi"/>
                <w:b/>
                <w:bCs/>
                <w:sz w:val="28"/>
                <w:szCs w:val="28"/>
              </w:rPr>
              <w:t>Tableau</w:t>
            </w:r>
            <w:r w:rsidR="006575B8">
              <w:rPr>
                <w:rFonts w:asciiTheme="majorBidi" w:hAnsiTheme="majorBidi" w:cstheme="majorBidi"/>
                <w:b/>
                <w:bCs/>
                <w:sz w:val="28"/>
                <w:szCs w:val="28"/>
              </w:rPr>
              <w:t xml:space="preserve"> 10 </w:t>
            </w:r>
            <w:r w:rsidR="000D3F35" w:rsidRPr="008F6999">
              <w:rPr>
                <w:rFonts w:asciiTheme="majorBidi" w:hAnsiTheme="majorBidi" w:cstheme="majorBidi"/>
                <w:b/>
                <w:bCs/>
                <w:sz w:val="28"/>
                <w:szCs w:val="28"/>
              </w:rPr>
              <w:t xml:space="preserve"> </w:t>
            </w:r>
            <w:r w:rsidR="000D3F35" w:rsidRPr="008F6999">
              <w:rPr>
                <w:rFonts w:asciiTheme="majorBidi" w:hAnsiTheme="majorBidi" w:cstheme="majorBidi"/>
                <w:sz w:val="28"/>
                <w:szCs w:val="28"/>
              </w:rPr>
              <w:t> :</w:t>
            </w:r>
            <w:r w:rsidR="006575B8">
              <w:rPr>
                <w:rFonts w:asciiTheme="majorBidi" w:hAnsiTheme="majorBidi" w:cstheme="majorBidi"/>
                <w:sz w:val="28"/>
                <w:szCs w:val="28"/>
              </w:rPr>
              <w:t xml:space="preserve"> </w:t>
            </w:r>
            <w:r w:rsidR="000D3F35" w:rsidRPr="008F6999">
              <w:rPr>
                <w:rFonts w:asciiTheme="majorBidi" w:hAnsiTheme="majorBidi" w:cstheme="majorBidi"/>
                <w:sz w:val="28"/>
                <w:szCs w:val="28"/>
              </w:rPr>
              <w:t>Diversité animale (effectif)</w:t>
            </w:r>
          </w:p>
        </w:tc>
      </w:tr>
      <w:tr w:rsidR="000D3F35" w:rsidRPr="008F6999" w:rsidTr="00EA67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2"/>
          <w:wAfter w:w="300" w:type="dxa"/>
          <w:trHeight w:val="619"/>
        </w:trPr>
        <w:tc>
          <w:tcPr>
            <w:tcW w:w="9180" w:type="dxa"/>
            <w:gridSpan w:val="6"/>
            <w:vMerge/>
            <w:tcBorders>
              <w:top w:val="nil"/>
              <w:left w:val="nil"/>
              <w:bottom w:val="nil"/>
              <w:right w:val="nil"/>
            </w:tcBorders>
          </w:tcPr>
          <w:p w:rsidR="000D3F35" w:rsidRPr="008F6999" w:rsidRDefault="000D3F35" w:rsidP="00C65E4A">
            <w:pPr>
              <w:spacing w:line="312" w:lineRule="auto"/>
              <w:ind w:left="108"/>
              <w:rPr>
                <w:rFonts w:asciiTheme="majorBidi" w:hAnsiTheme="majorBidi" w:cstheme="majorBidi"/>
                <w:sz w:val="28"/>
                <w:szCs w:val="28"/>
              </w:rPr>
            </w:pPr>
          </w:p>
        </w:tc>
      </w:tr>
    </w:tbl>
    <w:tbl>
      <w:tblPr>
        <w:tblStyle w:val="Grilledutableau"/>
        <w:tblpPr w:leftFromText="141" w:rightFromText="141" w:vertAnchor="text" w:tblpX="-34" w:tblpY="1"/>
        <w:tblOverlap w:val="never"/>
        <w:tblW w:w="9322" w:type="dxa"/>
        <w:tblLayout w:type="fixed"/>
        <w:tblLook w:val="04A0"/>
      </w:tblPr>
      <w:tblGrid>
        <w:gridCol w:w="34"/>
        <w:gridCol w:w="1809"/>
        <w:gridCol w:w="1667"/>
        <w:gridCol w:w="34"/>
        <w:gridCol w:w="1306"/>
        <w:gridCol w:w="78"/>
        <w:gridCol w:w="1417"/>
        <w:gridCol w:w="64"/>
        <w:gridCol w:w="1365"/>
        <w:gridCol w:w="131"/>
        <w:gridCol w:w="1417"/>
      </w:tblGrid>
      <w:tr w:rsidR="000D3F35" w:rsidRPr="008F6999" w:rsidTr="00EA67A4">
        <w:trPr>
          <w:gridBefore w:val="1"/>
          <w:wBefore w:w="34" w:type="dxa"/>
        </w:trPr>
        <w:tc>
          <w:tcPr>
            <w:tcW w:w="1809" w:type="dxa"/>
            <w:tcBorders>
              <w:top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b/>
                <w:bCs/>
                <w:sz w:val="28"/>
                <w:szCs w:val="28"/>
              </w:rPr>
              <w:lastRenderedPageBreak/>
              <w:t>Exploitation</w:t>
            </w:r>
          </w:p>
        </w:tc>
        <w:tc>
          <w:tcPr>
            <w:tcW w:w="1667" w:type="dxa"/>
          </w:tcPr>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Coq Hodna</w:t>
            </w:r>
          </w:p>
        </w:tc>
        <w:tc>
          <w:tcPr>
            <w:tcW w:w="1418" w:type="dxa"/>
            <w:gridSpan w:val="3"/>
          </w:tcPr>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Belhouas</w:t>
            </w:r>
          </w:p>
        </w:tc>
        <w:tc>
          <w:tcPr>
            <w:tcW w:w="1417" w:type="dxa"/>
          </w:tcPr>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ORAC</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Frahtia</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b/>
                <w:bCs/>
                <w:sz w:val="28"/>
                <w:szCs w:val="28"/>
              </w:rPr>
              <w:t>Lachache</w:t>
            </w:r>
          </w:p>
        </w:tc>
      </w:tr>
      <w:tr w:rsidR="000D3F35" w:rsidRPr="008F6999" w:rsidTr="00EA67A4">
        <w:trPr>
          <w:gridBefore w:val="1"/>
          <w:wBefore w:w="34" w:type="dxa"/>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Souche exploitée</w:t>
            </w:r>
          </w:p>
        </w:tc>
        <w:tc>
          <w:tcPr>
            <w:tcW w:w="166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 xml:space="preserve">Hy-line </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Coob 500</w:t>
            </w:r>
          </w:p>
        </w:tc>
        <w:tc>
          <w:tcPr>
            <w:tcW w:w="141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ISA Brown</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Arboraces</w:t>
            </w:r>
          </w:p>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Coob</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Novogen</w:t>
            </w:r>
          </w:p>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Brown</w:t>
            </w:r>
          </w:p>
        </w:tc>
      </w:tr>
      <w:tr w:rsidR="000D3F35" w:rsidRPr="008F6999" w:rsidTr="00EA67A4">
        <w:trPr>
          <w:gridBefore w:val="1"/>
          <w:wBefore w:w="34" w:type="dxa"/>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Poulet de chair</w:t>
            </w:r>
          </w:p>
        </w:tc>
        <w:tc>
          <w:tcPr>
            <w:tcW w:w="166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13000</w:t>
            </w:r>
          </w:p>
        </w:tc>
        <w:tc>
          <w:tcPr>
            <w:tcW w:w="141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10000</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rPr>
          <w:gridBefore w:val="1"/>
          <w:wBefore w:w="34" w:type="dxa"/>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Poule pondeuse</w:t>
            </w:r>
          </w:p>
        </w:tc>
        <w:tc>
          <w:tcPr>
            <w:tcW w:w="166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sz w:val="28"/>
                <w:szCs w:val="28"/>
              </w:rPr>
              <w:t>3000</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20500</w:t>
            </w:r>
          </w:p>
        </w:tc>
      </w:tr>
      <w:tr w:rsidR="000D3F35" w:rsidRPr="008F6999" w:rsidTr="00EA67A4">
        <w:trPr>
          <w:gridBefore w:val="1"/>
          <w:wBefore w:w="34" w:type="dxa"/>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Dinde </w:t>
            </w:r>
          </w:p>
        </w:tc>
        <w:tc>
          <w:tcPr>
            <w:tcW w:w="166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2500</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rPr>
          <w:gridBefore w:val="1"/>
          <w:wBefore w:w="34" w:type="dxa"/>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Repro-chair</w:t>
            </w:r>
          </w:p>
        </w:tc>
        <w:tc>
          <w:tcPr>
            <w:tcW w:w="166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262"/>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Repro-ponte</w:t>
            </w:r>
          </w:p>
        </w:tc>
        <w:tc>
          <w:tcPr>
            <w:tcW w:w="166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4000</w:t>
            </w:r>
          </w:p>
        </w:tc>
        <w:tc>
          <w:tcPr>
            <w:tcW w:w="1418"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352"/>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Repro dinde</w:t>
            </w:r>
          </w:p>
        </w:tc>
        <w:tc>
          <w:tcPr>
            <w:tcW w:w="166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332"/>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Bovins </w:t>
            </w:r>
          </w:p>
        </w:tc>
        <w:tc>
          <w:tcPr>
            <w:tcW w:w="166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332"/>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Ovins</w:t>
            </w:r>
          </w:p>
        </w:tc>
        <w:tc>
          <w:tcPr>
            <w:tcW w:w="166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B03E6">
        <w:tblPrEx>
          <w:tblLook w:val="0000"/>
        </w:tblPrEx>
        <w:trPr>
          <w:gridBefore w:val="1"/>
          <w:wBefore w:w="34" w:type="dxa"/>
          <w:trHeight w:val="319"/>
        </w:trPr>
        <w:tc>
          <w:tcPr>
            <w:tcW w:w="1809" w:type="dxa"/>
            <w:tcBorders>
              <w:bottom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Caprin</w:t>
            </w:r>
          </w:p>
        </w:tc>
        <w:tc>
          <w:tcPr>
            <w:tcW w:w="1667" w:type="dxa"/>
            <w:tcBorders>
              <w:bottom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Borders>
              <w:bottom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B03E6">
        <w:tblPrEx>
          <w:tblLook w:val="0000"/>
        </w:tblPrEx>
        <w:trPr>
          <w:gridBefore w:val="1"/>
          <w:wBefore w:w="34" w:type="dxa"/>
          <w:trHeight w:val="281"/>
        </w:trPr>
        <w:tc>
          <w:tcPr>
            <w:tcW w:w="1809" w:type="dxa"/>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Autres </w:t>
            </w:r>
          </w:p>
        </w:tc>
        <w:tc>
          <w:tcPr>
            <w:tcW w:w="1667" w:type="dxa"/>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8" w:type="dxa"/>
            <w:gridSpan w:val="3"/>
            <w:tcBorders>
              <w:top w:val="single" w:sz="4" w:space="0" w:color="auto"/>
              <w:left w:val="single" w:sz="4" w:space="0" w:color="auto"/>
              <w:bottom w:val="single" w:sz="4" w:space="0" w:color="auto"/>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60" w:type="dxa"/>
            <w:gridSpan w:val="3"/>
            <w:tcBorders>
              <w:righ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c>
          <w:tcPr>
            <w:tcW w:w="1417" w:type="dxa"/>
            <w:tcBorders>
              <w:left w:val="single" w:sz="4" w:space="0" w:color="auto"/>
            </w:tcBorders>
          </w:tcPr>
          <w:p w:rsidR="000D3F35" w:rsidRPr="008F6999" w:rsidRDefault="000D3F35" w:rsidP="00C65E4A">
            <w:pPr>
              <w:spacing w:line="312" w:lineRule="auto"/>
              <w:ind w:left="82"/>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B03E6">
        <w:tblPrEx>
          <w:tblLook w:val="0000"/>
        </w:tblPrEx>
        <w:trPr>
          <w:trHeight w:val="681"/>
        </w:trPr>
        <w:tc>
          <w:tcPr>
            <w:tcW w:w="9322" w:type="dxa"/>
            <w:gridSpan w:val="11"/>
            <w:tcBorders>
              <w:top w:val="nil"/>
              <w:left w:val="nil"/>
              <w:bottom w:val="nil"/>
              <w:right w:val="nil"/>
            </w:tcBorders>
          </w:tcPr>
          <w:p w:rsidR="00E779EC" w:rsidRDefault="00E779EC"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Les effectifs exploités sont de taille très divergente, ils varient d’un minimum de 2500 sujets dans l’élevage de la dinde à un maximum de 20500 sujets dans l’élevage des poules pondeuses soit une moyenne de 8833 (CV 80.4%) sujets par bâtiment d’élevage.</w:t>
            </w:r>
          </w:p>
          <w:p w:rsidR="000D3F35" w:rsidRPr="008F6999" w:rsidRDefault="000D3F35" w:rsidP="00C65E4A">
            <w:pPr>
              <w:spacing w:line="312" w:lineRule="auto"/>
              <w:rPr>
                <w:rFonts w:asciiTheme="majorBidi" w:hAnsiTheme="majorBidi" w:cstheme="majorBidi"/>
                <w:sz w:val="28"/>
                <w:szCs w:val="28"/>
              </w:rPr>
            </w:pPr>
          </w:p>
          <w:p w:rsidR="00E779EC" w:rsidRDefault="00E779EC" w:rsidP="00C65E4A">
            <w:pPr>
              <w:spacing w:line="312" w:lineRule="auto"/>
              <w:rPr>
                <w:rFonts w:asciiTheme="majorBidi" w:hAnsiTheme="majorBidi" w:cstheme="majorBidi"/>
                <w:b/>
                <w:bCs/>
                <w:sz w:val="28"/>
                <w:szCs w:val="28"/>
              </w:rPr>
            </w:pPr>
          </w:p>
          <w:p w:rsidR="00E779EC" w:rsidRDefault="00E779EC" w:rsidP="00C65E4A">
            <w:pPr>
              <w:spacing w:line="312" w:lineRule="auto"/>
              <w:rPr>
                <w:rFonts w:asciiTheme="majorBidi" w:hAnsiTheme="majorBidi" w:cstheme="majorBidi"/>
                <w:b/>
                <w:bCs/>
                <w:sz w:val="28"/>
                <w:szCs w:val="28"/>
              </w:rPr>
            </w:pPr>
          </w:p>
          <w:p w:rsidR="000D3F35" w:rsidRPr="008F6999" w:rsidRDefault="00D440A6"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lastRenderedPageBreak/>
              <w:t>2</w:t>
            </w:r>
            <w:r w:rsidR="000D3F35" w:rsidRPr="008F6999">
              <w:rPr>
                <w:rFonts w:asciiTheme="majorBidi" w:hAnsiTheme="majorBidi" w:cstheme="majorBidi"/>
                <w:b/>
                <w:bCs/>
                <w:sz w:val="28"/>
                <w:szCs w:val="28"/>
              </w:rPr>
              <w:t xml:space="preserve">.2.2. Diversité végétale </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sz w:val="28"/>
                <w:szCs w:val="28"/>
              </w:rPr>
              <w:t xml:space="preserve">Il ressort de l’observation du tableau </w:t>
            </w:r>
            <w:r w:rsidR="005B58F3">
              <w:rPr>
                <w:rFonts w:asciiTheme="majorBidi" w:hAnsiTheme="majorBidi" w:cstheme="majorBidi"/>
                <w:sz w:val="28"/>
                <w:szCs w:val="28"/>
              </w:rPr>
              <w:t xml:space="preserve">11 </w:t>
            </w:r>
            <w:r w:rsidRPr="008F6999">
              <w:rPr>
                <w:rFonts w:asciiTheme="majorBidi" w:hAnsiTheme="majorBidi" w:cstheme="majorBidi"/>
                <w:sz w:val="28"/>
                <w:szCs w:val="28"/>
              </w:rPr>
              <w:t xml:space="preserve">que 3 sur 5 éleveurs enquêtés s’intéressent  à l’arboriculture plus que les autres espèces végétales (céréaliculture et culture maraichères) ce qui nous permet de conclure que la diversité végétale est absente dans ces exploitations. </w:t>
            </w:r>
          </w:p>
          <w:p w:rsidR="000D3F35" w:rsidRPr="008F6999" w:rsidRDefault="000D3F35" w:rsidP="00C65E4A">
            <w:pPr>
              <w:spacing w:line="312" w:lineRule="auto"/>
              <w:jc w:val="center"/>
              <w:rPr>
                <w:rFonts w:asciiTheme="majorBidi" w:hAnsiTheme="majorBidi" w:cstheme="majorBidi"/>
                <w:sz w:val="28"/>
                <w:szCs w:val="28"/>
              </w:rPr>
            </w:pPr>
            <w:r w:rsidRPr="0088450B">
              <w:rPr>
                <w:rFonts w:asciiTheme="majorBidi" w:hAnsiTheme="majorBidi" w:cstheme="majorBidi"/>
                <w:b/>
                <w:bCs/>
                <w:sz w:val="28"/>
                <w:szCs w:val="28"/>
              </w:rPr>
              <w:t>Tableau</w:t>
            </w:r>
            <w:r w:rsidR="00A90688">
              <w:rPr>
                <w:rFonts w:asciiTheme="majorBidi" w:hAnsiTheme="majorBidi" w:cstheme="majorBidi"/>
                <w:b/>
                <w:bCs/>
                <w:sz w:val="28"/>
                <w:szCs w:val="28"/>
              </w:rPr>
              <w:t xml:space="preserve"> </w:t>
            </w:r>
            <w:r w:rsidR="004724CB">
              <w:rPr>
                <w:rFonts w:asciiTheme="majorBidi" w:hAnsiTheme="majorBidi" w:cstheme="majorBidi"/>
                <w:b/>
                <w:bCs/>
                <w:sz w:val="28"/>
                <w:szCs w:val="28"/>
              </w:rPr>
              <w:t xml:space="preserve">11 </w:t>
            </w:r>
            <w:r w:rsidR="004724CB" w:rsidRPr="008F6999">
              <w:rPr>
                <w:rFonts w:asciiTheme="majorBidi" w:hAnsiTheme="majorBidi" w:cstheme="majorBidi"/>
                <w:sz w:val="28"/>
                <w:szCs w:val="28"/>
              </w:rPr>
              <w:t>:</w:t>
            </w:r>
            <w:r w:rsidR="00A90688">
              <w:rPr>
                <w:rFonts w:asciiTheme="majorBidi" w:hAnsiTheme="majorBidi" w:cstheme="majorBidi"/>
                <w:sz w:val="28"/>
                <w:szCs w:val="28"/>
              </w:rPr>
              <w:t xml:space="preserve"> </w:t>
            </w:r>
            <w:r w:rsidRPr="008F6999">
              <w:rPr>
                <w:rFonts w:asciiTheme="majorBidi" w:hAnsiTheme="majorBidi" w:cstheme="majorBidi"/>
                <w:sz w:val="28"/>
                <w:szCs w:val="28"/>
              </w:rPr>
              <w:t xml:space="preserve">Diversité végétale </w:t>
            </w:r>
            <w:r>
              <w:rPr>
                <w:rFonts w:asciiTheme="majorBidi" w:hAnsiTheme="majorBidi" w:cstheme="majorBidi"/>
                <w:sz w:val="28"/>
                <w:szCs w:val="28"/>
              </w:rPr>
              <w:t>des exploitations enquêtées</w:t>
            </w:r>
          </w:p>
        </w:tc>
      </w:tr>
      <w:tr w:rsidR="000D3F35" w:rsidRPr="008F6999" w:rsidTr="00EA67A4">
        <w:tblPrEx>
          <w:tblLook w:val="0000"/>
        </w:tblPrEx>
        <w:trPr>
          <w:gridBefore w:val="1"/>
          <w:wBefore w:w="34" w:type="dxa"/>
          <w:trHeight w:val="759"/>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b/>
                <w:bCs/>
                <w:sz w:val="28"/>
                <w:szCs w:val="28"/>
              </w:rPr>
              <w:lastRenderedPageBreak/>
              <w:t>Exploitation</w:t>
            </w:r>
          </w:p>
        </w:tc>
        <w:tc>
          <w:tcPr>
            <w:tcW w:w="1701" w:type="dxa"/>
            <w:gridSpan w:val="2"/>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Coq  Hodna</w:t>
            </w:r>
          </w:p>
        </w:tc>
        <w:tc>
          <w:tcPr>
            <w:tcW w:w="1306" w:type="dxa"/>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Belhouas</w:t>
            </w:r>
          </w:p>
        </w:tc>
        <w:tc>
          <w:tcPr>
            <w:tcW w:w="1559" w:type="dxa"/>
            <w:gridSpan w:val="3"/>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ORAC </w:t>
            </w:r>
          </w:p>
        </w:tc>
        <w:tc>
          <w:tcPr>
            <w:tcW w:w="1365" w:type="dxa"/>
            <w:tcBorders>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Frahtia </w:t>
            </w:r>
          </w:p>
        </w:tc>
        <w:tc>
          <w:tcPr>
            <w:tcW w:w="1548" w:type="dxa"/>
            <w:gridSpan w:val="2"/>
            <w:tcBorders>
              <w:lef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Lachache </w:t>
            </w:r>
          </w:p>
        </w:tc>
      </w:tr>
      <w:tr w:rsidR="000D3F35" w:rsidRPr="008F6999" w:rsidTr="00EA67A4">
        <w:tblPrEx>
          <w:tblLook w:val="0000"/>
        </w:tblPrEx>
        <w:trPr>
          <w:gridBefore w:val="1"/>
          <w:wBefore w:w="34" w:type="dxa"/>
          <w:trHeight w:val="60"/>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Céréaliculture</w:t>
            </w:r>
          </w:p>
        </w:tc>
        <w:tc>
          <w:tcPr>
            <w:tcW w:w="1701" w:type="dxa"/>
            <w:gridSpan w:val="2"/>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306"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59"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365" w:type="dxa"/>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48" w:type="dxa"/>
            <w:gridSpan w:val="2"/>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541"/>
        </w:trPr>
        <w:tc>
          <w:tcPr>
            <w:tcW w:w="1809" w:type="dxa"/>
          </w:tcPr>
          <w:p w:rsidR="000D3F35" w:rsidRPr="008F6999" w:rsidRDefault="000D3F35" w:rsidP="00C65E4A">
            <w:pPr>
              <w:spacing w:line="312" w:lineRule="auto"/>
              <w:rPr>
                <w:rFonts w:asciiTheme="majorBidi" w:hAnsiTheme="majorBidi" w:cstheme="majorBidi"/>
                <w:sz w:val="28"/>
                <w:szCs w:val="28"/>
              </w:rPr>
            </w:pPr>
          </w:p>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Arboriculture </w:t>
            </w:r>
          </w:p>
        </w:tc>
        <w:tc>
          <w:tcPr>
            <w:tcW w:w="1701" w:type="dxa"/>
            <w:gridSpan w:val="2"/>
          </w:tcPr>
          <w:p w:rsidR="000D3F35" w:rsidRPr="008F6999" w:rsidRDefault="000D3F35" w:rsidP="00C65E4A">
            <w:pPr>
              <w:spacing w:line="312" w:lineRule="auto"/>
              <w:jc w:val="center"/>
              <w:rPr>
                <w:rFonts w:asciiTheme="majorBidi" w:hAnsiTheme="majorBidi" w:cstheme="majorBidi"/>
                <w:sz w:val="28"/>
                <w:szCs w:val="28"/>
              </w:rPr>
            </w:pPr>
            <w:r w:rsidRPr="008F6999">
              <w:rPr>
                <w:rStyle w:val="hps"/>
                <w:rFonts w:asciiTheme="majorBidi" w:hAnsiTheme="majorBidi" w:cstheme="majorBidi"/>
                <w:sz w:val="28"/>
                <w:szCs w:val="28"/>
              </w:rPr>
              <w:t>Oliviers, abricotiers  et  grenadier</w:t>
            </w:r>
          </w:p>
        </w:tc>
        <w:tc>
          <w:tcPr>
            <w:tcW w:w="1306"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59"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Pommier et l’abricotier</w:t>
            </w:r>
          </w:p>
        </w:tc>
        <w:tc>
          <w:tcPr>
            <w:tcW w:w="1365" w:type="dxa"/>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Oliviers</w:t>
            </w:r>
          </w:p>
        </w:tc>
        <w:tc>
          <w:tcPr>
            <w:tcW w:w="1548" w:type="dxa"/>
            <w:gridSpan w:val="2"/>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r w:rsidR="000D3F35" w:rsidRPr="008F6999" w:rsidTr="00EA67A4">
        <w:tblPrEx>
          <w:tblLook w:val="0000"/>
        </w:tblPrEx>
        <w:trPr>
          <w:gridBefore w:val="1"/>
          <w:wBefore w:w="34" w:type="dxa"/>
          <w:trHeight w:val="585"/>
        </w:trPr>
        <w:tc>
          <w:tcPr>
            <w:tcW w:w="180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Cultures maraichères</w:t>
            </w:r>
          </w:p>
        </w:tc>
        <w:tc>
          <w:tcPr>
            <w:tcW w:w="1701" w:type="dxa"/>
            <w:gridSpan w:val="2"/>
          </w:tcPr>
          <w:p w:rsidR="000D3F35" w:rsidRPr="008F6999" w:rsidRDefault="000D3F35" w:rsidP="00C65E4A">
            <w:pPr>
              <w:tabs>
                <w:tab w:val="center" w:pos="813"/>
              </w:tabs>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306"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59" w:type="dxa"/>
            <w:gridSpan w:val="3"/>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365" w:type="dxa"/>
            <w:tcBorders>
              <w:righ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c>
          <w:tcPr>
            <w:tcW w:w="1548" w:type="dxa"/>
            <w:gridSpan w:val="2"/>
            <w:tcBorders>
              <w:left w:val="single" w:sz="4" w:space="0" w:color="auto"/>
            </w:tcBorders>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p>
        </w:tc>
      </w:tr>
    </w:tbl>
    <w:p w:rsidR="000D3F35" w:rsidRPr="008F6999" w:rsidRDefault="00745642" w:rsidP="00C65E4A">
      <w:pPr>
        <w:pStyle w:val="Paragraphedeliste"/>
        <w:spacing w:line="312" w:lineRule="auto"/>
        <w:jc w:val="both"/>
        <w:rPr>
          <w:rFonts w:asciiTheme="majorBidi" w:hAnsiTheme="majorBidi" w:cstheme="majorBidi"/>
          <w:sz w:val="28"/>
          <w:szCs w:val="28"/>
        </w:rPr>
      </w:pPr>
      <w:r>
        <w:rPr>
          <w:rFonts w:asciiTheme="majorBidi" w:hAnsiTheme="majorBidi" w:cstheme="majorBidi"/>
          <w:noProof/>
          <w:sz w:val="28"/>
          <w:szCs w:val="28"/>
        </w:rPr>
        <w:pict>
          <v:rect id="_x0000_s1027" style="position:absolute;left:0;text-align:left;margin-left:-13.3pt;margin-top:-6.35pt;width:477.1pt;height:8.75pt;z-index:251661312;mso-position-horizontal-relative:text;mso-position-vertical-relative:text" strokecolor="white [3212]"/>
        </w:pic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 choix de l’arboriculture (olivier, abricotier, grenadier et pommier) par rapport aux autres cultures végétales peut se justifier par la superficie de l’exploitation qui est de taille réduite et par la préoccupation des éleveurs qui n’ont pas tendance aux pratiques agricoles. Les subventions étatiques offertes à l’implantation des plans de l’olivier</w:t>
      </w:r>
      <w:r>
        <w:rPr>
          <w:rFonts w:asciiTheme="majorBidi" w:hAnsiTheme="majorBidi" w:cstheme="majorBidi"/>
          <w:sz w:val="28"/>
          <w:szCs w:val="28"/>
        </w:rPr>
        <w:t xml:space="preserve"> peuvent de sa part expliquer l’orientation des éleveurs</w:t>
      </w:r>
      <w:r w:rsidRPr="008F6999">
        <w:rPr>
          <w:rFonts w:asciiTheme="majorBidi" w:hAnsiTheme="majorBidi" w:cstheme="majorBidi"/>
          <w:sz w:val="28"/>
          <w:szCs w:val="28"/>
        </w:rPr>
        <w:t>.</w:t>
      </w:r>
    </w:p>
    <w:p w:rsidR="000D3F35"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II.3. Performances zootechniques</w:t>
      </w:r>
    </w:p>
    <w:p w:rsidR="000D3F35" w:rsidRPr="00643DD7" w:rsidRDefault="000D3F35" w:rsidP="00EB03E6">
      <w:pPr>
        <w:spacing w:line="312" w:lineRule="auto"/>
        <w:ind w:firstLine="284"/>
        <w:rPr>
          <w:rFonts w:asciiTheme="majorBidi" w:hAnsiTheme="majorBidi" w:cstheme="majorBidi"/>
          <w:sz w:val="28"/>
          <w:szCs w:val="28"/>
        </w:rPr>
      </w:pPr>
      <w:r w:rsidRPr="00643DD7">
        <w:rPr>
          <w:rFonts w:asciiTheme="majorBidi" w:hAnsiTheme="majorBidi" w:cstheme="majorBidi"/>
          <w:sz w:val="28"/>
          <w:szCs w:val="28"/>
        </w:rPr>
        <w:t>Les données concernant les performances zootechniques des exploitations enquêtées sont indiquées dans le tableau</w:t>
      </w:r>
      <w:r w:rsidR="004724CB">
        <w:rPr>
          <w:rFonts w:asciiTheme="majorBidi" w:hAnsiTheme="majorBidi" w:cstheme="majorBidi"/>
          <w:sz w:val="28"/>
          <w:szCs w:val="28"/>
        </w:rPr>
        <w:t xml:space="preserve"> 12.</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544610">
        <w:rPr>
          <w:rFonts w:asciiTheme="majorBidi" w:hAnsiTheme="majorBidi" w:cstheme="majorBidi"/>
          <w:b/>
          <w:bCs/>
          <w:sz w:val="28"/>
          <w:szCs w:val="28"/>
        </w:rPr>
        <w:t>Taux de mortalité :</w:t>
      </w:r>
      <w:r w:rsidR="00E779EC">
        <w:rPr>
          <w:rFonts w:asciiTheme="majorBidi" w:hAnsiTheme="majorBidi" w:cstheme="majorBidi"/>
          <w:b/>
          <w:bCs/>
          <w:sz w:val="28"/>
          <w:szCs w:val="28"/>
        </w:rPr>
        <w:t xml:space="preserve"> </w:t>
      </w:r>
      <w:r w:rsidRPr="008F6999">
        <w:rPr>
          <w:rFonts w:asciiTheme="majorBidi" w:hAnsiTheme="majorBidi" w:cstheme="majorBidi"/>
          <w:sz w:val="28"/>
          <w:szCs w:val="28"/>
        </w:rPr>
        <w:t xml:space="preserve">Le taux de mortalité est la différence entre le nombre de poulettes reçues et le nombre de poules réformées multiplié par 100.Le taux de mortalité varie entre 3 et 10%. En général, il est plus élevé (10%) dans les exploitations de poulet de chair qui se caractérise par une durée d’élevage courte </w:t>
      </w:r>
      <w:r w:rsidRPr="008F6999">
        <w:rPr>
          <w:rFonts w:asciiTheme="majorBidi" w:hAnsiTheme="majorBidi" w:cstheme="majorBidi"/>
          <w:sz w:val="28"/>
          <w:szCs w:val="28"/>
        </w:rPr>
        <w:lastRenderedPageBreak/>
        <w:t xml:space="preserve">et plus faible dans les exploitations de production d’œufs (3 %).  En comparaison avec les normes d’élevage des souches exploitées, la mortalité enregistrée dans les élevages de poulets dépasse largement la norme recommandée qui est au-dessous de 2 % alors que celui inscrit dans les élevages de ponte est proche de la norme.    </w:t>
      </w:r>
    </w:p>
    <w:p w:rsidR="000D3F35" w:rsidRPr="008F6999" w:rsidRDefault="00E779EC" w:rsidP="00C65E4A">
      <w:pPr>
        <w:spacing w:line="312" w:lineRule="auto"/>
        <w:jc w:val="center"/>
        <w:rPr>
          <w:rFonts w:asciiTheme="majorBidi" w:hAnsiTheme="majorBidi" w:cstheme="majorBidi"/>
          <w:sz w:val="28"/>
          <w:szCs w:val="28"/>
        </w:rPr>
      </w:pPr>
      <w:r>
        <w:rPr>
          <w:rFonts w:asciiTheme="majorBidi" w:hAnsiTheme="majorBidi" w:cstheme="majorBidi"/>
          <w:b/>
          <w:bCs/>
          <w:sz w:val="28"/>
          <w:szCs w:val="28"/>
        </w:rPr>
        <w:t>Tableau 1</w:t>
      </w:r>
      <w:r w:rsidR="00A90688">
        <w:rPr>
          <w:rFonts w:asciiTheme="majorBidi" w:hAnsiTheme="majorBidi" w:cstheme="majorBidi"/>
          <w:b/>
          <w:bCs/>
          <w:sz w:val="28"/>
          <w:szCs w:val="28"/>
        </w:rPr>
        <w:t>2</w:t>
      </w:r>
      <w:r w:rsidR="000D3F35" w:rsidRPr="008F6999">
        <w:rPr>
          <w:rFonts w:asciiTheme="majorBidi" w:hAnsiTheme="majorBidi" w:cstheme="majorBidi"/>
          <w:b/>
          <w:bCs/>
          <w:sz w:val="28"/>
          <w:szCs w:val="28"/>
        </w:rPr>
        <w:t> :</w:t>
      </w:r>
      <w:r w:rsidR="00A90688">
        <w:rPr>
          <w:rFonts w:asciiTheme="majorBidi" w:hAnsiTheme="majorBidi" w:cstheme="majorBidi"/>
          <w:b/>
          <w:bCs/>
          <w:sz w:val="28"/>
          <w:szCs w:val="28"/>
        </w:rPr>
        <w:t xml:space="preserve"> </w:t>
      </w:r>
      <w:r w:rsidR="000D3F35" w:rsidRPr="008F6999">
        <w:rPr>
          <w:rFonts w:asciiTheme="majorBidi" w:hAnsiTheme="majorBidi" w:cstheme="majorBidi"/>
          <w:sz w:val="28"/>
          <w:szCs w:val="28"/>
        </w:rPr>
        <w:t>Performances zootechniques des exploitations enquêtées</w:t>
      </w:r>
    </w:p>
    <w:tbl>
      <w:tblPr>
        <w:tblStyle w:val="Grilledutableau"/>
        <w:tblW w:w="0" w:type="auto"/>
        <w:tblLayout w:type="fixed"/>
        <w:tblLook w:val="04A0"/>
      </w:tblPr>
      <w:tblGrid>
        <w:gridCol w:w="2389"/>
        <w:gridCol w:w="1688"/>
        <w:gridCol w:w="1418"/>
        <w:gridCol w:w="1192"/>
        <w:gridCol w:w="1227"/>
        <w:gridCol w:w="1374"/>
      </w:tblGrid>
      <w:tr w:rsidR="000D3F35" w:rsidRPr="008F6999" w:rsidTr="00EA67A4">
        <w:tc>
          <w:tcPr>
            <w:tcW w:w="2389" w:type="dxa"/>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Exploitation </w:t>
            </w:r>
          </w:p>
        </w:tc>
        <w:tc>
          <w:tcPr>
            <w:tcW w:w="1688" w:type="dxa"/>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Coq-Hodna</w:t>
            </w:r>
          </w:p>
        </w:tc>
        <w:tc>
          <w:tcPr>
            <w:tcW w:w="1418" w:type="dxa"/>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Belhouas</w:t>
            </w:r>
          </w:p>
        </w:tc>
        <w:tc>
          <w:tcPr>
            <w:tcW w:w="1192" w:type="dxa"/>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ORAC</w:t>
            </w: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Frahtia </w:t>
            </w:r>
          </w:p>
        </w:tc>
        <w:tc>
          <w:tcPr>
            <w:tcW w:w="1374" w:type="dxa"/>
            <w:tcBorders>
              <w:left w:val="single" w:sz="4" w:space="0" w:color="auto"/>
            </w:tcBorders>
          </w:tcPr>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Lachache </w:t>
            </w:r>
          </w:p>
        </w:tc>
      </w:tr>
      <w:tr w:rsidR="000D3F35" w:rsidRPr="008F6999" w:rsidTr="00EA67A4">
        <w:tc>
          <w:tcPr>
            <w:tcW w:w="238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Effectifs mis en place (sujets/bande/bâtiment </w:t>
            </w:r>
          </w:p>
        </w:tc>
        <w:tc>
          <w:tcPr>
            <w:tcW w:w="168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4000</w:t>
            </w:r>
          </w:p>
        </w:tc>
        <w:tc>
          <w:tcPr>
            <w:tcW w:w="141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13000</w:t>
            </w:r>
          </w:p>
        </w:tc>
        <w:tc>
          <w:tcPr>
            <w:tcW w:w="1192"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3000</w:t>
            </w: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10000</w:t>
            </w:r>
          </w:p>
        </w:tc>
        <w:tc>
          <w:tcPr>
            <w:tcW w:w="1374"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20500</w:t>
            </w:r>
          </w:p>
        </w:tc>
      </w:tr>
      <w:tr w:rsidR="000D3F35" w:rsidRPr="008F6999" w:rsidTr="00EA67A4">
        <w:tc>
          <w:tcPr>
            <w:tcW w:w="238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Taux de mortalité </w:t>
            </w:r>
          </w:p>
        </w:tc>
        <w:tc>
          <w:tcPr>
            <w:tcW w:w="168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03</w:t>
            </w:r>
          </w:p>
        </w:tc>
        <w:tc>
          <w:tcPr>
            <w:tcW w:w="141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w:t>
            </w:r>
          </w:p>
        </w:tc>
        <w:tc>
          <w:tcPr>
            <w:tcW w:w="1192"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03</w:t>
            </w: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10</w:t>
            </w:r>
          </w:p>
        </w:tc>
        <w:tc>
          <w:tcPr>
            <w:tcW w:w="1374"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9.75</w:t>
            </w:r>
          </w:p>
        </w:tc>
      </w:tr>
      <w:tr w:rsidR="000D3F35" w:rsidRPr="0088450B" w:rsidTr="00EA67A4">
        <w:tc>
          <w:tcPr>
            <w:tcW w:w="238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Consommation d’aliment (kg/sujet/bande)</w:t>
            </w:r>
          </w:p>
        </w:tc>
        <w:tc>
          <w:tcPr>
            <w:tcW w:w="1688" w:type="dxa"/>
          </w:tcPr>
          <w:p w:rsidR="000D3F35" w:rsidRPr="00E779EC" w:rsidRDefault="00E779EC" w:rsidP="00C65E4A">
            <w:pPr>
              <w:spacing w:line="312" w:lineRule="auto"/>
              <w:jc w:val="center"/>
              <w:rPr>
                <w:rFonts w:asciiTheme="majorBidi" w:hAnsiTheme="majorBidi" w:cstheme="majorBidi"/>
                <w:sz w:val="28"/>
                <w:szCs w:val="28"/>
              </w:rPr>
            </w:pPr>
            <w:r w:rsidRPr="00E779EC">
              <w:rPr>
                <w:rFonts w:asciiTheme="majorBidi" w:hAnsiTheme="majorBidi" w:cstheme="majorBidi"/>
                <w:sz w:val="28"/>
                <w:szCs w:val="28"/>
              </w:rPr>
              <w:t>48.36</w:t>
            </w:r>
          </w:p>
        </w:tc>
        <w:tc>
          <w:tcPr>
            <w:tcW w:w="1418" w:type="dxa"/>
          </w:tcPr>
          <w:p w:rsidR="000D3F35" w:rsidRPr="008F6999" w:rsidRDefault="000D3F35" w:rsidP="00C65E4A">
            <w:pPr>
              <w:spacing w:line="312" w:lineRule="auto"/>
              <w:jc w:val="center"/>
              <w:rPr>
                <w:rFonts w:asciiTheme="majorBidi" w:hAnsiTheme="majorBidi" w:cstheme="majorBidi"/>
                <w:sz w:val="28"/>
                <w:szCs w:val="28"/>
              </w:rPr>
            </w:pPr>
            <w:r w:rsidRPr="00D250A1">
              <w:rPr>
                <w:rFonts w:asciiTheme="majorBidi" w:hAnsiTheme="majorBidi" w:cstheme="majorBidi"/>
                <w:sz w:val="28"/>
                <w:szCs w:val="28"/>
              </w:rPr>
              <w:t>5.2</w:t>
            </w:r>
          </w:p>
        </w:tc>
        <w:tc>
          <w:tcPr>
            <w:tcW w:w="1192" w:type="dxa"/>
          </w:tcPr>
          <w:p w:rsidR="000D3F35" w:rsidRPr="00E779EC" w:rsidRDefault="00E779EC" w:rsidP="00C65E4A">
            <w:pPr>
              <w:spacing w:line="312" w:lineRule="auto"/>
              <w:rPr>
                <w:rFonts w:asciiTheme="majorBidi" w:hAnsiTheme="majorBidi" w:cstheme="majorBidi"/>
                <w:sz w:val="28"/>
                <w:szCs w:val="28"/>
              </w:rPr>
            </w:pPr>
            <w:r w:rsidRPr="00E779EC">
              <w:rPr>
                <w:rFonts w:asciiTheme="majorBidi" w:hAnsiTheme="majorBidi" w:cstheme="majorBidi"/>
                <w:sz w:val="28"/>
                <w:szCs w:val="28"/>
              </w:rPr>
              <w:t>53.20</w:t>
            </w: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5</w:t>
            </w:r>
          </w:p>
        </w:tc>
        <w:tc>
          <w:tcPr>
            <w:tcW w:w="1374" w:type="dxa"/>
            <w:tcBorders>
              <w:left w:val="single" w:sz="4" w:space="0" w:color="auto"/>
            </w:tcBorders>
          </w:tcPr>
          <w:p w:rsidR="000D3F35" w:rsidRPr="0088450B" w:rsidRDefault="000D3F35" w:rsidP="00C65E4A">
            <w:pPr>
              <w:spacing w:line="312" w:lineRule="auto"/>
              <w:rPr>
                <w:rFonts w:asciiTheme="majorBidi" w:hAnsiTheme="majorBidi" w:cstheme="majorBidi"/>
                <w:sz w:val="28"/>
                <w:szCs w:val="28"/>
              </w:rPr>
            </w:pPr>
            <w:r w:rsidRPr="0088450B">
              <w:rPr>
                <w:rFonts w:asciiTheme="majorBidi" w:hAnsiTheme="majorBidi" w:cstheme="majorBidi"/>
                <w:sz w:val="28"/>
                <w:szCs w:val="28"/>
              </w:rPr>
              <w:t>31.9</w:t>
            </w:r>
            <w:r>
              <w:rPr>
                <w:rFonts w:asciiTheme="majorBidi" w:hAnsiTheme="majorBidi" w:cstheme="majorBidi"/>
                <w:sz w:val="28"/>
                <w:szCs w:val="28"/>
              </w:rPr>
              <w:t>2</w:t>
            </w:r>
          </w:p>
        </w:tc>
      </w:tr>
      <w:tr w:rsidR="000D3F35" w:rsidRPr="008F6999" w:rsidTr="00EA67A4">
        <w:tc>
          <w:tcPr>
            <w:tcW w:w="238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Poids d’abattage (kg/sujet/bande)</w:t>
            </w:r>
          </w:p>
        </w:tc>
        <w:tc>
          <w:tcPr>
            <w:tcW w:w="168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41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2.5-3</w:t>
            </w:r>
          </w:p>
        </w:tc>
        <w:tc>
          <w:tcPr>
            <w:tcW w:w="1192"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w:t>
            </w: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2.5</w:t>
            </w:r>
          </w:p>
        </w:tc>
        <w:tc>
          <w:tcPr>
            <w:tcW w:w="1374" w:type="dxa"/>
            <w:tcBorders>
              <w:lef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2389"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IC </w:t>
            </w:r>
          </w:p>
        </w:tc>
        <w:tc>
          <w:tcPr>
            <w:tcW w:w="1688" w:type="dxa"/>
          </w:tcPr>
          <w:p w:rsidR="000D3F35" w:rsidRPr="008F6999" w:rsidRDefault="000D3F35" w:rsidP="00C65E4A">
            <w:pPr>
              <w:spacing w:line="312" w:lineRule="auto"/>
              <w:jc w:val="center"/>
              <w:rPr>
                <w:rFonts w:asciiTheme="majorBidi" w:hAnsiTheme="majorBidi" w:cstheme="majorBidi"/>
                <w:sz w:val="28"/>
                <w:szCs w:val="28"/>
              </w:rPr>
            </w:pPr>
          </w:p>
        </w:tc>
        <w:tc>
          <w:tcPr>
            <w:tcW w:w="1418" w:type="dxa"/>
          </w:tcPr>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2.08-1.73</w:t>
            </w:r>
          </w:p>
        </w:tc>
        <w:tc>
          <w:tcPr>
            <w:tcW w:w="1192" w:type="dxa"/>
          </w:tcPr>
          <w:p w:rsidR="000D3F35" w:rsidRPr="008F6999" w:rsidRDefault="000D3F35" w:rsidP="00C65E4A">
            <w:pPr>
              <w:spacing w:line="312" w:lineRule="auto"/>
              <w:rPr>
                <w:rFonts w:asciiTheme="majorBidi" w:hAnsiTheme="majorBidi" w:cstheme="majorBidi"/>
                <w:sz w:val="28"/>
                <w:szCs w:val="28"/>
              </w:rPr>
            </w:pPr>
          </w:p>
        </w:tc>
        <w:tc>
          <w:tcPr>
            <w:tcW w:w="1227" w:type="dxa"/>
            <w:tcBorders>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2</w:t>
            </w:r>
          </w:p>
        </w:tc>
        <w:tc>
          <w:tcPr>
            <w:tcW w:w="1374" w:type="dxa"/>
            <w:tcBorders>
              <w:left w:val="single" w:sz="4" w:space="0" w:color="auto"/>
            </w:tcBorders>
          </w:tcPr>
          <w:p w:rsidR="000D3F35" w:rsidRPr="008F6999" w:rsidRDefault="000D3F35" w:rsidP="00C65E4A">
            <w:pPr>
              <w:spacing w:line="312" w:lineRule="auto"/>
              <w:rPr>
                <w:rFonts w:asciiTheme="majorBidi" w:hAnsiTheme="majorBidi" w:cstheme="majorBidi"/>
                <w:color w:val="FF0000"/>
                <w:sz w:val="28"/>
                <w:szCs w:val="28"/>
              </w:rPr>
            </w:pPr>
          </w:p>
        </w:tc>
      </w:tr>
      <w:tr w:rsidR="000D3F35" w:rsidRPr="008F6999" w:rsidTr="00EA67A4">
        <w:tblPrEx>
          <w:tblLook w:val="0000"/>
        </w:tblPrEx>
        <w:trPr>
          <w:trHeight w:val="532"/>
        </w:trPr>
        <w:tc>
          <w:tcPr>
            <w:tcW w:w="2389" w:type="dxa"/>
            <w:tcBorders>
              <w:right w:val="single" w:sz="4" w:space="0" w:color="auto"/>
            </w:tcBorders>
          </w:tcPr>
          <w:p w:rsidR="000D3F35" w:rsidRPr="008F6999" w:rsidRDefault="000D3F35" w:rsidP="00C65E4A">
            <w:pPr>
              <w:spacing w:line="312" w:lineRule="auto"/>
              <w:ind w:left="38"/>
              <w:rPr>
                <w:rFonts w:asciiTheme="majorBidi" w:hAnsiTheme="majorBidi" w:cstheme="majorBidi"/>
                <w:sz w:val="28"/>
                <w:szCs w:val="28"/>
              </w:rPr>
            </w:pPr>
            <w:r w:rsidRPr="008F6999">
              <w:rPr>
                <w:rFonts w:asciiTheme="majorBidi" w:hAnsiTheme="majorBidi" w:cstheme="majorBidi"/>
                <w:sz w:val="28"/>
                <w:szCs w:val="28"/>
              </w:rPr>
              <w:t xml:space="preserve">Age de réforme </w:t>
            </w:r>
          </w:p>
        </w:tc>
        <w:tc>
          <w:tcPr>
            <w:tcW w:w="1688" w:type="dxa"/>
            <w:tcBorders>
              <w:left w:val="single" w:sz="4" w:space="0" w:color="auto"/>
              <w:right w:val="single" w:sz="4" w:space="0" w:color="auto"/>
            </w:tcBorders>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38sem</w:t>
            </w:r>
            <w:r>
              <w:rPr>
                <w:rFonts w:asciiTheme="majorBidi" w:hAnsiTheme="majorBidi" w:cstheme="majorBidi"/>
                <w:sz w:val="28"/>
                <w:szCs w:val="28"/>
              </w:rPr>
              <w:t>.</w:t>
            </w:r>
          </w:p>
        </w:tc>
        <w:tc>
          <w:tcPr>
            <w:tcW w:w="1418" w:type="dxa"/>
            <w:tcBorders>
              <w:left w:val="single" w:sz="4" w:space="0" w:color="auto"/>
              <w:right w:val="single" w:sz="4" w:space="0" w:color="auto"/>
            </w:tcBorders>
          </w:tcPr>
          <w:p w:rsidR="000D3F35" w:rsidRPr="008F6999" w:rsidRDefault="000D3F35" w:rsidP="00C65E4A">
            <w:pPr>
              <w:spacing w:line="312" w:lineRule="auto"/>
              <w:ind w:left="38"/>
              <w:jc w:val="center"/>
              <w:rPr>
                <w:rFonts w:asciiTheme="majorBidi" w:hAnsiTheme="majorBidi" w:cstheme="majorBidi"/>
                <w:sz w:val="28"/>
                <w:szCs w:val="28"/>
              </w:rPr>
            </w:pPr>
            <w:r w:rsidRPr="00005581">
              <w:rPr>
                <w:rFonts w:asciiTheme="majorBidi" w:hAnsiTheme="majorBidi" w:cstheme="majorBidi"/>
                <w:sz w:val="28"/>
                <w:szCs w:val="28"/>
              </w:rPr>
              <w:t xml:space="preserve">35-40 </w:t>
            </w:r>
            <w:r w:rsidRPr="008F6999">
              <w:rPr>
                <w:rFonts w:asciiTheme="majorBidi" w:hAnsiTheme="majorBidi" w:cstheme="majorBidi"/>
                <w:sz w:val="28"/>
                <w:szCs w:val="28"/>
              </w:rPr>
              <w:t>jours</w:t>
            </w:r>
          </w:p>
        </w:tc>
        <w:tc>
          <w:tcPr>
            <w:tcW w:w="1192" w:type="dxa"/>
            <w:tcBorders>
              <w:left w:val="single" w:sz="4" w:space="0" w:color="auto"/>
              <w:right w:val="single" w:sz="4" w:space="0" w:color="auto"/>
            </w:tcBorders>
          </w:tcPr>
          <w:p w:rsidR="000D3F35" w:rsidRPr="008F6999" w:rsidRDefault="000D3F35" w:rsidP="00C65E4A">
            <w:pPr>
              <w:spacing w:line="312" w:lineRule="auto"/>
              <w:ind w:left="38"/>
              <w:rPr>
                <w:rFonts w:asciiTheme="majorBidi" w:hAnsiTheme="majorBidi" w:cstheme="majorBidi"/>
                <w:sz w:val="28"/>
                <w:szCs w:val="28"/>
              </w:rPr>
            </w:pPr>
            <w:r w:rsidRPr="008F6999">
              <w:rPr>
                <w:rFonts w:asciiTheme="majorBidi" w:hAnsiTheme="majorBidi" w:cstheme="majorBidi"/>
                <w:sz w:val="28"/>
                <w:szCs w:val="28"/>
              </w:rPr>
              <w:t>38sem</w:t>
            </w:r>
            <w:r>
              <w:rPr>
                <w:rFonts w:asciiTheme="majorBidi" w:hAnsiTheme="majorBidi" w:cstheme="majorBidi"/>
                <w:sz w:val="28"/>
                <w:szCs w:val="28"/>
              </w:rPr>
              <w:t>.</w:t>
            </w:r>
          </w:p>
        </w:tc>
        <w:tc>
          <w:tcPr>
            <w:tcW w:w="1227" w:type="dxa"/>
            <w:tcBorders>
              <w:left w:val="single" w:sz="4" w:space="0" w:color="auto"/>
              <w:right w:val="single" w:sz="4" w:space="0" w:color="auto"/>
            </w:tcBorders>
          </w:tcPr>
          <w:p w:rsidR="000D3F35" w:rsidRPr="008F6999" w:rsidRDefault="000D3F35" w:rsidP="00C65E4A">
            <w:pPr>
              <w:spacing w:line="312" w:lineRule="auto"/>
              <w:ind w:left="38"/>
              <w:rPr>
                <w:rFonts w:asciiTheme="majorBidi" w:hAnsiTheme="majorBidi" w:cstheme="majorBidi"/>
                <w:sz w:val="28"/>
                <w:szCs w:val="28"/>
              </w:rPr>
            </w:pPr>
            <w:r w:rsidRPr="008F6999">
              <w:rPr>
                <w:rFonts w:asciiTheme="majorBidi" w:hAnsiTheme="majorBidi" w:cstheme="majorBidi"/>
                <w:sz w:val="28"/>
                <w:szCs w:val="28"/>
              </w:rPr>
              <w:t xml:space="preserve">60 jours </w:t>
            </w:r>
          </w:p>
        </w:tc>
        <w:tc>
          <w:tcPr>
            <w:tcW w:w="1374" w:type="dxa"/>
            <w:tcBorders>
              <w:left w:val="single" w:sz="4" w:space="0" w:color="auto"/>
            </w:tcBorders>
          </w:tcPr>
          <w:p w:rsidR="000D3F35" w:rsidRPr="008F6999" w:rsidRDefault="000D3F35" w:rsidP="00C65E4A">
            <w:pPr>
              <w:spacing w:line="312" w:lineRule="auto"/>
              <w:ind w:left="38"/>
              <w:rPr>
                <w:rFonts w:asciiTheme="majorBidi" w:hAnsiTheme="majorBidi" w:cstheme="majorBidi"/>
                <w:sz w:val="28"/>
                <w:szCs w:val="28"/>
              </w:rPr>
            </w:pPr>
            <w:r w:rsidRPr="008F6999">
              <w:rPr>
                <w:rFonts w:asciiTheme="majorBidi" w:hAnsiTheme="majorBidi" w:cstheme="majorBidi"/>
                <w:sz w:val="28"/>
                <w:szCs w:val="28"/>
              </w:rPr>
              <w:t>38sem</w:t>
            </w:r>
            <w:r>
              <w:rPr>
                <w:rFonts w:asciiTheme="majorBidi" w:hAnsiTheme="majorBidi" w:cstheme="majorBidi"/>
                <w:sz w:val="28"/>
                <w:szCs w:val="28"/>
              </w:rPr>
              <w:t>.</w:t>
            </w:r>
          </w:p>
        </w:tc>
      </w:tr>
    </w:tbl>
    <w:p w:rsidR="000D3F35" w:rsidRDefault="000D3F35" w:rsidP="00C65E4A">
      <w:pPr>
        <w:spacing w:line="312" w:lineRule="auto"/>
        <w:rPr>
          <w:rFonts w:asciiTheme="majorBidi" w:hAnsiTheme="majorBidi" w:cstheme="majorBidi"/>
          <w:sz w:val="28"/>
          <w:szCs w:val="28"/>
        </w:rPr>
      </w:pPr>
      <w:r>
        <w:rPr>
          <w:rFonts w:asciiTheme="majorBidi" w:hAnsiTheme="majorBidi" w:cstheme="majorBidi"/>
          <w:sz w:val="28"/>
          <w:szCs w:val="28"/>
        </w:rPr>
        <w:t>Sem. : semaine</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 xml:space="preserve">La consommation d'aliment par jours </w:t>
      </w:r>
      <w:r w:rsidRPr="008F6999">
        <w:rPr>
          <w:rFonts w:asciiTheme="majorBidi" w:hAnsiTheme="majorBidi" w:cstheme="majorBidi"/>
          <w:sz w:val="28"/>
          <w:szCs w:val="28"/>
        </w:rPr>
        <w:t xml:space="preserve">: </w:t>
      </w:r>
      <w:r>
        <w:rPr>
          <w:rFonts w:asciiTheme="majorBidi" w:hAnsiTheme="majorBidi" w:cstheme="majorBidi"/>
          <w:sz w:val="28"/>
          <w:szCs w:val="28"/>
        </w:rPr>
        <w:t xml:space="preserve">elle </w:t>
      </w:r>
      <w:r w:rsidRPr="008F6999">
        <w:rPr>
          <w:rFonts w:asciiTheme="majorBidi" w:hAnsiTheme="majorBidi" w:cstheme="majorBidi"/>
          <w:sz w:val="28"/>
          <w:szCs w:val="28"/>
        </w:rPr>
        <w:t xml:space="preserve">est de l'ordre de </w:t>
      </w:r>
      <w:r>
        <w:rPr>
          <w:rFonts w:asciiTheme="majorBidi" w:hAnsiTheme="majorBidi" w:cstheme="majorBidi"/>
          <w:sz w:val="28"/>
          <w:szCs w:val="28"/>
        </w:rPr>
        <w:t>5.5 kg/sujet/bande.</w:t>
      </w:r>
      <w:r w:rsidR="00E779EC">
        <w:rPr>
          <w:rFonts w:asciiTheme="majorBidi" w:hAnsiTheme="majorBidi" w:cstheme="majorBidi"/>
          <w:sz w:val="28"/>
          <w:szCs w:val="28"/>
        </w:rPr>
        <w:t xml:space="preserve"> </w:t>
      </w:r>
      <w:r>
        <w:rPr>
          <w:rFonts w:asciiTheme="majorBidi" w:hAnsiTheme="majorBidi" w:cstheme="majorBidi"/>
          <w:sz w:val="28"/>
          <w:szCs w:val="28"/>
        </w:rPr>
        <w:t>L</w:t>
      </w:r>
      <w:r w:rsidRPr="008F6999">
        <w:rPr>
          <w:rFonts w:asciiTheme="majorBidi" w:hAnsiTheme="majorBidi" w:cstheme="majorBidi"/>
          <w:sz w:val="28"/>
          <w:szCs w:val="28"/>
        </w:rPr>
        <w:t>a consommation minimale a été enregistrée par le 4</w:t>
      </w:r>
      <w:r w:rsidRPr="00093F25">
        <w:rPr>
          <w:rFonts w:asciiTheme="majorBidi" w:hAnsiTheme="majorBidi" w:cstheme="majorBidi"/>
          <w:sz w:val="28"/>
          <w:szCs w:val="28"/>
          <w:vertAlign w:val="superscript"/>
        </w:rPr>
        <w:t>ème</w:t>
      </w:r>
      <w:r w:rsidRPr="008F6999">
        <w:rPr>
          <w:rFonts w:asciiTheme="majorBidi" w:hAnsiTheme="majorBidi" w:cstheme="majorBidi"/>
          <w:sz w:val="28"/>
          <w:szCs w:val="28"/>
        </w:rPr>
        <w:t xml:space="preserve"> éleveur</w:t>
      </w:r>
      <w:r>
        <w:rPr>
          <w:rFonts w:asciiTheme="majorBidi" w:hAnsiTheme="majorBidi" w:cstheme="majorBidi"/>
          <w:sz w:val="28"/>
          <w:szCs w:val="28"/>
        </w:rPr>
        <w:t xml:space="preserve"> (Frahtia)</w:t>
      </w:r>
      <w:r w:rsidRPr="008F6999">
        <w:rPr>
          <w:rFonts w:asciiTheme="majorBidi" w:hAnsiTheme="majorBidi" w:cstheme="majorBidi"/>
          <w:sz w:val="28"/>
          <w:szCs w:val="28"/>
        </w:rPr>
        <w:t>. La</w:t>
      </w:r>
      <w:r>
        <w:rPr>
          <w:rFonts w:asciiTheme="majorBidi" w:hAnsiTheme="majorBidi" w:cstheme="majorBidi"/>
          <w:sz w:val="28"/>
          <w:szCs w:val="28"/>
        </w:rPr>
        <w:t xml:space="preserve"> consommation d'aliment élevée peut </w:t>
      </w:r>
      <w:r w:rsidRPr="008F6999">
        <w:rPr>
          <w:rFonts w:asciiTheme="majorBidi" w:eastAsia="TimesNewRoman0" w:hAnsiTheme="majorBidi" w:cstheme="majorBidi"/>
          <w:sz w:val="28"/>
          <w:szCs w:val="28"/>
        </w:rPr>
        <w:t>s’expliqu</w:t>
      </w:r>
      <w:r>
        <w:rPr>
          <w:rFonts w:asciiTheme="majorBidi" w:eastAsia="TimesNewRoman0" w:hAnsiTheme="majorBidi" w:cstheme="majorBidi"/>
          <w:sz w:val="28"/>
          <w:szCs w:val="28"/>
        </w:rPr>
        <w:t>er</w:t>
      </w:r>
      <w:r w:rsidRPr="008F6999">
        <w:rPr>
          <w:rFonts w:asciiTheme="majorBidi" w:eastAsia="TimesNewRoman0" w:hAnsiTheme="majorBidi" w:cstheme="majorBidi"/>
          <w:sz w:val="28"/>
          <w:szCs w:val="28"/>
        </w:rPr>
        <w:t xml:space="preserve"> par la</w:t>
      </w:r>
      <w:r w:rsidR="00E779EC">
        <w:rPr>
          <w:rFonts w:asciiTheme="majorBidi" w:eastAsia="TimesNewRoman0" w:hAnsiTheme="majorBidi" w:cstheme="majorBidi"/>
          <w:sz w:val="28"/>
          <w:szCs w:val="28"/>
        </w:rPr>
        <w:t xml:space="preserve"> </w:t>
      </w:r>
      <w:r>
        <w:rPr>
          <w:rFonts w:asciiTheme="majorBidi" w:eastAsia="TimesNewRoman0" w:hAnsiTheme="majorBidi" w:cstheme="majorBidi"/>
          <w:sz w:val="28"/>
          <w:szCs w:val="28"/>
        </w:rPr>
        <w:t>mauvaise qualité d’aliment et le manque de la maitrise de rationnement des volailles ce qui se traduit par un</w:t>
      </w:r>
      <w:r w:rsidRPr="008F6999">
        <w:rPr>
          <w:rFonts w:asciiTheme="majorBidi" w:hAnsiTheme="majorBidi" w:cstheme="majorBidi"/>
          <w:sz w:val="28"/>
          <w:szCs w:val="28"/>
        </w:rPr>
        <w:t xml:space="preserve"> gaspillage</w:t>
      </w:r>
      <w:r>
        <w:rPr>
          <w:rFonts w:asciiTheme="majorBidi" w:hAnsiTheme="majorBidi" w:cstheme="majorBidi"/>
          <w:sz w:val="28"/>
          <w:szCs w:val="28"/>
        </w:rPr>
        <w:t xml:space="preserve"> d’aliment</w:t>
      </w:r>
      <w:r w:rsidRPr="008F6999">
        <w:rPr>
          <w:rFonts w:asciiTheme="majorBidi" w:hAnsiTheme="majorBidi" w:cstheme="majorBidi"/>
          <w:sz w:val="28"/>
          <w:szCs w:val="28"/>
        </w:rPr>
        <w:t>.</w:t>
      </w:r>
    </w:p>
    <w:p w:rsidR="000D3F35"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 xml:space="preserve">Poids d’abattage : </w:t>
      </w:r>
      <w:r>
        <w:rPr>
          <w:rFonts w:asciiTheme="majorBidi" w:hAnsiTheme="majorBidi" w:cstheme="majorBidi"/>
          <w:sz w:val="28"/>
          <w:szCs w:val="28"/>
        </w:rPr>
        <w:t xml:space="preserve">les </w:t>
      </w:r>
      <w:r w:rsidRPr="008F6999">
        <w:rPr>
          <w:rFonts w:asciiTheme="majorBidi" w:hAnsiTheme="majorBidi" w:cstheme="majorBidi"/>
          <w:sz w:val="28"/>
          <w:szCs w:val="28"/>
        </w:rPr>
        <w:t>de</w:t>
      </w:r>
      <w:r>
        <w:rPr>
          <w:rFonts w:asciiTheme="majorBidi" w:hAnsiTheme="majorBidi" w:cstheme="majorBidi"/>
          <w:sz w:val="28"/>
          <w:szCs w:val="28"/>
        </w:rPr>
        <w:t>ux</w:t>
      </w:r>
      <w:r w:rsidRPr="008F6999">
        <w:rPr>
          <w:rFonts w:asciiTheme="majorBidi" w:hAnsiTheme="majorBidi" w:cstheme="majorBidi"/>
          <w:sz w:val="28"/>
          <w:szCs w:val="28"/>
        </w:rPr>
        <w:t xml:space="preserve"> éleveurs </w:t>
      </w:r>
      <w:r>
        <w:rPr>
          <w:rFonts w:asciiTheme="majorBidi" w:hAnsiTheme="majorBidi" w:cstheme="majorBidi"/>
          <w:sz w:val="28"/>
          <w:szCs w:val="28"/>
        </w:rPr>
        <w:t xml:space="preserve">de poulet de chair abattent </w:t>
      </w:r>
      <w:r w:rsidRPr="008F6999">
        <w:rPr>
          <w:rFonts w:asciiTheme="majorBidi" w:hAnsiTheme="majorBidi" w:cstheme="majorBidi"/>
          <w:sz w:val="28"/>
          <w:szCs w:val="28"/>
        </w:rPr>
        <w:t>les poule</w:t>
      </w:r>
      <w:r>
        <w:rPr>
          <w:rFonts w:asciiTheme="majorBidi" w:hAnsiTheme="majorBidi" w:cstheme="majorBidi"/>
          <w:sz w:val="28"/>
          <w:szCs w:val="28"/>
        </w:rPr>
        <w:t>t</w:t>
      </w:r>
      <w:r w:rsidRPr="008F6999">
        <w:rPr>
          <w:rFonts w:asciiTheme="majorBidi" w:hAnsiTheme="majorBidi" w:cstheme="majorBidi"/>
          <w:sz w:val="28"/>
          <w:szCs w:val="28"/>
        </w:rPr>
        <w:t xml:space="preserve">s à </w:t>
      </w:r>
      <w:r>
        <w:rPr>
          <w:rFonts w:asciiTheme="majorBidi" w:hAnsiTheme="majorBidi" w:cstheme="majorBidi"/>
          <w:sz w:val="28"/>
          <w:szCs w:val="28"/>
        </w:rPr>
        <w:t xml:space="preserve">un </w:t>
      </w:r>
      <w:r w:rsidRPr="008F6999">
        <w:rPr>
          <w:rFonts w:asciiTheme="majorBidi" w:hAnsiTheme="majorBidi" w:cstheme="majorBidi"/>
          <w:sz w:val="28"/>
          <w:szCs w:val="28"/>
        </w:rPr>
        <w:t xml:space="preserve">poids </w:t>
      </w:r>
      <w:r>
        <w:rPr>
          <w:rFonts w:asciiTheme="majorBidi" w:hAnsiTheme="majorBidi" w:cstheme="majorBidi"/>
          <w:sz w:val="28"/>
          <w:szCs w:val="28"/>
        </w:rPr>
        <w:t>qui varie de 2.2 -3 kg/sujet.</w:t>
      </w:r>
    </w:p>
    <w:p w:rsidR="000D3F35" w:rsidRPr="008F6999" w:rsidRDefault="000D3F35" w:rsidP="00C65E4A">
      <w:pPr>
        <w:spacing w:line="312" w:lineRule="auto"/>
        <w:jc w:val="both"/>
        <w:rPr>
          <w:rFonts w:asciiTheme="majorBidi" w:hAnsiTheme="majorBidi" w:cstheme="majorBidi"/>
          <w:sz w:val="28"/>
          <w:szCs w:val="28"/>
        </w:rPr>
      </w:pPr>
      <w:r>
        <w:rPr>
          <w:rFonts w:asciiTheme="majorBidi" w:hAnsiTheme="majorBidi" w:cstheme="majorBidi"/>
          <w:b/>
          <w:bCs/>
          <w:sz w:val="28"/>
          <w:szCs w:val="28"/>
        </w:rPr>
        <w:lastRenderedPageBreak/>
        <w:t>Age d’abattage</w:t>
      </w:r>
      <w:r w:rsidRPr="008F6999">
        <w:rPr>
          <w:rFonts w:asciiTheme="majorBidi" w:hAnsiTheme="majorBidi" w:cstheme="majorBidi"/>
          <w:b/>
          <w:bCs/>
          <w:sz w:val="28"/>
          <w:szCs w:val="28"/>
        </w:rPr>
        <w:t> </w:t>
      </w:r>
      <w:r w:rsidRPr="008F6999">
        <w:rPr>
          <w:rFonts w:asciiTheme="majorBidi" w:hAnsiTheme="majorBidi" w:cstheme="majorBidi"/>
          <w:sz w:val="28"/>
          <w:szCs w:val="28"/>
        </w:rPr>
        <w:t xml:space="preserve">: </w:t>
      </w:r>
      <w:r>
        <w:rPr>
          <w:rFonts w:asciiTheme="majorBidi" w:hAnsiTheme="majorBidi" w:cstheme="majorBidi"/>
          <w:sz w:val="28"/>
          <w:szCs w:val="28"/>
        </w:rPr>
        <w:t>l’â</w:t>
      </w:r>
      <w:r w:rsidRPr="003A121A">
        <w:rPr>
          <w:rFonts w:asciiTheme="majorBidi" w:hAnsiTheme="majorBidi" w:cstheme="majorBidi"/>
          <w:sz w:val="28"/>
          <w:szCs w:val="28"/>
        </w:rPr>
        <w:t>ge d’abattage</w:t>
      </w:r>
      <w:r>
        <w:rPr>
          <w:rFonts w:asciiTheme="majorBidi" w:hAnsiTheme="majorBidi" w:cstheme="majorBidi"/>
          <w:sz w:val="28"/>
          <w:szCs w:val="28"/>
        </w:rPr>
        <w:t xml:space="preserve"> varie</w:t>
      </w:r>
      <w:r w:rsidRPr="008F6999">
        <w:rPr>
          <w:rFonts w:asciiTheme="majorBidi" w:hAnsiTheme="majorBidi" w:cstheme="majorBidi"/>
          <w:sz w:val="28"/>
          <w:szCs w:val="28"/>
        </w:rPr>
        <w:t xml:space="preserve"> selon le type d’élevage</w:t>
      </w:r>
      <w:r>
        <w:rPr>
          <w:rFonts w:asciiTheme="majorBidi" w:hAnsiTheme="majorBidi" w:cstheme="majorBidi"/>
          <w:sz w:val="28"/>
          <w:szCs w:val="28"/>
        </w:rPr>
        <w:t xml:space="preserve">, il est de </w:t>
      </w:r>
      <w:r w:rsidRPr="008F6999">
        <w:rPr>
          <w:rFonts w:asciiTheme="majorBidi" w:hAnsiTheme="majorBidi" w:cstheme="majorBidi"/>
          <w:sz w:val="28"/>
          <w:szCs w:val="28"/>
        </w:rPr>
        <w:t>38 semaine</w:t>
      </w:r>
      <w:r>
        <w:rPr>
          <w:rFonts w:asciiTheme="majorBidi" w:hAnsiTheme="majorBidi" w:cstheme="majorBidi"/>
          <w:sz w:val="28"/>
          <w:szCs w:val="28"/>
        </w:rPr>
        <w:t>s</w:t>
      </w:r>
      <w:r w:rsidR="00E779EC">
        <w:rPr>
          <w:rFonts w:asciiTheme="majorBidi" w:hAnsiTheme="majorBidi" w:cstheme="majorBidi"/>
          <w:sz w:val="28"/>
          <w:szCs w:val="28"/>
        </w:rPr>
        <w:t xml:space="preserve"> </w:t>
      </w:r>
      <w:r>
        <w:rPr>
          <w:rFonts w:asciiTheme="majorBidi" w:hAnsiTheme="majorBidi" w:cstheme="majorBidi"/>
          <w:sz w:val="28"/>
          <w:szCs w:val="28"/>
        </w:rPr>
        <w:t xml:space="preserve">pour </w:t>
      </w:r>
      <w:r w:rsidRPr="008F6999">
        <w:rPr>
          <w:rFonts w:asciiTheme="majorBidi" w:hAnsiTheme="majorBidi" w:cstheme="majorBidi"/>
          <w:sz w:val="28"/>
          <w:szCs w:val="28"/>
        </w:rPr>
        <w:t xml:space="preserve">et les poules </w:t>
      </w:r>
      <w:r>
        <w:rPr>
          <w:rFonts w:asciiTheme="majorBidi" w:hAnsiTheme="majorBidi" w:cstheme="majorBidi"/>
          <w:sz w:val="28"/>
          <w:szCs w:val="28"/>
        </w:rPr>
        <w:t xml:space="preserve">pondeuses et </w:t>
      </w:r>
      <w:r w:rsidRPr="008F6999">
        <w:rPr>
          <w:rFonts w:asciiTheme="majorBidi" w:hAnsiTheme="majorBidi" w:cstheme="majorBidi"/>
          <w:sz w:val="28"/>
          <w:szCs w:val="28"/>
        </w:rPr>
        <w:t>de</w:t>
      </w:r>
      <w:r>
        <w:rPr>
          <w:rFonts w:asciiTheme="majorBidi" w:hAnsiTheme="majorBidi" w:cstheme="majorBidi"/>
          <w:sz w:val="28"/>
          <w:szCs w:val="28"/>
        </w:rPr>
        <w:t xml:space="preserve"> 35 à 6</w:t>
      </w:r>
      <w:r w:rsidRPr="008F6999">
        <w:rPr>
          <w:rFonts w:asciiTheme="majorBidi" w:hAnsiTheme="majorBidi" w:cstheme="majorBidi"/>
          <w:sz w:val="28"/>
          <w:szCs w:val="28"/>
        </w:rPr>
        <w:t>0 jours</w:t>
      </w:r>
      <w:r>
        <w:rPr>
          <w:rFonts w:asciiTheme="majorBidi" w:hAnsiTheme="majorBidi" w:cstheme="majorBidi"/>
          <w:sz w:val="28"/>
          <w:szCs w:val="28"/>
        </w:rPr>
        <w:t xml:space="preserve"> pour le poulet de chair</w:t>
      </w:r>
      <w:r w:rsidRPr="008F6999">
        <w:rPr>
          <w:rFonts w:asciiTheme="majorBidi" w:hAnsiTheme="majorBidi" w:cstheme="majorBidi"/>
          <w:sz w:val="28"/>
          <w:szCs w:val="28"/>
        </w:rPr>
        <w:t>.</w:t>
      </w:r>
    </w:p>
    <w:p w:rsidR="000D3F35" w:rsidRPr="008F6999" w:rsidRDefault="000D3F35" w:rsidP="00C65E4A">
      <w:pPr>
        <w:spacing w:line="312" w:lineRule="auto"/>
        <w:jc w:val="both"/>
        <w:rPr>
          <w:rFonts w:asciiTheme="majorBidi" w:hAnsiTheme="majorBidi" w:cstheme="majorBidi"/>
          <w:sz w:val="28"/>
          <w:szCs w:val="28"/>
        </w:rPr>
      </w:pPr>
      <w:r w:rsidRPr="008F6999">
        <w:rPr>
          <w:rFonts w:asciiTheme="majorBidi" w:hAnsiTheme="majorBidi" w:cstheme="majorBidi"/>
          <w:b/>
          <w:bCs/>
          <w:sz w:val="28"/>
          <w:szCs w:val="28"/>
        </w:rPr>
        <w:t>II.4.Prélèvement des paramètres écologiques, économiques et sociaux</w:t>
      </w:r>
    </w:p>
    <w:p w:rsidR="000D3F35" w:rsidRPr="008F6999" w:rsidRDefault="005B58F3"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 xml:space="preserve">.4.1. Paramètres écologiques </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cadavres des sujets morts dans les cinq exploitations enquêtées sont incinér</w:t>
      </w:r>
      <w:r>
        <w:rPr>
          <w:rFonts w:asciiTheme="majorBidi" w:hAnsiTheme="majorBidi" w:cstheme="majorBidi"/>
          <w:sz w:val="28"/>
          <w:szCs w:val="28"/>
        </w:rPr>
        <w:t>és loin des bâtiments d’élevage et les résidus sont</w:t>
      </w:r>
      <w:r w:rsidRPr="008F6999">
        <w:rPr>
          <w:rFonts w:asciiTheme="majorBidi" w:hAnsiTheme="majorBidi" w:cstheme="majorBidi"/>
          <w:sz w:val="28"/>
          <w:szCs w:val="28"/>
        </w:rPr>
        <w:t xml:space="preserve"> enfoui</w:t>
      </w:r>
      <w:r>
        <w:rPr>
          <w:rFonts w:asciiTheme="majorBidi" w:hAnsiTheme="majorBidi" w:cstheme="majorBidi"/>
          <w:sz w:val="28"/>
          <w:szCs w:val="28"/>
        </w:rPr>
        <w:t>s</w:t>
      </w:r>
      <w:r w:rsidRPr="008F6999">
        <w:rPr>
          <w:rFonts w:asciiTheme="majorBidi" w:hAnsiTheme="majorBidi" w:cstheme="majorBidi"/>
          <w:sz w:val="28"/>
          <w:szCs w:val="28"/>
        </w:rPr>
        <w:t xml:space="preserve"> avec </w:t>
      </w:r>
      <w:r>
        <w:rPr>
          <w:rFonts w:asciiTheme="majorBidi" w:hAnsiTheme="majorBidi" w:cstheme="majorBidi"/>
          <w:sz w:val="28"/>
          <w:szCs w:val="28"/>
        </w:rPr>
        <w:t xml:space="preserve">épandage </w:t>
      </w:r>
      <w:r w:rsidRPr="008F6999">
        <w:rPr>
          <w:rFonts w:asciiTheme="majorBidi" w:hAnsiTheme="majorBidi" w:cstheme="majorBidi"/>
          <w:sz w:val="28"/>
          <w:szCs w:val="28"/>
        </w:rPr>
        <w:t>de la chaux</w:t>
      </w:r>
      <w:r>
        <w:rPr>
          <w:rFonts w:asciiTheme="majorBidi" w:hAnsiTheme="majorBidi" w:cstheme="majorBidi"/>
          <w:sz w:val="28"/>
          <w:szCs w:val="28"/>
        </w:rPr>
        <w:t xml:space="preserve"> (Tableau</w:t>
      </w:r>
      <w:r w:rsidR="004724CB">
        <w:rPr>
          <w:rFonts w:asciiTheme="majorBidi" w:hAnsiTheme="majorBidi" w:cstheme="majorBidi"/>
          <w:sz w:val="28"/>
          <w:szCs w:val="28"/>
        </w:rPr>
        <w:t xml:space="preserve"> 13)</w:t>
      </w:r>
      <w:r w:rsidRPr="008F6999">
        <w:rPr>
          <w:rFonts w:asciiTheme="majorBidi" w:hAnsiTheme="majorBidi" w:cstheme="majorBidi"/>
          <w:sz w:val="28"/>
          <w:szCs w:val="28"/>
        </w:rPr>
        <w:t>. C’est ce qui favorise la protection de l’environnement de l’élevage.</w:t>
      </w: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EB03E6" w:rsidRDefault="00EB03E6" w:rsidP="00C65E4A">
      <w:pPr>
        <w:spacing w:line="312" w:lineRule="auto"/>
        <w:jc w:val="center"/>
        <w:rPr>
          <w:rFonts w:asciiTheme="majorBidi" w:hAnsiTheme="majorBidi" w:cstheme="majorBidi"/>
          <w:b/>
          <w:bCs/>
          <w:sz w:val="28"/>
          <w:szCs w:val="28"/>
        </w:rPr>
      </w:pPr>
    </w:p>
    <w:p w:rsidR="00E779EC" w:rsidRDefault="00E779EC" w:rsidP="00C65E4A">
      <w:pPr>
        <w:spacing w:line="312" w:lineRule="auto"/>
        <w:jc w:val="center"/>
        <w:rPr>
          <w:rFonts w:asciiTheme="majorBidi" w:hAnsiTheme="majorBidi" w:cstheme="majorBidi"/>
          <w:b/>
          <w:bCs/>
          <w:sz w:val="28"/>
          <w:szCs w:val="28"/>
        </w:rPr>
      </w:pPr>
    </w:p>
    <w:p w:rsidR="000D3F35" w:rsidRPr="00224688" w:rsidRDefault="000D3F35" w:rsidP="00C65E4A">
      <w:pPr>
        <w:spacing w:line="312" w:lineRule="auto"/>
        <w:jc w:val="center"/>
        <w:rPr>
          <w:rFonts w:asciiTheme="majorBidi" w:hAnsiTheme="majorBidi" w:cstheme="majorBidi"/>
          <w:sz w:val="28"/>
          <w:szCs w:val="28"/>
        </w:rPr>
      </w:pPr>
      <w:r>
        <w:rPr>
          <w:rFonts w:asciiTheme="majorBidi" w:hAnsiTheme="majorBidi" w:cstheme="majorBidi"/>
          <w:b/>
          <w:bCs/>
          <w:sz w:val="28"/>
          <w:szCs w:val="28"/>
        </w:rPr>
        <w:lastRenderedPageBreak/>
        <w:t>Tableau</w:t>
      </w:r>
      <w:r w:rsidR="00E779EC">
        <w:rPr>
          <w:rFonts w:asciiTheme="majorBidi" w:hAnsiTheme="majorBidi" w:cstheme="majorBidi"/>
          <w:b/>
          <w:bCs/>
          <w:sz w:val="28"/>
          <w:szCs w:val="28"/>
        </w:rPr>
        <w:t xml:space="preserve"> 1</w:t>
      </w:r>
      <w:r w:rsidR="00A90688">
        <w:rPr>
          <w:rFonts w:asciiTheme="majorBidi" w:hAnsiTheme="majorBidi" w:cstheme="majorBidi"/>
          <w:b/>
          <w:bCs/>
          <w:sz w:val="28"/>
          <w:szCs w:val="28"/>
        </w:rPr>
        <w:t>3</w:t>
      </w:r>
      <w:r w:rsidR="00E779EC">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8F6999">
        <w:rPr>
          <w:rFonts w:asciiTheme="majorBidi" w:hAnsiTheme="majorBidi" w:cstheme="majorBidi"/>
          <w:b/>
          <w:bCs/>
          <w:sz w:val="28"/>
          <w:szCs w:val="28"/>
        </w:rPr>
        <w:t> : </w:t>
      </w:r>
      <w:r w:rsidRPr="00224688">
        <w:rPr>
          <w:rFonts w:asciiTheme="majorBidi" w:hAnsiTheme="majorBidi" w:cstheme="majorBidi"/>
          <w:sz w:val="28"/>
          <w:szCs w:val="28"/>
        </w:rPr>
        <w:t>Prélèvement des paramètres écologiques, économiques et sociaux</w:t>
      </w:r>
      <w:r>
        <w:rPr>
          <w:rFonts w:asciiTheme="majorBidi" w:hAnsiTheme="majorBidi" w:cstheme="majorBidi"/>
          <w:sz w:val="28"/>
          <w:szCs w:val="28"/>
        </w:rPr>
        <w:t>.</w:t>
      </w:r>
    </w:p>
    <w:tbl>
      <w:tblPr>
        <w:tblStyle w:val="Grilledutableau"/>
        <w:tblW w:w="9640" w:type="dxa"/>
        <w:tblInd w:w="-34" w:type="dxa"/>
        <w:tblLayout w:type="fixed"/>
        <w:tblLook w:val="04A0"/>
      </w:tblPr>
      <w:tblGrid>
        <w:gridCol w:w="2127"/>
        <w:gridCol w:w="1701"/>
        <w:gridCol w:w="1417"/>
        <w:gridCol w:w="1560"/>
        <w:gridCol w:w="1417"/>
        <w:gridCol w:w="1418"/>
      </w:tblGrid>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Exploitation </w:t>
            </w:r>
          </w:p>
        </w:tc>
        <w:tc>
          <w:tcPr>
            <w:tcW w:w="1701"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Coq-Hodna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Belhaouas</w:t>
            </w:r>
          </w:p>
        </w:tc>
        <w:tc>
          <w:tcPr>
            <w:tcW w:w="1560" w:type="dxa"/>
            <w:tcBorders>
              <w:bottom w:val="single" w:sz="4" w:space="0" w:color="auto"/>
            </w:tcBorders>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ORAC</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Frahtia </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Lachache </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Devenir des cadavres</w:t>
            </w:r>
          </w:p>
        </w:tc>
        <w:tc>
          <w:tcPr>
            <w:tcW w:w="1701"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Incinération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Incinération </w:t>
            </w:r>
          </w:p>
        </w:tc>
        <w:tc>
          <w:tcPr>
            <w:tcW w:w="1560" w:type="dxa"/>
            <w:tcBorders>
              <w:bottom w:val="single" w:sz="4" w:space="0" w:color="auto"/>
            </w:tcBorders>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Incinération</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Incinération </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Incinération </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Devenir des déjections </w:t>
            </w:r>
          </w:p>
        </w:tc>
        <w:tc>
          <w:tcPr>
            <w:tcW w:w="1701"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L’épandage eu bien le compostage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L’épandage eu bien le compostage</w:t>
            </w:r>
          </w:p>
        </w:tc>
        <w:tc>
          <w:tcPr>
            <w:tcW w:w="1560"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L’épandage eu bien le compostage</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L’épandage eu bien le compostage</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color w:val="FF0000"/>
                <w:sz w:val="24"/>
                <w:szCs w:val="24"/>
              </w:rPr>
            </w:pPr>
            <w:r w:rsidRPr="0088450B">
              <w:rPr>
                <w:rFonts w:asciiTheme="majorBidi" w:hAnsiTheme="majorBidi" w:cstheme="majorBidi"/>
                <w:sz w:val="24"/>
                <w:szCs w:val="24"/>
              </w:rPr>
              <w:t>Vente </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Durée de vide sanitaire (jours)</w:t>
            </w:r>
          </w:p>
        </w:tc>
        <w:tc>
          <w:tcPr>
            <w:tcW w:w="1701"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30 à 60</w:t>
            </w:r>
          </w:p>
        </w:tc>
        <w:tc>
          <w:tcPr>
            <w:tcW w:w="1417"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c>
          <w:tcPr>
            <w:tcW w:w="1560"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 à 30</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Vacances(jours)</w:t>
            </w:r>
          </w:p>
        </w:tc>
        <w:tc>
          <w:tcPr>
            <w:tcW w:w="1701"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c>
          <w:tcPr>
            <w:tcW w:w="1417"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4 à 5</w:t>
            </w:r>
          </w:p>
        </w:tc>
        <w:tc>
          <w:tcPr>
            <w:tcW w:w="1560"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21</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20</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Approvisionnement en aliment </w:t>
            </w:r>
          </w:p>
        </w:tc>
        <w:tc>
          <w:tcPr>
            <w:tcW w:w="1701"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Unités privés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Unités privés</w:t>
            </w:r>
          </w:p>
        </w:tc>
        <w:tc>
          <w:tcPr>
            <w:tcW w:w="1560"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Unités privés</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Unités privés </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Acheter des sachets de 50 kg</w:t>
            </w:r>
          </w:p>
        </w:tc>
      </w:tr>
      <w:tr w:rsidR="000D3F35" w:rsidRPr="00224688" w:rsidTr="00EA67A4">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Approvisionnement en eau </w:t>
            </w:r>
          </w:p>
        </w:tc>
        <w:tc>
          <w:tcPr>
            <w:tcW w:w="1701"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Forage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Forage </w:t>
            </w:r>
          </w:p>
        </w:tc>
        <w:tc>
          <w:tcPr>
            <w:tcW w:w="1560"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Forage </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Forage </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Acheté </w:t>
            </w:r>
          </w:p>
        </w:tc>
      </w:tr>
      <w:tr w:rsidR="000D3F35" w:rsidRPr="00224688" w:rsidTr="00EA67A4">
        <w:tc>
          <w:tcPr>
            <w:tcW w:w="2127" w:type="dxa"/>
            <w:tcBorders>
              <w:bottom w:val="single" w:sz="4" w:space="0" w:color="auto"/>
            </w:tcBorders>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Approvisionnement en poussins (DA)</w:t>
            </w:r>
          </w:p>
        </w:tc>
        <w:tc>
          <w:tcPr>
            <w:tcW w:w="1701"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700</w:t>
            </w:r>
          </w:p>
        </w:tc>
        <w:tc>
          <w:tcPr>
            <w:tcW w:w="1417"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15</w:t>
            </w:r>
          </w:p>
        </w:tc>
        <w:tc>
          <w:tcPr>
            <w:tcW w:w="1560" w:type="dxa"/>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50</w:t>
            </w:r>
          </w:p>
        </w:tc>
        <w:tc>
          <w:tcPr>
            <w:tcW w:w="1417"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50</w:t>
            </w:r>
          </w:p>
        </w:tc>
        <w:tc>
          <w:tcPr>
            <w:tcW w:w="1418" w:type="dxa"/>
            <w:tcBorders>
              <w:top w:val="single" w:sz="4" w:space="0" w:color="auto"/>
              <w:bottom w:val="single" w:sz="4" w:space="0" w:color="auto"/>
              <w:right w:val="single" w:sz="4" w:space="0" w:color="auto"/>
            </w:tcBorders>
            <w:shd w:val="clear" w:color="auto" w:fill="auto"/>
          </w:tcPr>
          <w:p w:rsidR="000D3F35" w:rsidRPr="00224688" w:rsidRDefault="000D3F35" w:rsidP="00C65E4A">
            <w:pPr>
              <w:spacing w:line="312" w:lineRule="auto"/>
              <w:jc w:val="center"/>
              <w:rPr>
                <w:rFonts w:asciiTheme="majorBidi" w:hAnsiTheme="majorBidi" w:cstheme="majorBidi"/>
                <w:sz w:val="24"/>
                <w:szCs w:val="24"/>
              </w:rPr>
            </w:pPr>
            <w:r w:rsidRPr="00224688">
              <w:rPr>
                <w:rFonts w:asciiTheme="majorBidi" w:hAnsiTheme="majorBidi" w:cstheme="majorBidi"/>
                <w:sz w:val="24"/>
                <w:szCs w:val="24"/>
              </w:rPr>
              <w:t>540</w:t>
            </w:r>
          </w:p>
        </w:tc>
      </w:tr>
      <w:tr w:rsidR="000D3F35" w:rsidRPr="00224688" w:rsidTr="00EA67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26"/>
        </w:trPr>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Subvention de l’exploitation </w:t>
            </w:r>
          </w:p>
        </w:tc>
        <w:tc>
          <w:tcPr>
            <w:tcW w:w="1701" w:type="dxa"/>
          </w:tcPr>
          <w:p w:rsidR="000D3F35" w:rsidRPr="00224688" w:rsidRDefault="000D3F35" w:rsidP="00C65E4A">
            <w:pPr>
              <w:spacing w:line="312" w:lineRule="auto"/>
              <w:ind w:left="108"/>
              <w:jc w:val="both"/>
              <w:rPr>
                <w:rFonts w:asciiTheme="majorBidi" w:hAnsiTheme="majorBidi" w:cstheme="majorBidi"/>
                <w:sz w:val="24"/>
                <w:szCs w:val="24"/>
              </w:rPr>
            </w:pPr>
            <w:r w:rsidRPr="0088450B">
              <w:rPr>
                <w:rFonts w:asciiTheme="majorBidi" w:hAnsiTheme="majorBidi" w:cstheme="majorBidi"/>
                <w:sz w:val="24"/>
                <w:szCs w:val="24"/>
              </w:rPr>
              <w:t>subvention faible </w:t>
            </w:r>
          </w:p>
        </w:tc>
        <w:tc>
          <w:tcPr>
            <w:tcW w:w="141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10.000.0000</w:t>
            </w:r>
          </w:p>
        </w:tc>
        <w:tc>
          <w:tcPr>
            <w:tcW w:w="1560"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Non </w:t>
            </w:r>
          </w:p>
        </w:tc>
        <w:tc>
          <w:tcPr>
            <w:tcW w:w="1417"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Non </w:t>
            </w:r>
          </w:p>
        </w:tc>
        <w:tc>
          <w:tcPr>
            <w:tcW w:w="1418"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 xml:space="preserve">Non </w:t>
            </w:r>
          </w:p>
        </w:tc>
      </w:tr>
      <w:tr w:rsidR="000D3F35" w:rsidRPr="00224688" w:rsidTr="00EA67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54"/>
        </w:trPr>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Type de subvention </w:t>
            </w:r>
          </w:p>
        </w:tc>
        <w:tc>
          <w:tcPr>
            <w:tcW w:w="1701" w:type="dxa"/>
          </w:tcPr>
          <w:p w:rsidR="000D3F35" w:rsidRPr="00224688" w:rsidRDefault="000D3F35" w:rsidP="00C65E4A">
            <w:pPr>
              <w:spacing w:line="312" w:lineRule="auto"/>
              <w:ind w:left="108"/>
              <w:jc w:val="both"/>
              <w:rPr>
                <w:rFonts w:asciiTheme="majorBidi" w:hAnsiTheme="majorBidi" w:cstheme="majorBidi"/>
                <w:sz w:val="24"/>
                <w:szCs w:val="24"/>
              </w:rPr>
            </w:pPr>
            <w:r w:rsidRPr="00224688">
              <w:rPr>
                <w:rFonts w:asciiTheme="majorBidi" w:hAnsiTheme="majorBidi" w:cstheme="majorBidi"/>
                <w:sz w:val="24"/>
                <w:szCs w:val="24"/>
              </w:rPr>
              <w:t xml:space="preserve">Aménagement d’un bâtiment </w:t>
            </w:r>
          </w:p>
        </w:tc>
        <w:tc>
          <w:tcPr>
            <w:tcW w:w="1417" w:type="dxa"/>
          </w:tcPr>
          <w:p w:rsidR="000D3F35" w:rsidRPr="00224688" w:rsidRDefault="000D3F35" w:rsidP="00C65E4A">
            <w:pPr>
              <w:spacing w:line="312" w:lineRule="auto"/>
              <w:ind w:left="108"/>
              <w:jc w:val="both"/>
              <w:rPr>
                <w:rFonts w:asciiTheme="majorBidi" w:hAnsiTheme="majorBidi" w:cstheme="majorBidi"/>
                <w:sz w:val="24"/>
                <w:szCs w:val="24"/>
              </w:rPr>
            </w:pPr>
            <w:r w:rsidRPr="00224688">
              <w:rPr>
                <w:rFonts w:asciiTheme="majorBidi" w:hAnsiTheme="majorBidi" w:cstheme="majorBidi"/>
                <w:sz w:val="24"/>
                <w:szCs w:val="24"/>
              </w:rPr>
              <w:t xml:space="preserve">Aménagement d’un bâtiment </w:t>
            </w:r>
          </w:p>
        </w:tc>
        <w:tc>
          <w:tcPr>
            <w:tcW w:w="1560" w:type="dxa"/>
          </w:tcPr>
          <w:p w:rsidR="000D3F35" w:rsidRPr="00224688" w:rsidRDefault="000D3F35" w:rsidP="00C65E4A">
            <w:pPr>
              <w:spacing w:line="312" w:lineRule="auto"/>
              <w:ind w:left="108"/>
              <w:jc w:val="both"/>
              <w:rPr>
                <w:rFonts w:asciiTheme="majorBidi" w:hAnsiTheme="majorBidi" w:cstheme="majorBidi"/>
                <w:sz w:val="24"/>
                <w:szCs w:val="24"/>
              </w:rPr>
            </w:pPr>
            <w:r w:rsidRPr="00224688">
              <w:rPr>
                <w:rFonts w:asciiTheme="majorBidi" w:hAnsiTheme="majorBidi" w:cstheme="majorBidi"/>
                <w:sz w:val="24"/>
                <w:szCs w:val="24"/>
              </w:rPr>
              <w:t>/</w:t>
            </w:r>
          </w:p>
        </w:tc>
        <w:tc>
          <w:tcPr>
            <w:tcW w:w="1417"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w:t>
            </w:r>
          </w:p>
        </w:tc>
        <w:tc>
          <w:tcPr>
            <w:tcW w:w="1418"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w:t>
            </w:r>
          </w:p>
        </w:tc>
      </w:tr>
      <w:tr w:rsidR="000D3F35" w:rsidRPr="00224688" w:rsidTr="00EA67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26"/>
        </w:trPr>
        <w:tc>
          <w:tcPr>
            <w:tcW w:w="2127" w:type="dxa"/>
          </w:tcPr>
          <w:p w:rsidR="000D3F35" w:rsidRPr="00224688" w:rsidRDefault="000D3F35" w:rsidP="00C65E4A">
            <w:pPr>
              <w:spacing w:line="312" w:lineRule="auto"/>
              <w:jc w:val="both"/>
              <w:rPr>
                <w:rFonts w:asciiTheme="majorBidi" w:hAnsiTheme="majorBidi" w:cstheme="majorBidi"/>
                <w:sz w:val="24"/>
                <w:szCs w:val="24"/>
              </w:rPr>
            </w:pPr>
            <w:r w:rsidRPr="00224688">
              <w:rPr>
                <w:rFonts w:asciiTheme="majorBidi" w:hAnsiTheme="majorBidi" w:cstheme="majorBidi"/>
                <w:sz w:val="24"/>
                <w:szCs w:val="24"/>
              </w:rPr>
              <w:t xml:space="preserve">Montant de subvention </w:t>
            </w:r>
          </w:p>
        </w:tc>
        <w:tc>
          <w:tcPr>
            <w:tcW w:w="1701" w:type="dxa"/>
          </w:tcPr>
          <w:p w:rsidR="000D3F35" w:rsidRPr="00224688" w:rsidRDefault="000D3F35" w:rsidP="00C65E4A">
            <w:pPr>
              <w:spacing w:line="312" w:lineRule="auto"/>
              <w:ind w:left="108"/>
              <w:jc w:val="both"/>
              <w:rPr>
                <w:rFonts w:asciiTheme="majorBidi" w:hAnsiTheme="majorBidi" w:cstheme="majorBidi"/>
                <w:sz w:val="24"/>
                <w:szCs w:val="24"/>
              </w:rPr>
            </w:pPr>
            <w:r w:rsidRPr="00224688">
              <w:rPr>
                <w:rFonts w:asciiTheme="majorBidi" w:hAnsiTheme="majorBidi" w:cstheme="majorBidi"/>
                <w:sz w:val="24"/>
                <w:szCs w:val="24"/>
              </w:rPr>
              <w:t xml:space="preserve">100000 DA </w:t>
            </w:r>
          </w:p>
        </w:tc>
        <w:tc>
          <w:tcPr>
            <w:tcW w:w="1417" w:type="dxa"/>
          </w:tcPr>
          <w:p w:rsidR="000D3F35" w:rsidRPr="00224688" w:rsidRDefault="000D3F35" w:rsidP="00C65E4A">
            <w:pPr>
              <w:spacing w:line="312" w:lineRule="auto"/>
              <w:ind w:left="108"/>
              <w:jc w:val="both"/>
              <w:rPr>
                <w:rFonts w:asciiTheme="majorBidi" w:hAnsiTheme="majorBidi" w:cstheme="majorBidi"/>
                <w:sz w:val="24"/>
                <w:szCs w:val="24"/>
              </w:rPr>
            </w:pPr>
            <w:r w:rsidRPr="00224688">
              <w:rPr>
                <w:rFonts w:asciiTheme="majorBidi" w:hAnsiTheme="majorBidi" w:cstheme="majorBidi"/>
                <w:sz w:val="24"/>
                <w:szCs w:val="24"/>
              </w:rPr>
              <w:t xml:space="preserve">10.000.0000 DA </w:t>
            </w:r>
          </w:p>
        </w:tc>
        <w:tc>
          <w:tcPr>
            <w:tcW w:w="1560" w:type="dxa"/>
          </w:tcPr>
          <w:p w:rsidR="000D3F35" w:rsidRPr="00224688" w:rsidRDefault="000D3F35" w:rsidP="00C65E4A">
            <w:pPr>
              <w:spacing w:line="312" w:lineRule="auto"/>
              <w:ind w:left="108"/>
              <w:jc w:val="both"/>
              <w:rPr>
                <w:rFonts w:asciiTheme="majorBidi" w:hAnsiTheme="majorBidi" w:cstheme="majorBidi"/>
                <w:b/>
                <w:bCs/>
                <w:sz w:val="24"/>
                <w:szCs w:val="24"/>
              </w:rPr>
            </w:pPr>
            <w:r w:rsidRPr="00224688">
              <w:rPr>
                <w:rFonts w:asciiTheme="majorBidi" w:hAnsiTheme="majorBidi" w:cstheme="majorBidi"/>
                <w:b/>
                <w:bCs/>
                <w:sz w:val="24"/>
                <w:szCs w:val="24"/>
              </w:rPr>
              <w:t>/</w:t>
            </w:r>
          </w:p>
        </w:tc>
        <w:tc>
          <w:tcPr>
            <w:tcW w:w="1417"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w:t>
            </w:r>
          </w:p>
        </w:tc>
        <w:tc>
          <w:tcPr>
            <w:tcW w:w="1418" w:type="dxa"/>
            <w:tcBorders>
              <w:top w:val="single" w:sz="4" w:space="0" w:color="auto"/>
            </w:tcBorders>
            <w:shd w:val="clear" w:color="auto" w:fill="auto"/>
          </w:tcPr>
          <w:p w:rsidR="000D3F35" w:rsidRPr="00224688" w:rsidRDefault="000D3F35" w:rsidP="00C65E4A">
            <w:pPr>
              <w:spacing w:line="312" w:lineRule="auto"/>
              <w:rPr>
                <w:rFonts w:asciiTheme="majorBidi" w:hAnsiTheme="majorBidi" w:cstheme="majorBidi"/>
                <w:sz w:val="24"/>
                <w:szCs w:val="24"/>
              </w:rPr>
            </w:pPr>
            <w:r w:rsidRPr="00224688">
              <w:rPr>
                <w:rFonts w:asciiTheme="majorBidi" w:hAnsiTheme="majorBidi" w:cstheme="majorBidi"/>
                <w:sz w:val="24"/>
                <w:szCs w:val="24"/>
              </w:rPr>
              <w:t>/</w:t>
            </w:r>
          </w:p>
        </w:tc>
      </w:tr>
    </w:tbl>
    <w:p w:rsidR="000D3F35" w:rsidRDefault="000D3F35" w:rsidP="00C65E4A">
      <w:pPr>
        <w:spacing w:line="312" w:lineRule="auto"/>
        <w:jc w:val="both"/>
        <w:rPr>
          <w:rFonts w:asciiTheme="majorBidi" w:hAnsiTheme="majorBidi" w:cstheme="majorBidi"/>
          <w:b/>
          <w:bCs/>
          <w:sz w:val="28"/>
          <w:szCs w:val="28"/>
          <w:u w:val="single"/>
        </w:rPr>
      </w:pP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A l’exception d’un éleveur (Lachache) qui vend les déjections de </w:t>
      </w:r>
      <w:r>
        <w:rPr>
          <w:rFonts w:asciiTheme="majorBidi" w:hAnsiTheme="majorBidi" w:cstheme="majorBidi"/>
          <w:sz w:val="28"/>
          <w:szCs w:val="28"/>
        </w:rPr>
        <w:t>s</w:t>
      </w:r>
      <w:r w:rsidRPr="008F6999">
        <w:rPr>
          <w:rFonts w:asciiTheme="majorBidi" w:hAnsiTheme="majorBidi" w:cstheme="majorBidi"/>
          <w:sz w:val="28"/>
          <w:szCs w:val="28"/>
        </w:rPr>
        <w:t xml:space="preserve">es volailles, les autres exploitants procèdent à l’épandage de fumier sur le sol de l’exploitation ou bien à l’utilisation de compostage. Les éleveurs qui utilisent le fumier comme engrais fertilisant sont ceux disposent d’une taille d’exploitation </w:t>
      </w:r>
      <w:r w:rsidRPr="008F6999">
        <w:rPr>
          <w:rFonts w:asciiTheme="majorBidi" w:hAnsiTheme="majorBidi" w:cstheme="majorBidi"/>
          <w:sz w:val="28"/>
          <w:szCs w:val="28"/>
        </w:rPr>
        <w:lastRenderedPageBreak/>
        <w:t>élevée et pratiquent des cultures arboricoles au niveau de leurs exploitations.</w:t>
      </w:r>
      <w:r>
        <w:rPr>
          <w:rFonts w:asciiTheme="majorBidi" w:hAnsiTheme="majorBidi" w:cstheme="majorBidi"/>
          <w:sz w:val="28"/>
          <w:szCs w:val="28"/>
        </w:rPr>
        <w:t xml:space="preserve"> Tandis que ceux qui procèdent à la </w:t>
      </w:r>
      <w:r w:rsidRPr="008F6999">
        <w:rPr>
          <w:rFonts w:asciiTheme="majorBidi" w:hAnsiTheme="majorBidi" w:cstheme="majorBidi"/>
          <w:sz w:val="28"/>
          <w:szCs w:val="28"/>
        </w:rPr>
        <w:t>vente du fumier</w:t>
      </w:r>
      <w:r>
        <w:rPr>
          <w:rFonts w:asciiTheme="majorBidi" w:hAnsiTheme="majorBidi" w:cstheme="majorBidi"/>
          <w:sz w:val="28"/>
          <w:szCs w:val="28"/>
        </w:rPr>
        <w:t xml:space="preserve">, ils possèdent des </w:t>
      </w:r>
      <w:r w:rsidRPr="008F6999">
        <w:rPr>
          <w:rFonts w:asciiTheme="majorBidi" w:hAnsiTheme="majorBidi" w:cstheme="majorBidi"/>
          <w:sz w:val="28"/>
          <w:szCs w:val="28"/>
        </w:rPr>
        <w:t>exploitation</w:t>
      </w:r>
      <w:r>
        <w:rPr>
          <w:rFonts w:asciiTheme="majorBidi" w:hAnsiTheme="majorBidi" w:cstheme="majorBidi"/>
          <w:sz w:val="28"/>
          <w:szCs w:val="28"/>
        </w:rPr>
        <w:t>s de petites tailles</w:t>
      </w:r>
      <w:r w:rsidRPr="008F6999">
        <w:rPr>
          <w:rFonts w:asciiTheme="majorBidi" w:hAnsiTheme="majorBidi" w:cstheme="majorBidi"/>
          <w:sz w:val="28"/>
          <w:szCs w:val="28"/>
        </w:rPr>
        <w:t xml:space="preserve">. </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durée du vide sanitaire dans la plupart des exploitations est autour de 15 jours, excepté dans l</w:t>
      </w:r>
      <w:r>
        <w:rPr>
          <w:rFonts w:asciiTheme="majorBidi" w:hAnsiTheme="majorBidi" w:cstheme="majorBidi"/>
          <w:sz w:val="28"/>
          <w:szCs w:val="28"/>
        </w:rPr>
        <w:t>’exploitation  de reproducteur</w:t>
      </w:r>
      <w:r w:rsidRPr="008F6999">
        <w:rPr>
          <w:rFonts w:asciiTheme="majorBidi" w:hAnsiTheme="majorBidi" w:cstheme="majorBidi"/>
          <w:sz w:val="28"/>
          <w:szCs w:val="28"/>
        </w:rPr>
        <w:t xml:space="preserve"> ponte « Coq Hodna » où il </w:t>
      </w:r>
      <w:r>
        <w:rPr>
          <w:rFonts w:asciiTheme="majorBidi" w:hAnsiTheme="majorBidi" w:cstheme="majorBidi"/>
          <w:sz w:val="28"/>
          <w:szCs w:val="28"/>
        </w:rPr>
        <w:t>est de l’ordre de</w:t>
      </w:r>
      <w:r w:rsidRPr="008F6999">
        <w:rPr>
          <w:rFonts w:asciiTheme="majorBidi" w:hAnsiTheme="majorBidi" w:cstheme="majorBidi"/>
          <w:sz w:val="28"/>
          <w:szCs w:val="28"/>
        </w:rPr>
        <w:t xml:space="preserve"> 60 jours. Dans les normes recommandées par les guides d’élevage, la durée de vide sanitaire varie de 15 à 30 jours. Donc l’allongement de la durée constitue un gaspillage du temps et une perte de la productivité engendrée par la perte des bandes qui peuvent être exploitées.     </w:t>
      </w:r>
    </w:p>
    <w:p w:rsidR="000D3F35" w:rsidRPr="008F6999" w:rsidRDefault="005B58F3"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 xml:space="preserve">.4.2. Paramètre social </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chefs des exploitations bénéficient de repos annuel au-dessous de l’habituel soit des vacances de 4 à 21 jours contre 30 jours par an.</w:t>
      </w:r>
    </w:p>
    <w:p w:rsidR="000D3F35" w:rsidRPr="008F6999" w:rsidRDefault="000D3F35" w:rsidP="00EB03E6">
      <w:pPr>
        <w:spacing w:line="312" w:lineRule="auto"/>
        <w:ind w:firstLine="284"/>
        <w:jc w:val="both"/>
        <w:textAlignment w:val="baseline"/>
        <w:rPr>
          <w:rFonts w:asciiTheme="majorBidi" w:hAnsiTheme="majorBidi" w:cstheme="majorBidi"/>
          <w:sz w:val="28"/>
          <w:szCs w:val="28"/>
        </w:rPr>
      </w:pPr>
      <w:r w:rsidRPr="008F6999">
        <w:rPr>
          <w:rFonts w:asciiTheme="majorBidi" w:eastAsia="Times New Roman" w:hAnsiTheme="majorBidi" w:cstheme="majorBidi"/>
          <w:sz w:val="28"/>
          <w:szCs w:val="28"/>
        </w:rPr>
        <w:t>Les vacances peuvent procurer beaucoup de bienfaits aux travailleurs. Ils permettent de r</w:t>
      </w:r>
      <w:r w:rsidRPr="008F6999">
        <w:rPr>
          <w:rFonts w:asciiTheme="majorBidi" w:eastAsia="Times New Roman" w:hAnsiTheme="majorBidi" w:cstheme="majorBidi"/>
          <w:sz w:val="28"/>
          <w:szCs w:val="28"/>
          <w:bdr w:val="none" w:sz="0" w:space="0" w:color="auto" w:frame="1"/>
        </w:rPr>
        <w:t>éduire le stress</w:t>
      </w:r>
      <w:r w:rsidRPr="008F6999">
        <w:rPr>
          <w:rFonts w:asciiTheme="majorBidi" w:eastAsia="Times New Roman" w:hAnsiTheme="majorBidi" w:cstheme="majorBidi"/>
          <w:sz w:val="28"/>
          <w:szCs w:val="28"/>
        </w:rPr>
        <w:t xml:space="preserve"> et le risque d'épuisement professionnel, a</w:t>
      </w:r>
      <w:r w:rsidRPr="008F6999">
        <w:rPr>
          <w:rFonts w:asciiTheme="majorBidi" w:eastAsia="Times New Roman" w:hAnsiTheme="majorBidi" w:cstheme="majorBidi"/>
          <w:sz w:val="28"/>
          <w:szCs w:val="28"/>
          <w:bdr w:val="none" w:sz="0" w:space="0" w:color="auto" w:frame="1"/>
        </w:rPr>
        <w:t xml:space="preserve">méliorer les capacités intellectuelles et la santé physique ainsi qu’ils permettent de consolider les liens familiaux. La réduction de la durée de vacance peut altérer la santé physique et psychique des travailleurs. </w:t>
      </w:r>
    </w:p>
    <w:p w:rsidR="000D3F35" w:rsidRPr="008F6999" w:rsidRDefault="005B58F3" w:rsidP="00C65E4A">
      <w:pPr>
        <w:spacing w:line="312" w:lineRule="auto"/>
        <w:jc w:val="both"/>
        <w:rPr>
          <w:rFonts w:asciiTheme="majorBidi" w:hAnsiTheme="majorBidi" w:cstheme="majorBidi"/>
          <w:b/>
          <w:bCs/>
          <w:sz w:val="28"/>
          <w:szCs w:val="28"/>
        </w:rPr>
      </w:pPr>
      <w:r>
        <w:rPr>
          <w:rFonts w:asciiTheme="majorBidi" w:hAnsiTheme="majorBidi" w:cstheme="majorBidi"/>
          <w:b/>
          <w:bCs/>
          <w:sz w:val="28"/>
          <w:szCs w:val="28"/>
        </w:rPr>
        <w:t>2</w:t>
      </w:r>
      <w:r w:rsidR="000D3F35" w:rsidRPr="008F6999">
        <w:rPr>
          <w:rFonts w:asciiTheme="majorBidi" w:hAnsiTheme="majorBidi" w:cstheme="majorBidi"/>
          <w:b/>
          <w:bCs/>
          <w:sz w:val="28"/>
          <w:szCs w:val="28"/>
        </w:rPr>
        <w:t xml:space="preserve">.4.3. Paramètres économiques </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Excepté l’unité de l’ORAC SPA qui s’approvisionne en aliment auprès de l’unité d’aliment de bétail « ONAB » de M’sila, le reste des éleveurs dispose de leurs propres unités d’aliment de bétail qui fonctionnent à raison de 50 quintaux par heure. Ces éleveurs (Coq Hodna, Belhouas, Frahtia et Lachache) fabriquent eux même leurs aliments avicoles et approvisionnent les autres éleveurs. Dans ces unités le quintal de l’aliment de bétail est livré à un prix concurrentiel soit  4400 DA.</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L’élevage avicole est une activité consommatrice de l’eau notamment pour l’abreuvement du cheptel et le nettoyage des ateliers d’élevage avicole ainsi que pour l’irrigation des cultures. L’approvisionnement en eau s’effectue par des forages implantés dans leurs exploitations avicoles. Par contre, l’aviculteur Lachache ne dispose pas d’une source d’eau donc il procède à l’achat des </w:t>
      </w:r>
      <w:r w:rsidRPr="008F6999">
        <w:rPr>
          <w:rFonts w:asciiTheme="majorBidi" w:hAnsiTheme="majorBidi" w:cstheme="majorBidi"/>
          <w:sz w:val="28"/>
          <w:szCs w:val="28"/>
        </w:rPr>
        <w:lastRenderedPageBreak/>
        <w:t>citernes de l’eau.Le problème majeur rencontré dans les différentes exploitations c’est la qualité de l’eau qui est très riche en calcaire. Un éleveur comme Belhouas dispose des appareils de filtration et purification de l’eau.</w:t>
      </w:r>
    </w:p>
    <w:p w:rsidR="000D3F35" w:rsidRPr="008F6999"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éleveurs s’approvisionnent en poussin auprès de différents couvoirs. L’unité « Coq Hodna » importe les poussin d’un jour « reproducteur ponte »des couvoirs étrangers avec des prix de 540 à 700 DA. Alors que l’ORAC achète le poussin « poulette démarrée » auprès du couvoir de l’ORAC de Ain Bessam, wilaya de Bouira. Tandis que, les autres s’approvisionnent à côté des couvoirs algériens privés avec 50 DA pour le poussin chair et 540 DA pour la poulette démarrée.</w:t>
      </w:r>
    </w:p>
    <w:p w:rsidR="000D3F35" w:rsidRDefault="000D3F35" w:rsidP="00EB03E6">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Deux exploitations sur cinq enquêtées ont subi des subventions étatiques. L’exploitation « Belhouas »a reçu une somme de 10.000.000 DA par la banque agricole par contre  l’unité « Coq-Hodna » a bénéficiée d’un solde de  1000000 DA.  Les subventions sont affectées à l’aménagement des bâtiments d’élevage.</w:t>
      </w:r>
    </w:p>
    <w:p w:rsidR="000D3F35" w:rsidRPr="00E779EC" w:rsidRDefault="005B58F3" w:rsidP="00EB03E6">
      <w:pPr>
        <w:pStyle w:val="Paragraphedeliste"/>
        <w:spacing w:line="312" w:lineRule="auto"/>
        <w:ind w:left="284"/>
        <w:rPr>
          <w:rFonts w:asciiTheme="majorBidi" w:hAnsiTheme="majorBidi" w:cstheme="majorBidi"/>
          <w:b/>
          <w:bCs/>
          <w:sz w:val="28"/>
          <w:szCs w:val="28"/>
        </w:rPr>
      </w:pPr>
      <w:r>
        <w:rPr>
          <w:rFonts w:asciiTheme="majorBidi" w:hAnsiTheme="majorBidi" w:cstheme="majorBidi"/>
          <w:b/>
          <w:bCs/>
          <w:sz w:val="28"/>
          <w:szCs w:val="28"/>
        </w:rPr>
        <w:t>2</w:t>
      </w:r>
      <w:r w:rsidR="0079668A">
        <w:rPr>
          <w:rFonts w:asciiTheme="majorBidi" w:hAnsiTheme="majorBidi" w:cstheme="majorBidi"/>
          <w:b/>
          <w:bCs/>
          <w:sz w:val="28"/>
          <w:szCs w:val="28"/>
        </w:rPr>
        <w:t xml:space="preserve">.4.4.  </w:t>
      </w:r>
      <w:r w:rsidR="000D3F35" w:rsidRPr="00E779EC">
        <w:rPr>
          <w:rFonts w:asciiTheme="majorBidi" w:hAnsiTheme="majorBidi" w:cstheme="majorBidi"/>
          <w:b/>
          <w:bCs/>
          <w:sz w:val="28"/>
          <w:szCs w:val="28"/>
        </w:rPr>
        <w:t>Indicateurs de la durabilité économique</w:t>
      </w:r>
    </w:p>
    <w:p w:rsidR="000D3F35" w:rsidRPr="008F6999" w:rsidRDefault="000D3F35" w:rsidP="00EB03E6">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L’évaluation de la durabilité économique dépasse, cependant, l’analyse de la seule performance économique à court terme. En effet, la pérennité d’un système de production dépend d’abord de sa viabilité économique, mais aussi de son indépendance économique, de sa transmissibilité et de son efficience</w:t>
      </w:r>
      <w:r>
        <w:rPr>
          <w:rFonts w:asciiTheme="majorBidi" w:hAnsiTheme="majorBidi" w:cstheme="majorBidi"/>
          <w:sz w:val="28"/>
          <w:szCs w:val="28"/>
        </w:rPr>
        <w:t xml:space="preserve"> (Laajimi et Nasr, 2009)</w:t>
      </w:r>
      <w:r w:rsidRPr="008F6999">
        <w:rPr>
          <w:rFonts w:asciiTheme="majorBidi" w:hAnsiTheme="majorBidi" w:cstheme="majorBidi"/>
          <w:sz w:val="28"/>
          <w:szCs w:val="28"/>
        </w:rPr>
        <w:t>.</w:t>
      </w:r>
    </w:p>
    <w:p w:rsidR="000D3F35" w:rsidRPr="008F6999" w:rsidRDefault="000D3F35" w:rsidP="00EB03E6">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viabilité économique caractérise l’efficacité économique</w:t>
      </w:r>
      <w:r w:rsidR="00E779EC">
        <w:rPr>
          <w:rFonts w:asciiTheme="majorBidi" w:hAnsiTheme="majorBidi" w:cstheme="majorBidi"/>
          <w:sz w:val="28"/>
          <w:szCs w:val="28"/>
        </w:rPr>
        <w:t xml:space="preserve"> </w:t>
      </w:r>
      <w:r w:rsidRPr="008F6999">
        <w:rPr>
          <w:rFonts w:asciiTheme="majorBidi" w:hAnsiTheme="majorBidi" w:cstheme="majorBidi"/>
          <w:sz w:val="28"/>
          <w:szCs w:val="28"/>
        </w:rPr>
        <w:t>des systèmes agricoles à court et moyen terme. C’est</w:t>
      </w:r>
      <w:r w:rsidR="00E779EC">
        <w:rPr>
          <w:rFonts w:asciiTheme="majorBidi" w:hAnsiTheme="majorBidi" w:cstheme="majorBidi"/>
          <w:sz w:val="28"/>
          <w:szCs w:val="28"/>
        </w:rPr>
        <w:t xml:space="preserve"> </w:t>
      </w:r>
      <w:r w:rsidRPr="008F6999">
        <w:rPr>
          <w:rFonts w:asciiTheme="majorBidi" w:hAnsiTheme="majorBidi" w:cstheme="majorBidi"/>
          <w:sz w:val="28"/>
          <w:szCs w:val="28"/>
        </w:rPr>
        <w:t>une donnée essentielle qui doit être relativisée par les indicateurs suivants. L’indépendance économique et financière garantit généralement le moyen terme, en permettant aux systèmes de production de s’adapter plus facilement aux inévitables</w:t>
      </w:r>
      <w:r w:rsidR="00E779EC">
        <w:rPr>
          <w:rFonts w:asciiTheme="majorBidi" w:hAnsiTheme="majorBidi" w:cstheme="majorBidi"/>
          <w:sz w:val="28"/>
          <w:szCs w:val="28"/>
        </w:rPr>
        <w:t xml:space="preserve"> </w:t>
      </w:r>
      <w:r w:rsidRPr="008F6999">
        <w:rPr>
          <w:rFonts w:asciiTheme="majorBidi" w:hAnsiTheme="majorBidi" w:cstheme="majorBidi"/>
          <w:sz w:val="28"/>
          <w:szCs w:val="28"/>
        </w:rPr>
        <w:t>évolutions des aides publiques, mais aussi d’avoirla capacité d’adapter l’exploitation agricole par de nouveaux</w:t>
      </w:r>
      <w:r w:rsidR="00E779EC">
        <w:rPr>
          <w:rFonts w:asciiTheme="majorBidi" w:hAnsiTheme="majorBidi" w:cstheme="majorBidi"/>
          <w:sz w:val="28"/>
          <w:szCs w:val="28"/>
        </w:rPr>
        <w:t xml:space="preserve"> </w:t>
      </w:r>
      <w:r w:rsidRPr="008F6999">
        <w:rPr>
          <w:rFonts w:asciiTheme="majorBidi" w:hAnsiTheme="majorBidi" w:cstheme="majorBidi"/>
          <w:sz w:val="28"/>
          <w:szCs w:val="28"/>
        </w:rPr>
        <w:t>investissements.</w:t>
      </w:r>
    </w:p>
    <w:p w:rsidR="004724CB" w:rsidRDefault="004724CB" w:rsidP="00C65E4A">
      <w:pPr>
        <w:spacing w:line="312" w:lineRule="auto"/>
        <w:rPr>
          <w:rFonts w:asciiTheme="majorBidi" w:hAnsiTheme="majorBidi" w:cstheme="majorBidi"/>
          <w:b/>
          <w:bCs/>
          <w:sz w:val="28"/>
          <w:szCs w:val="28"/>
        </w:rPr>
      </w:pPr>
    </w:p>
    <w:p w:rsidR="00EB03E6" w:rsidRDefault="00EB03E6" w:rsidP="00C65E4A">
      <w:pPr>
        <w:spacing w:line="312" w:lineRule="auto"/>
        <w:rPr>
          <w:rFonts w:asciiTheme="majorBidi" w:hAnsiTheme="majorBidi" w:cstheme="majorBidi"/>
          <w:b/>
          <w:bCs/>
          <w:sz w:val="28"/>
          <w:szCs w:val="28"/>
        </w:rPr>
      </w:pP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lastRenderedPageBreak/>
        <w:t xml:space="preserve">III.1. Indicateurs de la rentabilité économique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3.1.1. Indicateurs quantitatifs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3.1.1.1.  Viabilité économique</w:t>
      </w:r>
    </w:p>
    <w:p w:rsidR="000D3F35" w:rsidRPr="00525960" w:rsidRDefault="000D3F35" w:rsidP="007E6B14">
      <w:pPr>
        <w:pStyle w:val="Default"/>
        <w:spacing w:after="200" w:line="312" w:lineRule="auto"/>
        <w:ind w:firstLine="284"/>
        <w:jc w:val="both"/>
        <w:rPr>
          <w:rFonts w:asciiTheme="majorBidi" w:hAnsiTheme="majorBidi" w:cstheme="majorBidi"/>
          <w:color w:val="auto"/>
          <w:sz w:val="28"/>
          <w:szCs w:val="28"/>
        </w:rPr>
      </w:pPr>
      <w:r w:rsidRPr="008F6999">
        <w:rPr>
          <w:rFonts w:asciiTheme="majorBidi" w:hAnsiTheme="majorBidi" w:cstheme="majorBidi"/>
          <w:sz w:val="28"/>
          <w:szCs w:val="28"/>
        </w:rPr>
        <w:t>Nous pouvons définir la viabilité économique comme étant la capacité de l’entreprise à poursuivre ses activités à court et moyen terme (Eaton</w:t>
      </w:r>
      <w:r>
        <w:rPr>
          <w:rFonts w:asciiTheme="majorBidi" w:hAnsiTheme="majorBidi" w:cstheme="majorBidi"/>
          <w:sz w:val="28"/>
          <w:szCs w:val="28"/>
        </w:rPr>
        <w:t>,</w:t>
      </w:r>
      <w:r w:rsidRPr="008F6999">
        <w:rPr>
          <w:rFonts w:asciiTheme="majorBidi" w:hAnsiTheme="majorBidi" w:cstheme="majorBidi"/>
          <w:sz w:val="28"/>
          <w:szCs w:val="28"/>
        </w:rPr>
        <w:t xml:space="preserve"> 1993; Zahm et al.</w:t>
      </w:r>
      <w:r>
        <w:rPr>
          <w:rFonts w:asciiTheme="majorBidi" w:hAnsiTheme="majorBidi" w:cstheme="majorBidi"/>
          <w:sz w:val="28"/>
          <w:szCs w:val="28"/>
        </w:rPr>
        <w:t>,</w:t>
      </w:r>
      <w:r w:rsidRPr="008F6999">
        <w:rPr>
          <w:rFonts w:asciiTheme="majorBidi" w:hAnsiTheme="majorBidi" w:cstheme="majorBidi"/>
          <w:sz w:val="28"/>
          <w:szCs w:val="28"/>
        </w:rPr>
        <w:t xml:space="preserve"> 2004), soit dans une période de 1 à 10 ans</w:t>
      </w:r>
      <w:r>
        <w:rPr>
          <w:rFonts w:asciiTheme="majorBidi" w:hAnsiTheme="majorBidi" w:cstheme="majorBidi"/>
          <w:sz w:val="28"/>
          <w:szCs w:val="28"/>
        </w:rPr>
        <w:t>(</w:t>
      </w:r>
      <w:r w:rsidRPr="00525960">
        <w:rPr>
          <w:rFonts w:asciiTheme="majorBidi" w:hAnsiTheme="majorBidi" w:cstheme="majorBidi"/>
          <w:color w:val="auto"/>
          <w:sz w:val="28"/>
          <w:szCs w:val="28"/>
        </w:rPr>
        <w:t>Lepage et al., 2008).</w:t>
      </w:r>
    </w:p>
    <w:p w:rsidR="000D3F35" w:rsidRPr="008F6999" w:rsidRDefault="000D3F35" w:rsidP="007E6B14">
      <w:pPr>
        <w:pStyle w:val="Default"/>
        <w:spacing w:after="200"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w:t>
      </w:r>
      <w:r w:rsidRPr="00823B9F">
        <w:rPr>
          <w:rFonts w:asciiTheme="majorBidi" w:hAnsiTheme="majorBidi" w:cstheme="majorBidi"/>
          <w:color w:val="auto"/>
          <w:sz w:val="28"/>
          <w:szCs w:val="28"/>
        </w:rPr>
        <w:t>viabilité</w:t>
      </w:r>
      <w:r w:rsidRPr="008F6999">
        <w:rPr>
          <w:rFonts w:asciiTheme="majorBidi" w:hAnsiTheme="majorBidi" w:cstheme="majorBidi"/>
          <w:sz w:val="28"/>
          <w:szCs w:val="28"/>
        </w:rPr>
        <w:t xml:space="preserve"> implique, en termes économiques, la sécurisation des sources de revenus du système de production agricole face aux aléas du marché et aux incertitudes qui pèsent sur les aides directes (Laajimi et Nasr, 2009). </w:t>
      </w:r>
    </w:p>
    <w:p w:rsidR="000D3F35" w:rsidRPr="008F6999" w:rsidRDefault="000D3F35" w:rsidP="007E6B14">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viabilité économique est une donnée essentielle qui doit être relativisée par les indicateurs suivants. L’indépendance économique et financière garantit généralement le moyen terme, en permettant aux systèmes de production de s’adapter plus facilement aux inévitables</w:t>
      </w:r>
      <w:r w:rsidR="004724CB">
        <w:rPr>
          <w:rFonts w:asciiTheme="majorBidi" w:hAnsiTheme="majorBidi" w:cstheme="majorBidi"/>
          <w:sz w:val="28"/>
          <w:szCs w:val="28"/>
        </w:rPr>
        <w:t xml:space="preserve"> </w:t>
      </w:r>
      <w:r w:rsidRPr="008F6999">
        <w:rPr>
          <w:rFonts w:asciiTheme="majorBidi" w:hAnsiTheme="majorBidi" w:cstheme="majorBidi"/>
          <w:sz w:val="28"/>
          <w:szCs w:val="28"/>
        </w:rPr>
        <w:t xml:space="preserve">évolutions des aides publiques, mais aussi d’avoir la capacité d’adapter l’exploitation agricole par de nouveaux investissements. </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viabilité économique varie d’un minimum de 1.63 fois le Smig dans l’exploitation ORAC à un maximum de 17 fois le Smig dans l’exploitation Belhouas. La variabilité entre les exploitations est très grande soit un CV de 97.5% (Tableau</w:t>
      </w:r>
      <w:r w:rsidR="004724CB">
        <w:rPr>
          <w:rFonts w:asciiTheme="majorBidi" w:hAnsiTheme="majorBidi" w:cstheme="majorBidi"/>
          <w:sz w:val="28"/>
          <w:szCs w:val="28"/>
        </w:rPr>
        <w:t xml:space="preserve"> 14)</w:t>
      </w:r>
      <w:r w:rsidRPr="008F6999">
        <w:rPr>
          <w:rFonts w:asciiTheme="majorBidi" w:hAnsiTheme="majorBidi" w:cstheme="majorBidi"/>
          <w:sz w:val="28"/>
          <w:szCs w:val="28"/>
        </w:rPr>
        <w:t xml:space="preserve">. Selon la méthode de DIAMOND modifiée, les notes </w:t>
      </w:r>
      <w:r>
        <w:rPr>
          <w:rFonts w:asciiTheme="majorBidi" w:hAnsiTheme="majorBidi" w:cstheme="majorBidi"/>
          <w:sz w:val="28"/>
          <w:szCs w:val="28"/>
        </w:rPr>
        <w:t xml:space="preserve">attribuées à l’indicateur </w:t>
      </w:r>
      <w:r w:rsidRPr="008F6999">
        <w:rPr>
          <w:rFonts w:asciiTheme="majorBidi" w:hAnsiTheme="majorBidi" w:cstheme="majorBidi"/>
          <w:sz w:val="28"/>
          <w:szCs w:val="28"/>
        </w:rPr>
        <w:t>varient de 3 à 10 points respectivement. En moyenne, la viabilité économique pour les cinq exploitations enquêtées est de 6.7 fois le Smig et de ce fait nous pouvons affecter une note de 8 points à cet indicateur car la valeur calculée se situe dans l’intervalle de 5 à 9 points la valeur du Smig.</w:t>
      </w:r>
    </w:p>
    <w:p w:rsidR="004724CB" w:rsidRDefault="004724CB" w:rsidP="00C65E4A">
      <w:pPr>
        <w:spacing w:line="312" w:lineRule="auto"/>
        <w:rPr>
          <w:rFonts w:asciiTheme="majorBidi" w:hAnsiTheme="majorBidi" w:cstheme="majorBidi"/>
          <w:b/>
          <w:bCs/>
          <w:sz w:val="28"/>
          <w:szCs w:val="28"/>
        </w:rPr>
      </w:pPr>
    </w:p>
    <w:p w:rsidR="004724CB" w:rsidRDefault="004724CB" w:rsidP="00C65E4A">
      <w:pPr>
        <w:spacing w:line="312" w:lineRule="auto"/>
        <w:rPr>
          <w:rFonts w:asciiTheme="majorBidi" w:hAnsiTheme="majorBidi" w:cstheme="majorBidi"/>
          <w:b/>
          <w:bCs/>
          <w:sz w:val="28"/>
          <w:szCs w:val="28"/>
        </w:rPr>
      </w:pPr>
    </w:p>
    <w:p w:rsidR="004724CB" w:rsidRDefault="004724CB" w:rsidP="00C65E4A">
      <w:pPr>
        <w:spacing w:line="312" w:lineRule="auto"/>
        <w:rPr>
          <w:rFonts w:asciiTheme="majorBidi" w:hAnsiTheme="majorBidi" w:cstheme="majorBidi"/>
          <w:b/>
          <w:bCs/>
          <w:sz w:val="28"/>
          <w:szCs w:val="28"/>
        </w:rPr>
      </w:pPr>
    </w:p>
    <w:p w:rsidR="004724CB" w:rsidRDefault="004724CB" w:rsidP="00C65E4A">
      <w:pPr>
        <w:spacing w:line="312" w:lineRule="auto"/>
        <w:rPr>
          <w:rFonts w:asciiTheme="majorBidi" w:hAnsiTheme="majorBidi" w:cstheme="majorBidi"/>
          <w:b/>
          <w:bCs/>
          <w:sz w:val="28"/>
          <w:szCs w:val="28"/>
        </w:rPr>
      </w:pPr>
    </w:p>
    <w:p w:rsidR="00A23D4A" w:rsidRDefault="00A23D4A" w:rsidP="00C65E4A">
      <w:pPr>
        <w:spacing w:line="312" w:lineRule="auto"/>
        <w:rPr>
          <w:rFonts w:asciiTheme="majorBidi" w:hAnsiTheme="majorBidi" w:cstheme="majorBidi"/>
          <w:b/>
          <w:bCs/>
          <w:sz w:val="28"/>
          <w:szCs w:val="28"/>
        </w:rPr>
      </w:pPr>
    </w:p>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b/>
          <w:bCs/>
          <w:sz w:val="28"/>
          <w:szCs w:val="28"/>
        </w:rPr>
        <w:lastRenderedPageBreak/>
        <w:t>Tableau</w:t>
      </w:r>
      <w:r w:rsidR="00E779EC">
        <w:rPr>
          <w:rFonts w:asciiTheme="majorBidi" w:hAnsiTheme="majorBidi" w:cstheme="majorBidi"/>
          <w:b/>
          <w:bCs/>
          <w:sz w:val="28"/>
          <w:szCs w:val="28"/>
        </w:rPr>
        <w:t xml:space="preserve"> 1</w:t>
      </w:r>
      <w:r w:rsidR="00A90688">
        <w:rPr>
          <w:rFonts w:asciiTheme="majorBidi" w:hAnsiTheme="majorBidi" w:cstheme="majorBidi"/>
          <w:b/>
          <w:bCs/>
          <w:sz w:val="28"/>
          <w:szCs w:val="28"/>
        </w:rPr>
        <w:t>4</w:t>
      </w:r>
      <w:r w:rsidRPr="008F6999">
        <w:rPr>
          <w:rFonts w:asciiTheme="majorBidi" w:hAnsiTheme="majorBidi" w:cstheme="majorBidi"/>
          <w:b/>
          <w:bCs/>
          <w:sz w:val="28"/>
          <w:szCs w:val="28"/>
        </w:rPr>
        <w:t xml:space="preserve"> : </w:t>
      </w:r>
      <w:r w:rsidRPr="008F6999">
        <w:rPr>
          <w:rFonts w:asciiTheme="majorBidi" w:hAnsiTheme="majorBidi" w:cstheme="majorBidi"/>
          <w:sz w:val="28"/>
          <w:szCs w:val="28"/>
        </w:rPr>
        <w:t xml:space="preserve">Résultats des indicateurs </w:t>
      </w:r>
      <w:r>
        <w:rPr>
          <w:rFonts w:asciiTheme="majorBidi" w:hAnsiTheme="majorBidi" w:cstheme="majorBidi"/>
          <w:sz w:val="28"/>
          <w:szCs w:val="28"/>
        </w:rPr>
        <w:t xml:space="preserve">de la rentabilité </w:t>
      </w:r>
      <w:r w:rsidR="00E779EC">
        <w:rPr>
          <w:rFonts w:asciiTheme="majorBidi" w:hAnsiTheme="majorBidi" w:cstheme="majorBidi"/>
          <w:sz w:val="28"/>
          <w:szCs w:val="28"/>
        </w:rPr>
        <w:t xml:space="preserve"> </w:t>
      </w:r>
      <w:r>
        <w:rPr>
          <w:rFonts w:asciiTheme="majorBidi" w:hAnsiTheme="majorBidi" w:cstheme="majorBidi"/>
          <w:sz w:val="28"/>
          <w:szCs w:val="28"/>
        </w:rPr>
        <w:t>(Indicateurs quantitatifs)</w:t>
      </w:r>
    </w:p>
    <w:tbl>
      <w:tblPr>
        <w:tblStyle w:val="Grilledutableau"/>
        <w:tblW w:w="0" w:type="auto"/>
        <w:jc w:val="center"/>
        <w:tblInd w:w="-176" w:type="dxa"/>
        <w:tblLayout w:type="fixed"/>
        <w:tblLook w:val="04A0"/>
      </w:tblPr>
      <w:tblGrid>
        <w:gridCol w:w="1472"/>
        <w:gridCol w:w="1112"/>
        <w:gridCol w:w="1150"/>
        <w:gridCol w:w="923"/>
        <w:gridCol w:w="990"/>
        <w:gridCol w:w="1495"/>
        <w:gridCol w:w="851"/>
        <w:gridCol w:w="668"/>
        <w:gridCol w:w="803"/>
      </w:tblGrid>
      <w:tr w:rsidR="000D3F35" w:rsidRPr="00823B9F" w:rsidTr="00EA67A4">
        <w:trPr>
          <w:trHeight w:val="375"/>
          <w:jc w:val="center"/>
        </w:trPr>
        <w:tc>
          <w:tcPr>
            <w:tcW w:w="1472"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b/>
                <w:bCs/>
                <w:sz w:val="24"/>
                <w:szCs w:val="24"/>
              </w:rPr>
              <w:t>Critères</w:t>
            </w:r>
          </w:p>
        </w:tc>
        <w:tc>
          <w:tcPr>
            <w:tcW w:w="1112" w:type="dxa"/>
            <w:tcBorders>
              <w:left w:val="single" w:sz="4" w:space="0" w:color="auto"/>
              <w:bottom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 xml:space="preserve">Coq Hodna </w:t>
            </w:r>
          </w:p>
        </w:tc>
        <w:tc>
          <w:tcPr>
            <w:tcW w:w="1150" w:type="dxa"/>
            <w:tcBorders>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Belhaous</w:t>
            </w:r>
          </w:p>
          <w:p w:rsidR="000D3F35" w:rsidRPr="00823B9F" w:rsidRDefault="000D3F35" w:rsidP="00C65E4A">
            <w:pPr>
              <w:spacing w:line="312" w:lineRule="auto"/>
              <w:rPr>
                <w:rFonts w:asciiTheme="majorBidi" w:hAnsiTheme="majorBidi" w:cstheme="majorBidi"/>
                <w:b/>
                <w:bCs/>
                <w:sz w:val="24"/>
                <w:szCs w:val="24"/>
              </w:rPr>
            </w:pPr>
          </w:p>
        </w:tc>
        <w:tc>
          <w:tcPr>
            <w:tcW w:w="923" w:type="dxa"/>
            <w:tcBorders>
              <w:left w:val="single" w:sz="4" w:space="0" w:color="auto"/>
              <w:bottom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 xml:space="preserve">ORAC </w:t>
            </w:r>
          </w:p>
          <w:p w:rsidR="000D3F35" w:rsidRPr="00823B9F" w:rsidRDefault="000D3F35" w:rsidP="00C65E4A">
            <w:pPr>
              <w:spacing w:line="312" w:lineRule="auto"/>
              <w:rPr>
                <w:rFonts w:asciiTheme="majorBidi" w:hAnsiTheme="majorBidi" w:cstheme="majorBidi"/>
                <w:b/>
                <w:bCs/>
                <w:sz w:val="24"/>
                <w:szCs w:val="24"/>
              </w:rPr>
            </w:pPr>
          </w:p>
        </w:tc>
        <w:tc>
          <w:tcPr>
            <w:tcW w:w="990" w:type="dxa"/>
            <w:tcBorders>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 xml:space="preserve">Frahtia </w:t>
            </w:r>
          </w:p>
        </w:tc>
        <w:tc>
          <w:tcPr>
            <w:tcW w:w="1495" w:type="dxa"/>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 xml:space="preserve">Lachache </w:t>
            </w:r>
          </w:p>
        </w:tc>
        <w:tc>
          <w:tcPr>
            <w:tcW w:w="851" w:type="dxa"/>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Moy.</w:t>
            </w:r>
          </w:p>
        </w:tc>
        <w:tc>
          <w:tcPr>
            <w:tcW w:w="668" w:type="dxa"/>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 xml:space="preserve">ET  </w:t>
            </w:r>
          </w:p>
        </w:tc>
        <w:tc>
          <w:tcPr>
            <w:tcW w:w="803" w:type="dxa"/>
            <w:tcBorders>
              <w:left w:val="single" w:sz="4" w:space="0" w:color="auto"/>
              <w:bottom w:val="single" w:sz="4" w:space="0" w:color="auto"/>
            </w:tcBorders>
          </w:tcPr>
          <w:p w:rsidR="000D3F35" w:rsidRPr="00823B9F" w:rsidRDefault="000D3F35" w:rsidP="00C65E4A">
            <w:pPr>
              <w:spacing w:line="312" w:lineRule="auto"/>
              <w:rPr>
                <w:rFonts w:asciiTheme="majorBidi" w:hAnsiTheme="majorBidi" w:cstheme="majorBidi"/>
                <w:b/>
                <w:bCs/>
                <w:sz w:val="24"/>
                <w:szCs w:val="24"/>
              </w:rPr>
            </w:pPr>
            <w:r w:rsidRPr="00823B9F">
              <w:rPr>
                <w:rFonts w:asciiTheme="majorBidi" w:hAnsiTheme="majorBidi" w:cstheme="majorBidi"/>
                <w:b/>
                <w:bCs/>
                <w:sz w:val="24"/>
                <w:szCs w:val="24"/>
              </w:rPr>
              <w:t>CV%</w:t>
            </w:r>
          </w:p>
        </w:tc>
      </w:tr>
      <w:tr w:rsidR="000D3F35" w:rsidRPr="00823B9F" w:rsidTr="00EA67A4">
        <w:trPr>
          <w:trHeight w:val="427"/>
          <w:jc w:val="center"/>
        </w:trPr>
        <w:tc>
          <w:tcPr>
            <w:tcW w:w="1472" w:type="dxa"/>
            <w:vMerge w:val="restart"/>
            <w:tcBorders>
              <w:top w:val="single" w:sz="4" w:space="0" w:color="auto"/>
              <w:left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r w:rsidRPr="00823B9F">
              <w:rPr>
                <w:rFonts w:asciiTheme="majorBidi" w:hAnsiTheme="majorBidi" w:cstheme="majorBidi"/>
                <w:color w:val="000000"/>
                <w:sz w:val="24"/>
                <w:szCs w:val="24"/>
              </w:rPr>
              <w:t>Viabilité économique </w:t>
            </w: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3.15 Smig</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 xml:space="preserve">17 Smig </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1.63 Smig</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2.3 Smig</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9.5 Smig</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sz w:val="24"/>
                <w:szCs w:val="24"/>
              </w:rPr>
              <w:t>6.7</w:t>
            </w:r>
          </w:p>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sz w:val="24"/>
                <w:szCs w:val="24"/>
              </w:rPr>
              <w:t xml:space="preserve">Smig </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6.5</w:t>
            </w:r>
          </w:p>
          <w:p w:rsidR="000D3F35" w:rsidRPr="00823B9F" w:rsidRDefault="000D3F35" w:rsidP="00C65E4A">
            <w:pPr>
              <w:spacing w:line="312" w:lineRule="auto"/>
              <w:jc w:val="center"/>
              <w:rPr>
                <w:rFonts w:asciiTheme="majorBidi" w:hAnsiTheme="majorBidi" w:cstheme="majorBidi"/>
                <w:sz w:val="24"/>
                <w:szCs w:val="24"/>
              </w:rPr>
            </w:pPr>
          </w:p>
        </w:tc>
        <w:tc>
          <w:tcPr>
            <w:tcW w:w="80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97.5</w:t>
            </w:r>
          </w:p>
          <w:p w:rsidR="000D3F35" w:rsidRPr="00823B9F" w:rsidRDefault="000D3F35" w:rsidP="00C65E4A">
            <w:pPr>
              <w:spacing w:line="312" w:lineRule="auto"/>
              <w:jc w:val="center"/>
              <w:rPr>
                <w:rFonts w:asciiTheme="majorBidi" w:hAnsiTheme="majorBidi" w:cstheme="majorBidi"/>
                <w:sz w:val="24"/>
                <w:szCs w:val="24"/>
              </w:rPr>
            </w:pPr>
          </w:p>
        </w:tc>
      </w:tr>
      <w:tr w:rsidR="000D3F35" w:rsidRPr="00823B9F" w:rsidTr="00EA67A4">
        <w:trPr>
          <w:trHeight w:val="427"/>
          <w:jc w:val="center"/>
        </w:trPr>
        <w:tc>
          <w:tcPr>
            <w:tcW w:w="1472" w:type="dxa"/>
            <w:vMerge/>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6pts</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10pts</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3pts</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6pts</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 xml:space="preserve">10pts </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sz w:val="24"/>
                <w:szCs w:val="24"/>
              </w:rPr>
              <w:t xml:space="preserve">8pts </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c>
          <w:tcPr>
            <w:tcW w:w="80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r>
      <w:tr w:rsidR="000D3F35" w:rsidRPr="00823B9F" w:rsidTr="00EA67A4">
        <w:trPr>
          <w:trHeight w:val="414"/>
          <w:jc w:val="center"/>
        </w:trPr>
        <w:tc>
          <w:tcPr>
            <w:tcW w:w="1472" w:type="dxa"/>
            <w:vMerge w:val="restart"/>
            <w:tcBorders>
              <w:top w:val="single" w:sz="4" w:space="0" w:color="auto"/>
              <w:left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r w:rsidRPr="00823B9F">
              <w:rPr>
                <w:rFonts w:asciiTheme="majorBidi" w:hAnsiTheme="majorBidi" w:cstheme="majorBidi"/>
                <w:color w:val="000000"/>
                <w:sz w:val="24"/>
                <w:szCs w:val="24"/>
              </w:rPr>
              <w:t xml:space="preserve"> Efficience du processus</w:t>
            </w:r>
          </w:p>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color w:val="000000"/>
                <w:sz w:val="24"/>
                <w:szCs w:val="24"/>
              </w:rPr>
              <w:t>Productif</w:t>
            </w: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98%</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25.41%</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35%</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48%</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66%</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sz w:val="24"/>
                <w:szCs w:val="24"/>
              </w:rPr>
            </w:pPr>
            <w:r>
              <w:rPr>
                <w:rFonts w:asciiTheme="majorBidi" w:hAnsiTheme="majorBidi" w:cstheme="majorBidi"/>
                <w:sz w:val="24"/>
                <w:szCs w:val="24"/>
              </w:rPr>
              <w:t xml:space="preserve">54.5% </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28.7</w:t>
            </w:r>
          </w:p>
        </w:tc>
        <w:tc>
          <w:tcPr>
            <w:tcW w:w="80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52.7</w:t>
            </w:r>
          </w:p>
        </w:tc>
      </w:tr>
      <w:tr w:rsidR="000D3F35" w:rsidRPr="00823B9F" w:rsidTr="00EA67A4">
        <w:trPr>
          <w:trHeight w:val="426"/>
          <w:jc w:val="center"/>
        </w:trPr>
        <w:tc>
          <w:tcPr>
            <w:tcW w:w="1472" w:type="dxa"/>
            <w:vMerge/>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10pts</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2pts</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4pts</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4pts</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sidRPr="00823B9F">
              <w:rPr>
                <w:rFonts w:asciiTheme="majorBidi" w:hAnsiTheme="majorBidi" w:cstheme="majorBidi"/>
                <w:sz w:val="24"/>
                <w:szCs w:val="24"/>
              </w:rPr>
              <w:t>6pts</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sz w:val="24"/>
                <w:szCs w:val="24"/>
              </w:rPr>
            </w:pPr>
            <w:r w:rsidRPr="00823B9F">
              <w:rPr>
                <w:rFonts w:asciiTheme="majorBidi" w:hAnsiTheme="majorBidi" w:cstheme="majorBidi"/>
                <w:sz w:val="24"/>
                <w:szCs w:val="24"/>
              </w:rPr>
              <w:t>5.2</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c>
          <w:tcPr>
            <w:tcW w:w="80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r>
      <w:tr w:rsidR="000D3F35" w:rsidRPr="00823B9F" w:rsidTr="00EA67A4">
        <w:trPr>
          <w:trHeight w:val="410"/>
          <w:jc w:val="center"/>
        </w:trPr>
        <w:tc>
          <w:tcPr>
            <w:tcW w:w="1472" w:type="dxa"/>
            <w:vMerge w:val="restart"/>
            <w:tcBorders>
              <w:top w:val="single" w:sz="4" w:space="0" w:color="auto"/>
              <w:left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r w:rsidRPr="00823B9F">
              <w:rPr>
                <w:rFonts w:asciiTheme="majorBidi" w:hAnsiTheme="majorBidi" w:cstheme="majorBidi"/>
                <w:color w:val="000000"/>
                <w:sz w:val="24"/>
                <w:szCs w:val="24"/>
              </w:rPr>
              <w:t>Rentabilité économique</w:t>
            </w: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23</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15</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46</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14</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67</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33%</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23</w:t>
            </w:r>
          </w:p>
        </w:tc>
        <w:tc>
          <w:tcPr>
            <w:tcW w:w="803"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69.6</w:t>
            </w:r>
          </w:p>
        </w:tc>
      </w:tr>
      <w:tr w:rsidR="000D3F35" w:rsidRPr="00823B9F" w:rsidTr="00EA67A4">
        <w:trPr>
          <w:trHeight w:val="402"/>
          <w:jc w:val="center"/>
        </w:trPr>
        <w:tc>
          <w:tcPr>
            <w:tcW w:w="1472" w:type="dxa"/>
            <w:vMerge/>
            <w:tcBorders>
              <w:left w:val="single" w:sz="4" w:space="0" w:color="auto"/>
              <w:bottom w:val="single" w:sz="4" w:space="0" w:color="auto"/>
              <w:right w:val="single" w:sz="4" w:space="0" w:color="auto"/>
            </w:tcBorders>
          </w:tcPr>
          <w:p w:rsidR="000D3F35" w:rsidRPr="00823B9F" w:rsidRDefault="000D3F35" w:rsidP="00C65E4A">
            <w:pPr>
              <w:spacing w:line="312" w:lineRule="auto"/>
              <w:rPr>
                <w:rFonts w:asciiTheme="majorBidi" w:hAnsiTheme="majorBidi" w:cstheme="majorBidi"/>
                <w:color w:val="000000"/>
                <w:sz w:val="24"/>
                <w:szCs w:val="24"/>
              </w:rPr>
            </w:pPr>
          </w:p>
        </w:tc>
        <w:tc>
          <w:tcPr>
            <w:tcW w:w="1112"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2 pts</w:t>
            </w:r>
          </w:p>
        </w:tc>
        <w:tc>
          <w:tcPr>
            <w:tcW w:w="115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1 pts</w:t>
            </w:r>
          </w:p>
        </w:tc>
        <w:tc>
          <w:tcPr>
            <w:tcW w:w="923" w:type="dxa"/>
            <w:tcBorders>
              <w:top w:val="single" w:sz="4" w:space="0" w:color="auto"/>
              <w:left w:val="single" w:sz="4" w:space="0" w:color="auto"/>
              <w:bottom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4pts</w:t>
            </w:r>
          </w:p>
        </w:tc>
        <w:tc>
          <w:tcPr>
            <w:tcW w:w="990" w:type="dxa"/>
            <w:tcBorders>
              <w:top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 xml:space="preserve">2 pts </w:t>
            </w:r>
          </w:p>
        </w:tc>
        <w:tc>
          <w:tcPr>
            <w:tcW w:w="1495"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6 pts</w:t>
            </w:r>
          </w:p>
        </w:tc>
        <w:tc>
          <w:tcPr>
            <w:tcW w:w="851"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 xml:space="preserve">3 pts </w:t>
            </w:r>
          </w:p>
        </w:tc>
        <w:tc>
          <w:tcPr>
            <w:tcW w:w="668"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c>
          <w:tcPr>
            <w:tcW w:w="803" w:type="dxa"/>
            <w:tcBorders>
              <w:top w:val="single" w:sz="4" w:space="0" w:color="auto"/>
              <w:left w:val="single" w:sz="4" w:space="0" w:color="auto"/>
              <w:bottom w:val="single" w:sz="4" w:space="0" w:color="auto"/>
              <w:right w:val="single" w:sz="4" w:space="0" w:color="auto"/>
            </w:tcBorders>
          </w:tcPr>
          <w:p w:rsidR="000D3F35" w:rsidRPr="00823B9F" w:rsidRDefault="000D3F35" w:rsidP="00C65E4A">
            <w:pPr>
              <w:spacing w:line="312" w:lineRule="auto"/>
              <w:jc w:val="center"/>
              <w:rPr>
                <w:rFonts w:asciiTheme="majorBidi" w:hAnsiTheme="majorBidi" w:cstheme="majorBidi"/>
                <w:sz w:val="24"/>
                <w:szCs w:val="24"/>
              </w:rPr>
            </w:pPr>
            <w:r>
              <w:rPr>
                <w:rFonts w:asciiTheme="majorBidi" w:hAnsiTheme="majorBidi" w:cstheme="majorBidi"/>
                <w:sz w:val="24"/>
                <w:szCs w:val="24"/>
              </w:rPr>
              <w:t>/</w:t>
            </w:r>
          </w:p>
        </w:tc>
      </w:tr>
    </w:tbl>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SMT : Score maximal théorique ; Moy. : </w:t>
      </w:r>
      <w:r w:rsidR="004724CB" w:rsidRPr="008F6999">
        <w:rPr>
          <w:rFonts w:asciiTheme="majorBidi" w:hAnsiTheme="majorBidi" w:cstheme="majorBidi"/>
          <w:sz w:val="28"/>
          <w:szCs w:val="28"/>
        </w:rPr>
        <w:t>Moyenne</w:t>
      </w:r>
      <w:r w:rsidRPr="008F6999">
        <w:rPr>
          <w:rFonts w:asciiTheme="majorBidi" w:hAnsiTheme="majorBidi" w:cstheme="majorBidi"/>
          <w:sz w:val="28"/>
          <w:szCs w:val="28"/>
        </w:rPr>
        <w:t> ; CV : coefficient de variabilité ; ET : écart type</w:t>
      </w:r>
      <w:r>
        <w:rPr>
          <w:rFonts w:asciiTheme="majorBidi" w:hAnsiTheme="majorBidi" w:cstheme="majorBidi"/>
          <w:sz w:val="28"/>
          <w:szCs w:val="28"/>
        </w:rPr>
        <w:t> ; pts : points</w:t>
      </w:r>
      <w:r w:rsidRPr="008F6999">
        <w:rPr>
          <w:rFonts w:asciiTheme="majorBidi" w:hAnsiTheme="majorBidi" w:cstheme="majorBidi"/>
          <w:sz w:val="28"/>
          <w:szCs w:val="28"/>
        </w:rPr>
        <w:t>.</w:t>
      </w:r>
    </w:p>
    <w:p w:rsidR="000D3F35" w:rsidRPr="008F6999" w:rsidRDefault="000D3F35" w:rsidP="007E6B14">
      <w:pPr>
        <w:spacing w:line="312" w:lineRule="auto"/>
        <w:ind w:firstLine="284"/>
        <w:rPr>
          <w:rFonts w:asciiTheme="majorBidi" w:hAnsiTheme="majorBidi" w:cstheme="majorBidi"/>
          <w:sz w:val="28"/>
          <w:szCs w:val="28"/>
        </w:rPr>
      </w:pPr>
      <w:r w:rsidRPr="008F6999">
        <w:rPr>
          <w:rFonts w:asciiTheme="majorBidi" w:hAnsiTheme="majorBidi" w:cstheme="majorBidi"/>
          <w:sz w:val="28"/>
          <w:szCs w:val="28"/>
        </w:rPr>
        <w:t>Dans l’ensemble, l’indicateur viabilité économique enregistre un bon score dans 80 % des exploitations car il dépasse les 50% du score maximum théorique (10%) (Figure</w:t>
      </w:r>
      <w:r w:rsidR="00B5759C">
        <w:rPr>
          <w:rFonts w:asciiTheme="majorBidi" w:hAnsiTheme="majorBidi" w:cstheme="majorBidi"/>
          <w:sz w:val="28"/>
          <w:szCs w:val="28"/>
        </w:rPr>
        <w:t xml:space="preserve"> </w:t>
      </w:r>
      <w:r w:rsidR="004724CB">
        <w:rPr>
          <w:rFonts w:asciiTheme="majorBidi" w:hAnsiTheme="majorBidi" w:cstheme="majorBidi"/>
          <w:sz w:val="28"/>
          <w:szCs w:val="28"/>
        </w:rPr>
        <w:t>2</w:t>
      </w:r>
      <w:r w:rsidR="004724CB" w:rsidRPr="008F6999">
        <w:rPr>
          <w:rFonts w:asciiTheme="majorBidi" w:hAnsiTheme="majorBidi" w:cstheme="majorBidi"/>
          <w:sz w:val="28"/>
          <w:szCs w:val="28"/>
        </w:rPr>
        <w:t>)</w:t>
      </w:r>
      <w:r w:rsidRPr="008F6999">
        <w:rPr>
          <w:rFonts w:asciiTheme="majorBidi" w:hAnsiTheme="majorBidi" w:cstheme="majorBidi"/>
          <w:sz w:val="28"/>
          <w:szCs w:val="28"/>
        </w:rPr>
        <w:t>.</w:t>
      </w:r>
    </w:p>
    <w:p w:rsidR="000D3F35" w:rsidRPr="008F6999" w:rsidRDefault="000D3F35" w:rsidP="00C65E4A">
      <w:pPr>
        <w:spacing w:line="312" w:lineRule="auto"/>
        <w:jc w:val="center"/>
        <w:rPr>
          <w:rFonts w:asciiTheme="majorBidi" w:hAnsiTheme="majorBidi" w:cstheme="majorBidi"/>
          <w:b/>
          <w:bCs/>
          <w:sz w:val="28"/>
          <w:szCs w:val="28"/>
        </w:rPr>
      </w:pPr>
      <w:r w:rsidRPr="008F6999">
        <w:rPr>
          <w:rFonts w:asciiTheme="majorBidi" w:hAnsiTheme="majorBidi" w:cstheme="majorBidi"/>
          <w:noProof/>
          <w:sz w:val="28"/>
          <w:szCs w:val="28"/>
        </w:rPr>
        <w:drawing>
          <wp:inline distT="0" distB="0" distL="0" distR="0">
            <wp:extent cx="4451212" cy="2345634"/>
            <wp:effectExtent l="19050" t="0" r="25538" b="0"/>
            <wp:docPr id="10"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D3F35" w:rsidRPr="008F6999" w:rsidRDefault="000D3F35" w:rsidP="007E6B14">
      <w:pPr>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Les scores élevés enregistrés dans l</w:t>
      </w:r>
      <w:r>
        <w:rPr>
          <w:rFonts w:asciiTheme="majorBidi" w:hAnsiTheme="majorBidi" w:cstheme="majorBidi"/>
          <w:color w:val="000000"/>
          <w:sz w:val="28"/>
          <w:szCs w:val="28"/>
        </w:rPr>
        <w:t xml:space="preserve">es </w:t>
      </w:r>
      <w:r w:rsidRPr="008F6999">
        <w:rPr>
          <w:rFonts w:asciiTheme="majorBidi" w:hAnsiTheme="majorBidi" w:cstheme="majorBidi"/>
          <w:color w:val="000000"/>
          <w:sz w:val="28"/>
          <w:szCs w:val="28"/>
        </w:rPr>
        <w:t>exploitation</w:t>
      </w:r>
      <w:r>
        <w:rPr>
          <w:rFonts w:asciiTheme="majorBidi" w:hAnsiTheme="majorBidi" w:cstheme="majorBidi"/>
          <w:color w:val="000000"/>
          <w:sz w:val="28"/>
          <w:szCs w:val="28"/>
        </w:rPr>
        <w:t>s</w:t>
      </w:r>
      <w:r w:rsidR="00E779EC">
        <w:rPr>
          <w:rFonts w:asciiTheme="majorBidi" w:hAnsiTheme="majorBidi" w:cstheme="majorBidi"/>
          <w:color w:val="000000"/>
          <w:sz w:val="28"/>
          <w:szCs w:val="28"/>
        </w:rPr>
        <w:t xml:space="preserve"> </w:t>
      </w:r>
      <w:r w:rsidRPr="008F6999">
        <w:rPr>
          <w:rFonts w:asciiTheme="majorBidi" w:hAnsiTheme="majorBidi" w:cstheme="majorBidi"/>
          <w:color w:val="000000"/>
          <w:sz w:val="28"/>
          <w:szCs w:val="28"/>
        </w:rPr>
        <w:t>Belhouas et Lachache sont en relation avec la somme élevée des ventes des produits de la ferme qui dépasse les 4 et 9 millions dinars respectivement. D</w:t>
      </w:r>
      <w:r>
        <w:rPr>
          <w:rFonts w:asciiTheme="majorBidi" w:hAnsiTheme="majorBidi" w:cstheme="majorBidi"/>
          <w:color w:val="000000"/>
          <w:sz w:val="28"/>
          <w:szCs w:val="28"/>
        </w:rPr>
        <w:t>e</w:t>
      </w:r>
      <w:r w:rsidRPr="008F6999">
        <w:rPr>
          <w:rFonts w:asciiTheme="majorBidi" w:hAnsiTheme="majorBidi" w:cstheme="majorBidi"/>
          <w:color w:val="000000"/>
          <w:sz w:val="28"/>
          <w:szCs w:val="28"/>
        </w:rPr>
        <w:t xml:space="preserve"> sa part le montant des ventes est lié </w:t>
      </w:r>
      <w:r w:rsidRPr="008F6999">
        <w:rPr>
          <w:rFonts w:asciiTheme="majorBidi" w:hAnsiTheme="majorBidi" w:cstheme="majorBidi"/>
          <w:color w:val="000000"/>
          <w:sz w:val="28"/>
          <w:szCs w:val="28"/>
        </w:rPr>
        <w:lastRenderedPageBreak/>
        <w:t>à la taille de l’exploitation qui tourne avec un actif biologique de plus de 13000 sujets de poulet de chair et 20000 sujets de poules pondeuses. Tandis que, l’ORAC qui inscrit le score de viabilité le plus faible (3 points) dispose d’un actif faible (3000 poulettes). Le résultat négatif est influencé aussi par le coût des intrants et les frais de gestion commerciale.</w:t>
      </w:r>
    </w:p>
    <w:p w:rsidR="000D3F35" w:rsidRPr="008F6999" w:rsidRDefault="000D3F35" w:rsidP="00C65E4A">
      <w:pPr>
        <w:spacing w:line="312" w:lineRule="auto"/>
        <w:rPr>
          <w:rFonts w:asciiTheme="majorBidi" w:hAnsiTheme="majorBidi" w:cstheme="majorBidi"/>
          <w:b/>
          <w:bCs/>
          <w:color w:val="000000"/>
          <w:sz w:val="28"/>
          <w:szCs w:val="28"/>
        </w:rPr>
      </w:pPr>
      <w:r w:rsidRPr="008F6999">
        <w:rPr>
          <w:rFonts w:asciiTheme="majorBidi" w:hAnsiTheme="majorBidi" w:cstheme="majorBidi"/>
          <w:b/>
          <w:bCs/>
          <w:color w:val="000000"/>
          <w:sz w:val="28"/>
          <w:szCs w:val="28"/>
        </w:rPr>
        <w:t>3.1.1.2.  Efficience du processus productif</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b/>
          <w:bCs/>
          <w:sz w:val="28"/>
          <w:szCs w:val="28"/>
        </w:rPr>
      </w:pPr>
      <w:r w:rsidRPr="008F6999">
        <w:rPr>
          <w:rFonts w:asciiTheme="majorBidi" w:hAnsiTheme="majorBidi" w:cstheme="majorBidi"/>
          <w:sz w:val="28"/>
          <w:szCs w:val="28"/>
        </w:rPr>
        <w:t>L’efficience du processus productif permet de renseigner sur la manière dont les intrants sont valorisés par le système de production. Plus la part des intrants est importante plus l’efficience est faible, et donc le système valorise le moins ses propres ressources (Bekhouche, 2011).</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Cette composante caractérise l’autonomie,</w:t>
      </w:r>
      <w:r w:rsidR="00E1348A">
        <w:rPr>
          <w:rFonts w:asciiTheme="majorBidi" w:hAnsiTheme="majorBidi" w:cstheme="majorBidi"/>
          <w:sz w:val="28"/>
          <w:szCs w:val="28"/>
        </w:rPr>
        <w:t xml:space="preserve"> </w:t>
      </w:r>
      <w:r w:rsidRPr="008F6999">
        <w:rPr>
          <w:rFonts w:asciiTheme="majorBidi" w:hAnsiTheme="majorBidi" w:cstheme="majorBidi"/>
          <w:sz w:val="28"/>
          <w:szCs w:val="28"/>
        </w:rPr>
        <w:t>c’est-à-dire la capacité des systèmes</w:t>
      </w:r>
      <w:r w:rsidR="00E1348A">
        <w:rPr>
          <w:rFonts w:asciiTheme="majorBidi" w:hAnsiTheme="majorBidi" w:cstheme="majorBidi"/>
          <w:sz w:val="28"/>
          <w:szCs w:val="28"/>
        </w:rPr>
        <w:t xml:space="preserve"> </w:t>
      </w:r>
      <w:r w:rsidRPr="008F6999">
        <w:rPr>
          <w:rFonts w:asciiTheme="majorBidi" w:hAnsiTheme="majorBidi" w:cstheme="majorBidi"/>
          <w:sz w:val="28"/>
          <w:szCs w:val="28"/>
        </w:rPr>
        <w:t>de production à valoriser leurs propres ressources</w:t>
      </w:r>
      <w:r w:rsidR="00E1348A">
        <w:rPr>
          <w:rFonts w:asciiTheme="majorBidi" w:hAnsiTheme="majorBidi" w:cstheme="majorBidi"/>
          <w:sz w:val="28"/>
          <w:szCs w:val="28"/>
        </w:rPr>
        <w:t xml:space="preserve"> </w:t>
      </w:r>
      <w:r w:rsidRPr="008F6999">
        <w:rPr>
          <w:rFonts w:asciiTheme="majorBidi" w:hAnsiTheme="majorBidi" w:cstheme="majorBidi"/>
          <w:sz w:val="28"/>
          <w:szCs w:val="28"/>
        </w:rPr>
        <w:t>et garantit, à très long terme, leur durabilité</w:t>
      </w:r>
      <w:r w:rsidR="00E1348A">
        <w:rPr>
          <w:rFonts w:asciiTheme="majorBidi" w:hAnsiTheme="majorBidi" w:cstheme="majorBidi"/>
          <w:sz w:val="28"/>
          <w:szCs w:val="28"/>
        </w:rPr>
        <w:t xml:space="preserve"> </w:t>
      </w:r>
      <w:r w:rsidRPr="008F6999">
        <w:rPr>
          <w:rFonts w:asciiTheme="majorBidi" w:hAnsiTheme="majorBidi" w:cstheme="majorBidi"/>
          <w:sz w:val="28"/>
          <w:szCs w:val="28"/>
        </w:rPr>
        <w:t>(Laajimi et Nasr, 2009).</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valeur de l’efficience du processus productif  varie dans les exploitations enquêtées de 25.41 à </w:t>
      </w:r>
      <w:r>
        <w:rPr>
          <w:rFonts w:asciiTheme="majorBidi" w:hAnsiTheme="majorBidi" w:cstheme="majorBidi"/>
          <w:sz w:val="28"/>
          <w:szCs w:val="28"/>
        </w:rPr>
        <w:t>98% (Tableau</w:t>
      </w:r>
      <w:r w:rsidR="004724CB">
        <w:rPr>
          <w:rFonts w:asciiTheme="majorBidi" w:hAnsiTheme="majorBidi" w:cstheme="majorBidi"/>
          <w:sz w:val="28"/>
          <w:szCs w:val="28"/>
        </w:rPr>
        <w:t xml:space="preserve"> 14)</w:t>
      </w:r>
      <w:r>
        <w:rPr>
          <w:rFonts w:asciiTheme="majorBidi" w:hAnsiTheme="majorBidi" w:cstheme="majorBidi"/>
          <w:sz w:val="28"/>
          <w:szCs w:val="28"/>
        </w:rPr>
        <w:t>. La note moyenne</w:t>
      </w:r>
      <w:r w:rsidRPr="008F6999">
        <w:rPr>
          <w:rFonts w:asciiTheme="majorBidi" w:hAnsiTheme="majorBidi" w:cstheme="majorBidi"/>
          <w:sz w:val="28"/>
          <w:szCs w:val="28"/>
        </w:rPr>
        <w:t xml:space="preserve"> de cet indicateur est évaluée à 5.2 points (CV 58.3%). Communément, trois exploitations sur cinq enregistrent des scores au-dessous de 50 % de la valeur maximale théorique, à savoir : l’exploitation de Belhouas (2points), l’ORAC (4 points) et celle de Frahtia (4 points). C’est ce qui indique que ces exploitations consomment plus d’intrants pour le déroulement de leurs systèmes de production (Figure</w:t>
      </w:r>
      <w:r w:rsidR="00B5759C">
        <w:rPr>
          <w:rFonts w:asciiTheme="majorBidi" w:hAnsiTheme="majorBidi" w:cstheme="majorBidi"/>
          <w:sz w:val="28"/>
          <w:szCs w:val="28"/>
        </w:rPr>
        <w:t xml:space="preserve"> </w:t>
      </w:r>
      <w:r w:rsidR="004724CB">
        <w:rPr>
          <w:rFonts w:asciiTheme="majorBidi" w:hAnsiTheme="majorBidi" w:cstheme="majorBidi"/>
          <w:sz w:val="28"/>
          <w:szCs w:val="28"/>
        </w:rPr>
        <w:t>3</w:t>
      </w:r>
      <w:r w:rsidR="004724CB" w:rsidRPr="008F6999">
        <w:rPr>
          <w:rFonts w:asciiTheme="majorBidi" w:hAnsiTheme="majorBidi" w:cstheme="majorBidi"/>
          <w:sz w:val="28"/>
          <w:szCs w:val="28"/>
        </w:rPr>
        <w:t>)</w:t>
      </w:r>
      <w:r w:rsidRPr="008F6999">
        <w:rPr>
          <w:rFonts w:asciiTheme="majorBidi" w:hAnsiTheme="majorBidi" w:cstheme="majorBidi"/>
          <w:sz w:val="28"/>
          <w:szCs w:val="28"/>
        </w:rPr>
        <w:t xml:space="preserve">. </w:t>
      </w:r>
    </w:p>
    <w:p w:rsidR="000D3F35" w:rsidRPr="008F6999" w:rsidRDefault="000D3F35" w:rsidP="00C65E4A">
      <w:pPr>
        <w:spacing w:line="312" w:lineRule="auto"/>
        <w:jc w:val="center"/>
        <w:rPr>
          <w:rFonts w:asciiTheme="majorBidi" w:hAnsiTheme="majorBidi" w:cstheme="majorBidi"/>
          <w:b/>
          <w:bCs/>
          <w:color w:val="000000"/>
          <w:sz w:val="28"/>
          <w:szCs w:val="28"/>
        </w:rPr>
      </w:pPr>
      <w:r w:rsidRPr="008F6999">
        <w:rPr>
          <w:rFonts w:asciiTheme="majorBidi" w:hAnsiTheme="majorBidi" w:cstheme="majorBidi"/>
          <w:noProof/>
          <w:sz w:val="28"/>
          <w:szCs w:val="28"/>
        </w:rPr>
        <w:drawing>
          <wp:inline distT="0" distB="0" distL="0" distR="0">
            <wp:extent cx="3666269" cy="2166896"/>
            <wp:effectExtent l="19050" t="0" r="10381" b="4804"/>
            <wp:docPr id="1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724CB" w:rsidRDefault="004724CB" w:rsidP="00C65E4A">
      <w:pPr>
        <w:autoSpaceDE w:val="0"/>
        <w:autoSpaceDN w:val="0"/>
        <w:adjustRightInd w:val="0"/>
        <w:spacing w:line="312" w:lineRule="auto"/>
        <w:jc w:val="both"/>
        <w:rPr>
          <w:rFonts w:asciiTheme="majorBidi" w:hAnsiTheme="majorBidi" w:cstheme="majorBidi"/>
          <w:sz w:val="28"/>
          <w:szCs w:val="28"/>
        </w:rPr>
      </w:pP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lastRenderedPageBreak/>
        <w:t xml:space="preserve">Par contre, dans l’exploitation « Coq Hodna » qui a bénéficié d’une note maximale (10 points) et de 100%  de la valeur maximale théorique (100%), les gérants utilisent peu d’intrants et exploitent leurs propres ressources. c’est ce qui assure leur autonomie et garantit à long terme leur durabilité.     </w:t>
      </w:r>
    </w:p>
    <w:p w:rsidR="000D3F35" w:rsidRPr="008F6999" w:rsidRDefault="000D3F35" w:rsidP="00C65E4A">
      <w:pPr>
        <w:spacing w:line="312" w:lineRule="auto"/>
        <w:rPr>
          <w:rFonts w:asciiTheme="majorBidi" w:hAnsiTheme="majorBidi" w:cstheme="majorBidi"/>
          <w:b/>
          <w:bCs/>
          <w:color w:val="000000"/>
          <w:sz w:val="28"/>
          <w:szCs w:val="28"/>
        </w:rPr>
      </w:pPr>
      <w:r w:rsidRPr="008F6999">
        <w:rPr>
          <w:rFonts w:asciiTheme="majorBidi" w:hAnsiTheme="majorBidi" w:cstheme="majorBidi"/>
          <w:b/>
          <w:bCs/>
          <w:color w:val="000000"/>
          <w:sz w:val="28"/>
          <w:szCs w:val="28"/>
        </w:rPr>
        <w:t>3.1.1.3.  Rentabilité économique </w:t>
      </w:r>
    </w:p>
    <w:p w:rsidR="000D3F35" w:rsidRDefault="000D3F35" w:rsidP="007E6B14">
      <w:pPr>
        <w:spacing w:line="312" w:lineRule="auto"/>
        <w:ind w:firstLine="284"/>
        <w:jc w:val="both"/>
        <w:rPr>
          <w:rFonts w:asciiTheme="majorBidi" w:hAnsiTheme="majorBidi" w:cstheme="majorBidi"/>
          <w:color w:val="000000"/>
          <w:sz w:val="28"/>
          <w:szCs w:val="28"/>
        </w:rPr>
      </w:pPr>
      <w:r w:rsidRPr="004B5F8B">
        <w:rPr>
          <w:rFonts w:asciiTheme="majorBidi" w:hAnsiTheme="majorBidi" w:cstheme="majorBidi"/>
          <w:color w:val="000000"/>
          <w:sz w:val="28"/>
          <w:szCs w:val="28"/>
        </w:rPr>
        <w:t>L</w:t>
      </w:r>
      <w:r>
        <w:rPr>
          <w:rFonts w:asciiTheme="majorBidi" w:hAnsiTheme="majorBidi" w:cstheme="majorBidi"/>
          <w:color w:val="000000"/>
          <w:sz w:val="28"/>
          <w:szCs w:val="28"/>
        </w:rPr>
        <w:t xml:space="preserve">e ratio de rentabilité est très divergent entre les exploitations enquêtées (CV 69.6%). En moyenne, il s’établi à 33% (Tableau </w:t>
      </w:r>
      <w:r w:rsidR="005B58F3">
        <w:rPr>
          <w:rFonts w:asciiTheme="majorBidi" w:hAnsiTheme="majorBidi" w:cstheme="majorBidi"/>
          <w:color w:val="000000"/>
          <w:sz w:val="28"/>
          <w:szCs w:val="28"/>
        </w:rPr>
        <w:t xml:space="preserve"> 14 et figure 4)</w:t>
      </w:r>
      <w:r>
        <w:rPr>
          <w:rFonts w:asciiTheme="majorBidi" w:hAnsiTheme="majorBidi" w:cstheme="majorBidi"/>
          <w:color w:val="000000"/>
          <w:sz w:val="28"/>
          <w:szCs w:val="28"/>
        </w:rPr>
        <w:t xml:space="preserve">.  </w:t>
      </w:r>
    </w:p>
    <w:p w:rsidR="000D3F35" w:rsidRDefault="000D3F35" w:rsidP="007E6B14">
      <w:pPr>
        <w:spacing w:line="312" w:lineRule="auto"/>
        <w:ind w:firstLine="284"/>
        <w:jc w:val="both"/>
        <w:rPr>
          <w:rFonts w:asciiTheme="majorBidi" w:hAnsiTheme="majorBidi" w:cstheme="majorBidi"/>
          <w:color w:val="000000"/>
          <w:sz w:val="28"/>
          <w:szCs w:val="28"/>
        </w:rPr>
      </w:pPr>
      <w:r>
        <w:rPr>
          <w:rFonts w:asciiTheme="majorBidi" w:hAnsiTheme="majorBidi" w:cstheme="majorBidi"/>
          <w:color w:val="000000"/>
          <w:sz w:val="28"/>
          <w:szCs w:val="28"/>
        </w:rPr>
        <w:t>L</w:t>
      </w:r>
      <w:r w:rsidRPr="004B5F8B">
        <w:rPr>
          <w:rFonts w:asciiTheme="majorBidi" w:hAnsiTheme="majorBidi" w:cstheme="majorBidi"/>
          <w:color w:val="000000"/>
          <w:sz w:val="28"/>
          <w:szCs w:val="28"/>
        </w:rPr>
        <w:t xml:space="preserve">es </w:t>
      </w:r>
      <w:r>
        <w:rPr>
          <w:rFonts w:asciiTheme="majorBidi" w:hAnsiTheme="majorBidi" w:cstheme="majorBidi"/>
          <w:color w:val="000000"/>
          <w:sz w:val="28"/>
          <w:szCs w:val="28"/>
        </w:rPr>
        <w:t xml:space="preserve">exploitations Lachache et l’ORAC enregistrent la rentabilité la plus élevée. Les résultats trouvés indiquent, pour ces deux exploitations, que 100 DA de capitaux investis ont permis de générer 67 et 46 DA de résultats respectivement. La pondération consacrée à ces ceux exploitations sont consécutivement 6 et 4 points. Tandis que, les autres exploitations (Coq Hodna, Belhouas et Frahtia) leurs capitaux investis ne génèrent que 23, 15 et 14 DA respectivement. C’est ce qui nous permet de dire que les exploitations Lachache et l’ORAC sont plus efficiente que les trois autres. </w:t>
      </w:r>
    </w:p>
    <w:p w:rsidR="000D3F35" w:rsidRPr="008F6999" w:rsidRDefault="000D3F35" w:rsidP="00C65E4A">
      <w:pPr>
        <w:spacing w:line="312" w:lineRule="auto"/>
        <w:jc w:val="center"/>
        <w:rPr>
          <w:rFonts w:asciiTheme="majorBidi" w:hAnsiTheme="majorBidi" w:cstheme="majorBidi"/>
          <w:b/>
          <w:bCs/>
          <w:color w:val="000000"/>
          <w:sz w:val="28"/>
          <w:szCs w:val="28"/>
        </w:rPr>
      </w:pPr>
      <w:r>
        <w:rPr>
          <w:noProof/>
        </w:rPr>
        <w:drawing>
          <wp:inline distT="0" distB="0" distL="0" distR="0">
            <wp:extent cx="3589361" cy="2292824"/>
            <wp:effectExtent l="19050" t="0" r="11089" b="0"/>
            <wp:docPr id="1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3.1.2. Indicateurs qualitatifs</w:t>
      </w:r>
    </w:p>
    <w:p w:rsidR="000D3F35" w:rsidRPr="008F6999" w:rsidRDefault="000D3F35" w:rsidP="007E6B14">
      <w:pPr>
        <w:spacing w:line="312" w:lineRule="auto"/>
        <w:ind w:firstLine="284"/>
        <w:rPr>
          <w:rFonts w:asciiTheme="majorBidi" w:hAnsiTheme="majorBidi" w:cstheme="majorBidi"/>
          <w:sz w:val="28"/>
          <w:szCs w:val="28"/>
        </w:rPr>
      </w:pPr>
      <w:r w:rsidRPr="008F6999">
        <w:rPr>
          <w:rFonts w:asciiTheme="majorBidi" w:hAnsiTheme="majorBidi" w:cstheme="majorBidi"/>
          <w:sz w:val="28"/>
          <w:szCs w:val="28"/>
        </w:rPr>
        <w:t>Les indicateurs qualitatifs ne sont pas mesurables. Ils sont estimés selon l’avis de chef d’exploitatio</w:t>
      </w:r>
      <w:r>
        <w:rPr>
          <w:rFonts w:asciiTheme="majorBidi" w:hAnsiTheme="majorBidi" w:cstheme="majorBidi"/>
          <w:sz w:val="28"/>
          <w:szCs w:val="28"/>
        </w:rPr>
        <w:t>n</w:t>
      </w:r>
      <w:r w:rsidRPr="008F6999">
        <w:rPr>
          <w:rFonts w:asciiTheme="majorBidi" w:hAnsiTheme="majorBidi" w:cstheme="majorBidi"/>
          <w:sz w:val="28"/>
          <w:szCs w:val="28"/>
        </w:rPr>
        <w:t xml:space="preserve">. </w:t>
      </w:r>
    </w:p>
    <w:p w:rsidR="000D3F35" w:rsidRDefault="000D3F35" w:rsidP="00C65E4A">
      <w:pPr>
        <w:spacing w:line="312" w:lineRule="auto"/>
        <w:rPr>
          <w:rFonts w:asciiTheme="majorBidi" w:hAnsiTheme="majorBidi" w:cstheme="majorBidi"/>
          <w:b/>
          <w:bCs/>
          <w:sz w:val="28"/>
          <w:szCs w:val="28"/>
        </w:rPr>
      </w:pPr>
    </w:p>
    <w:p w:rsidR="007E6B14" w:rsidRDefault="007E6B14" w:rsidP="00C65E4A">
      <w:pPr>
        <w:spacing w:line="312" w:lineRule="auto"/>
        <w:rPr>
          <w:rFonts w:asciiTheme="majorBidi" w:hAnsiTheme="majorBidi" w:cstheme="majorBidi"/>
          <w:b/>
          <w:bCs/>
          <w:sz w:val="28"/>
          <w:szCs w:val="28"/>
        </w:rPr>
      </w:pPr>
    </w:p>
    <w:p w:rsidR="000D3F35" w:rsidRPr="0079668A" w:rsidRDefault="000D3F35" w:rsidP="007E6B14">
      <w:pPr>
        <w:pStyle w:val="Paragraphedeliste"/>
        <w:numPr>
          <w:ilvl w:val="3"/>
          <w:numId w:val="25"/>
        </w:numPr>
        <w:spacing w:line="312" w:lineRule="auto"/>
        <w:ind w:left="1134"/>
        <w:rPr>
          <w:rFonts w:asciiTheme="majorBidi" w:hAnsiTheme="majorBidi" w:cstheme="majorBidi"/>
          <w:b/>
          <w:bCs/>
          <w:color w:val="000000"/>
          <w:sz w:val="28"/>
          <w:szCs w:val="28"/>
        </w:rPr>
      </w:pPr>
      <w:r w:rsidRPr="0079668A">
        <w:rPr>
          <w:rFonts w:asciiTheme="majorBidi" w:hAnsiTheme="majorBidi" w:cstheme="majorBidi"/>
          <w:b/>
          <w:bCs/>
          <w:color w:val="000000"/>
          <w:sz w:val="28"/>
          <w:szCs w:val="28"/>
        </w:rPr>
        <w:lastRenderedPageBreak/>
        <w:t>Efficacité de la main d'œuvre</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B23091">
        <w:rPr>
          <w:rFonts w:asciiTheme="majorBidi" w:hAnsiTheme="majorBidi" w:cstheme="majorBidi"/>
          <w:sz w:val="28"/>
          <w:szCs w:val="28"/>
        </w:rPr>
        <w:t>L’o</w:t>
      </w:r>
      <w:r w:rsidRPr="008F6999">
        <w:rPr>
          <w:rFonts w:asciiTheme="majorBidi" w:hAnsiTheme="majorBidi" w:cstheme="majorBidi"/>
          <w:sz w:val="28"/>
          <w:szCs w:val="28"/>
        </w:rPr>
        <w:t>rganisation du travail, les conditions d’emploi et la nature même de la</w:t>
      </w:r>
      <w:r w:rsidR="00E1348A">
        <w:rPr>
          <w:rFonts w:asciiTheme="majorBidi" w:hAnsiTheme="majorBidi" w:cstheme="majorBidi"/>
          <w:sz w:val="28"/>
          <w:szCs w:val="28"/>
        </w:rPr>
        <w:t xml:space="preserve"> </w:t>
      </w:r>
      <w:r w:rsidR="00E1348A" w:rsidRPr="008F6999">
        <w:rPr>
          <w:rFonts w:asciiTheme="majorBidi" w:hAnsiTheme="majorBidi" w:cstheme="majorBidi"/>
          <w:sz w:val="28"/>
          <w:szCs w:val="28"/>
        </w:rPr>
        <w:t>main-d’œuvre</w:t>
      </w:r>
      <w:r w:rsidRPr="008F6999">
        <w:rPr>
          <w:rFonts w:asciiTheme="majorBidi" w:hAnsiTheme="majorBidi" w:cstheme="majorBidi"/>
          <w:sz w:val="28"/>
          <w:szCs w:val="28"/>
        </w:rPr>
        <w:t xml:space="preserve"> ont subi des modifications importantes : spécialisation</w:t>
      </w:r>
      <w:r w:rsidR="00E1348A">
        <w:rPr>
          <w:rFonts w:asciiTheme="majorBidi" w:hAnsiTheme="majorBidi" w:cstheme="majorBidi"/>
          <w:sz w:val="28"/>
          <w:szCs w:val="28"/>
        </w:rPr>
        <w:t xml:space="preserve"> </w:t>
      </w:r>
      <w:r w:rsidRPr="008F6999">
        <w:rPr>
          <w:rFonts w:asciiTheme="majorBidi" w:hAnsiTheme="majorBidi" w:cstheme="majorBidi"/>
          <w:sz w:val="28"/>
          <w:szCs w:val="28"/>
        </w:rPr>
        <w:t>croissante des personnes, emploi de plus en plus fréquent de salariés,</w:t>
      </w:r>
      <w:r w:rsidR="00E1348A">
        <w:rPr>
          <w:rFonts w:asciiTheme="majorBidi" w:hAnsiTheme="majorBidi" w:cstheme="majorBidi"/>
          <w:sz w:val="28"/>
          <w:szCs w:val="28"/>
        </w:rPr>
        <w:t xml:space="preserve"> </w:t>
      </w:r>
      <w:r w:rsidRPr="008F6999">
        <w:rPr>
          <w:rFonts w:asciiTheme="majorBidi" w:hAnsiTheme="majorBidi" w:cstheme="majorBidi"/>
          <w:sz w:val="28"/>
          <w:szCs w:val="28"/>
        </w:rPr>
        <w:t>intégration entre élevages… Il subsiste toutefois des différences sensibles</w:t>
      </w:r>
      <w:r w:rsidR="00E1348A">
        <w:rPr>
          <w:rFonts w:asciiTheme="majorBidi" w:hAnsiTheme="majorBidi" w:cstheme="majorBidi"/>
          <w:sz w:val="28"/>
          <w:szCs w:val="28"/>
        </w:rPr>
        <w:t xml:space="preserve"> </w:t>
      </w:r>
      <w:r w:rsidRPr="008F6999">
        <w:rPr>
          <w:rFonts w:asciiTheme="majorBidi" w:hAnsiTheme="majorBidi" w:cstheme="majorBidi"/>
          <w:sz w:val="28"/>
          <w:szCs w:val="28"/>
        </w:rPr>
        <w:t xml:space="preserve">d’efficacité du travail selon la région, le type de l’atelier et sa dimension </w:t>
      </w:r>
      <w:r>
        <w:rPr>
          <w:rFonts w:asciiTheme="majorBidi" w:hAnsiTheme="majorBidi" w:cstheme="majorBidi"/>
          <w:sz w:val="28"/>
          <w:szCs w:val="28"/>
        </w:rPr>
        <w:t>(Salaün et Fraysse</w:t>
      </w:r>
      <w:r w:rsidRPr="008F6999">
        <w:rPr>
          <w:rFonts w:asciiTheme="majorBidi" w:hAnsiTheme="majorBidi" w:cstheme="majorBidi"/>
          <w:sz w:val="28"/>
          <w:szCs w:val="28"/>
        </w:rPr>
        <w:t>,</w:t>
      </w:r>
      <w:r>
        <w:rPr>
          <w:rFonts w:asciiTheme="majorBidi" w:hAnsiTheme="majorBidi" w:cstheme="majorBidi"/>
          <w:sz w:val="28"/>
          <w:szCs w:val="28"/>
        </w:rPr>
        <w:t xml:space="preserve"> 1999).</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L’élevage de volailles est grand consommateur de main d’œuvre. L’atelier volailles constitue la plupart du temps une activité  complémentaire, constituant près de 50 % du temps de travail passé sur l’exploitation. Lors des pics de travail (principalement en début de bande, pendant la période de démarrage et en fin de bande lors de l’enlèvement des animaux et du nettoyage/désinfection des bâtiments), les éleveurs avicoles ont couramment recours à de la main</w:t>
      </w:r>
      <w:r>
        <w:rPr>
          <w:rFonts w:asciiTheme="majorBidi" w:hAnsiTheme="majorBidi" w:cstheme="majorBidi"/>
          <w:sz w:val="28"/>
          <w:szCs w:val="28"/>
        </w:rPr>
        <w:t>-</w:t>
      </w:r>
      <w:r w:rsidRPr="008F6999">
        <w:rPr>
          <w:rFonts w:asciiTheme="majorBidi" w:hAnsiTheme="majorBidi" w:cstheme="majorBidi"/>
          <w:sz w:val="28"/>
          <w:szCs w:val="28"/>
        </w:rPr>
        <w:t>d’œuvre</w:t>
      </w:r>
      <w:r w:rsidR="00E1348A">
        <w:rPr>
          <w:rFonts w:asciiTheme="majorBidi" w:hAnsiTheme="majorBidi" w:cstheme="majorBidi"/>
          <w:sz w:val="28"/>
          <w:szCs w:val="28"/>
        </w:rPr>
        <w:t xml:space="preserve"> </w:t>
      </w:r>
      <w:r w:rsidRPr="008F6999">
        <w:rPr>
          <w:rFonts w:asciiTheme="majorBidi" w:hAnsiTheme="majorBidi" w:cstheme="majorBidi"/>
          <w:sz w:val="28"/>
          <w:szCs w:val="28"/>
        </w:rPr>
        <w:t xml:space="preserve">occasionnelle. Cette main d’œuvre occasionnelle représente entre 4 et 8 % de la main d’œuvre avicole totale (ITAVI, 2014). </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b/>
          <w:bCs/>
          <w:color w:val="000000"/>
          <w:sz w:val="28"/>
          <w:szCs w:val="28"/>
        </w:rPr>
      </w:pPr>
      <w:r w:rsidRPr="008F6999">
        <w:rPr>
          <w:rFonts w:asciiTheme="majorBidi" w:hAnsiTheme="majorBidi" w:cstheme="majorBidi"/>
          <w:sz w:val="28"/>
          <w:szCs w:val="28"/>
        </w:rPr>
        <w:t xml:space="preserve">La totalité des exploitations avicoles interviewées au cours de notre enquête dispose d’une main d’œuvre de qualification assez bonne à hautement qualifiée (Tableau </w:t>
      </w:r>
      <w:r w:rsidR="004724CB">
        <w:rPr>
          <w:rFonts w:asciiTheme="majorBidi" w:hAnsiTheme="majorBidi" w:cstheme="majorBidi"/>
          <w:sz w:val="28"/>
          <w:szCs w:val="28"/>
        </w:rPr>
        <w:t xml:space="preserve"> 15</w:t>
      </w:r>
      <w:r w:rsidRPr="008F6999">
        <w:rPr>
          <w:rFonts w:asciiTheme="majorBidi" w:hAnsiTheme="majorBidi" w:cstheme="majorBidi"/>
          <w:sz w:val="28"/>
          <w:szCs w:val="28"/>
        </w:rPr>
        <w:t xml:space="preserve">). Pour ces  appréciations nous avons affecté des scores allant de 6 points pour l’appréciation assez bonne à 10 points pour l’appréciation très bonne soit un score moyen de 8 points. </w:t>
      </w: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4724CB" w:rsidRDefault="004724CB" w:rsidP="00C65E4A">
      <w:pPr>
        <w:spacing w:line="312" w:lineRule="auto"/>
        <w:jc w:val="center"/>
        <w:rPr>
          <w:rFonts w:asciiTheme="majorBidi" w:hAnsiTheme="majorBidi" w:cstheme="majorBidi"/>
          <w:b/>
          <w:bCs/>
          <w:sz w:val="28"/>
          <w:szCs w:val="28"/>
        </w:rPr>
      </w:pPr>
    </w:p>
    <w:p w:rsidR="000D3F35"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b/>
          <w:bCs/>
          <w:sz w:val="28"/>
          <w:szCs w:val="28"/>
        </w:rPr>
        <w:lastRenderedPageBreak/>
        <w:t>Tableau</w:t>
      </w:r>
      <w:r w:rsidR="00E1348A">
        <w:rPr>
          <w:rFonts w:asciiTheme="majorBidi" w:hAnsiTheme="majorBidi" w:cstheme="majorBidi"/>
          <w:b/>
          <w:bCs/>
          <w:sz w:val="28"/>
          <w:szCs w:val="28"/>
        </w:rPr>
        <w:t xml:space="preserve"> 1</w:t>
      </w:r>
      <w:r w:rsidR="00A90688">
        <w:rPr>
          <w:rFonts w:asciiTheme="majorBidi" w:hAnsiTheme="majorBidi" w:cstheme="majorBidi"/>
          <w:b/>
          <w:bCs/>
          <w:sz w:val="28"/>
          <w:szCs w:val="28"/>
        </w:rPr>
        <w:t>5</w:t>
      </w:r>
      <w:r w:rsidRPr="008F6999">
        <w:rPr>
          <w:rFonts w:asciiTheme="majorBidi" w:hAnsiTheme="majorBidi" w:cstheme="majorBidi"/>
          <w:b/>
          <w:bCs/>
          <w:sz w:val="28"/>
          <w:szCs w:val="28"/>
        </w:rPr>
        <w:t xml:space="preserve"> : </w:t>
      </w:r>
      <w:r w:rsidRPr="008F6999">
        <w:rPr>
          <w:rFonts w:asciiTheme="majorBidi" w:hAnsiTheme="majorBidi" w:cstheme="majorBidi"/>
          <w:sz w:val="28"/>
          <w:szCs w:val="28"/>
        </w:rPr>
        <w:t>Résultats des indicateurs de la durabilité économique</w:t>
      </w:r>
    </w:p>
    <w:p w:rsidR="000D3F35" w:rsidRPr="008F6999" w:rsidRDefault="000D3F35" w:rsidP="00C65E4A">
      <w:pPr>
        <w:spacing w:line="312" w:lineRule="auto"/>
        <w:jc w:val="center"/>
        <w:rPr>
          <w:rFonts w:asciiTheme="majorBidi" w:hAnsiTheme="majorBidi" w:cstheme="majorBidi"/>
          <w:b/>
          <w:bCs/>
          <w:color w:val="000000"/>
          <w:sz w:val="28"/>
          <w:szCs w:val="28"/>
        </w:rPr>
      </w:pPr>
      <w:r>
        <w:rPr>
          <w:rFonts w:asciiTheme="majorBidi" w:hAnsiTheme="majorBidi" w:cstheme="majorBidi"/>
          <w:sz w:val="28"/>
          <w:szCs w:val="28"/>
        </w:rPr>
        <w:t>(Indicateurs qualitatifs)</w:t>
      </w:r>
    </w:p>
    <w:tbl>
      <w:tblPr>
        <w:tblStyle w:val="Grilledutableau"/>
        <w:tblW w:w="0" w:type="auto"/>
        <w:tblLook w:val="04A0"/>
      </w:tblPr>
      <w:tblGrid>
        <w:gridCol w:w="1771"/>
        <w:gridCol w:w="1329"/>
        <w:gridCol w:w="1430"/>
        <w:gridCol w:w="1365"/>
        <w:gridCol w:w="1289"/>
        <w:gridCol w:w="1030"/>
        <w:gridCol w:w="1073"/>
      </w:tblGrid>
      <w:tr w:rsidR="000D3F35" w:rsidRPr="008F6999" w:rsidTr="00EA67A4">
        <w:tc>
          <w:tcPr>
            <w:tcW w:w="1549"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Appréciation / Indicateur</w:t>
            </w:r>
          </w:p>
        </w:tc>
        <w:tc>
          <w:tcPr>
            <w:tcW w:w="1394"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Très bonne</w:t>
            </w:r>
          </w:p>
        </w:tc>
        <w:tc>
          <w:tcPr>
            <w:tcW w:w="1193"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Bonne </w:t>
            </w:r>
          </w:p>
        </w:tc>
        <w:tc>
          <w:tcPr>
            <w:tcW w:w="1464"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Assez bonne </w:t>
            </w:r>
          </w:p>
        </w:tc>
        <w:tc>
          <w:tcPr>
            <w:tcW w:w="1171"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Moyenne </w:t>
            </w:r>
          </w:p>
        </w:tc>
        <w:tc>
          <w:tcPr>
            <w:tcW w:w="1136"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Faible </w:t>
            </w:r>
          </w:p>
        </w:tc>
        <w:tc>
          <w:tcPr>
            <w:tcW w:w="1276"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Très faible </w:t>
            </w:r>
          </w:p>
        </w:tc>
      </w:tr>
      <w:tr w:rsidR="000D3F35" w:rsidRPr="008F6999" w:rsidTr="00EA67A4">
        <w:tc>
          <w:tcPr>
            <w:tcW w:w="1549" w:type="dxa"/>
            <w:vMerge w:val="restart"/>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color w:val="000000"/>
                <w:sz w:val="28"/>
                <w:szCs w:val="28"/>
              </w:rPr>
              <w:t>Efficacité main d'œuvre</w:t>
            </w:r>
          </w:p>
        </w:tc>
        <w:tc>
          <w:tcPr>
            <w:tcW w:w="1394"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Belhaous</w:t>
            </w:r>
          </w:p>
        </w:tc>
        <w:tc>
          <w:tcPr>
            <w:tcW w:w="1193"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CoqHodna</w:t>
            </w:r>
          </w:p>
        </w:tc>
        <w:tc>
          <w:tcPr>
            <w:tcW w:w="1464"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ORAC</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tcPr>
          <w:p w:rsidR="000D3F35" w:rsidRPr="008F6999" w:rsidRDefault="000D3F35" w:rsidP="00C65E4A">
            <w:pPr>
              <w:autoSpaceDE w:val="0"/>
              <w:autoSpaceDN w:val="0"/>
              <w:adjustRightInd w:val="0"/>
              <w:spacing w:line="312" w:lineRule="auto"/>
              <w:rPr>
                <w:rFonts w:asciiTheme="majorBidi" w:hAnsiTheme="majorBidi" w:cstheme="majorBidi"/>
                <w:color w:val="000000"/>
                <w:sz w:val="28"/>
                <w:szCs w:val="28"/>
              </w:rPr>
            </w:pP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Lachache</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Frahtia</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Total </w:t>
            </w: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01</w:t>
            </w:r>
          </w:p>
        </w:tc>
        <w:tc>
          <w:tcPr>
            <w:tcW w:w="1193"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03</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01</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Pondération </w:t>
            </w: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10</w:t>
            </w:r>
          </w:p>
        </w:tc>
        <w:tc>
          <w:tcPr>
            <w:tcW w:w="1193"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8</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6</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val="restart"/>
          </w:tcPr>
          <w:p w:rsidR="000D3F35" w:rsidRPr="008F6999" w:rsidRDefault="000D3F35" w:rsidP="00C65E4A">
            <w:pPr>
              <w:autoSpaceDE w:val="0"/>
              <w:autoSpaceDN w:val="0"/>
              <w:adjustRightInd w:val="0"/>
              <w:spacing w:line="312" w:lineRule="auto"/>
              <w:rPr>
                <w:rFonts w:asciiTheme="majorBidi" w:hAnsiTheme="majorBidi" w:cstheme="majorBidi"/>
                <w:color w:val="000000"/>
                <w:sz w:val="28"/>
                <w:szCs w:val="28"/>
              </w:rPr>
            </w:pPr>
          </w:p>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color w:val="000000"/>
                <w:sz w:val="28"/>
                <w:szCs w:val="28"/>
              </w:rPr>
              <w:t>Indépendance technique</w:t>
            </w: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CoqHodna</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Belhaous</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Lachache</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sz w:val="28"/>
                <w:szCs w:val="28"/>
              </w:rPr>
              <w:t>Frahtia</w:t>
            </w:r>
          </w:p>
        </w:tc>
        <w:tc>
          <w:tcPr>
            <w:tcW w:w="1464"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     ORAC</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vMerge/>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Total</w:t>
            </w: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w:t>
            </w:r>
            <w:r>
              <w:rPr>
                <w:rFonts w:asciiTheme="majorBidi" w:hAnsiTheme="majorBidi" w:cstheme="majorBidi"/>
                <w:sz w:val="28"/>
                <w:szCs w:val="28"/>
              </w:rPr>
              <w:t>2</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02</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01</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0D3F35" w:rsidRPr="008F6999" w:rsidTr="00EA67A4">
        <w:tc>
          <w:tcPr>
            <w:tcW w:w="1549" w:type="dxa"/>
          </w:tcPr>
          <w:p w:rsidR="000D3F35" w:rsidRPr="008F6999" w:rsidRDefault="000D3F35" w:rsidP="00C65E4A">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Pondération </w:t>
            </w:r>
          </w:p>
        </w:tc>
        <w:tc>
          <w:tcPr>
            <w:tcW w:w="139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93"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7</w:t>
            </w:r>
          </w:p>
        </w:tc>
        <w:tc>
          <w:tcPr>
            <w:tcW w:w="1464"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6</w:t>
            </w:r>
          </w:p>
        </w:tc>
        <w:tc>
          <w:tcPr>
            <w:tcW w:w="1171"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4</w:t>
            </w:r>
          </w:p>
        </w:tc>
        <w:tc>
          <w:tcPr>
            <w:tcW w:w="113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0D3F35" w:rsidRPr="008F6999" w:rsidRDefault="000D3F35" w:rsidP="00C65E4A">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bl>
    <w:p w:rsidR="000D3F35" w:rsidRPr="008F6999" w:rsidRDefault="000D3F35" w:rsidP="00C65E4A">
      <w:pPr>
        <w:spacing w:line="312" w:lineRule="auto"/>
        <w:rPr>
          <w:rFonts w:asciiTheme="majorBidi" w:hAnsiTheme="majorBidi" w:cstheme="majorBidi"/>
          <w:b/>
          <w:bCs/>
          <w:color w:val="000000"/>
          <w:sz w:val="28"/>
          <w:szCs w:val="28"/>
        </w:rPr>
      </w:pP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En effet, ces résultats ne sont pas conformes avec ceux déduit par Kaci (2014) qui indique qu’au sein des entreprises de la filière avicole algérienne, le niveau de compétences managériales est moyen. Le bon niveau de l’efficacité de la main d’œuvre peut s’expliquer par l’ancienneté de ces exploitations qui offre plus d’expérience aux éleveurs et le paquet technologique (équipement de bâtiments …) mis à la disposition de ces éleveurs. La formation reçue par les chefs et les cadres de ces exploitations dans le domaine de l’élevage avicole (à l’étranger et en Algérie) contribue d’une manière directe dans la qualification du personnel. </w:t>
      </w:r>
    </w:p>
    <w:p w:rsidR="000D3F35" w:rsidRPr="008F6999" w:rsidRDefault="000D3F35" w:rsidP="00C65E4A">
      <w:pPr>
        <w:spacing w:line="312" w:lineRule="auto"/>
        <w:rPr>
          <w:rFonts w:asciiTheme="majorBidi" w:hAnsiTheme="majorBidi" w:cstheme="majorBidi"/>
          <w:sz w:val="28"/>
          <w:szCs w:val="28"/>
        </w:rPr>
      </w:pPr>
      <w:r w:rsidRPr="008F6999">
        <w:rPr>
          <w:rFonts w:asciiTheme="majorBidi" w:hAnsiTheme="majorBidi" w:cstheme="majorBidi"/>
          <w:b/>
          <w:bCs/>
          <w:color w:val="000000"/>
          <w:sz w:val="28"/>
          <w:szCs w:val="28"/>
        </w:rPr>
        <w:lastRenderedPageBreak/>
        <w:t>3.1.2.2. Indépendance technique</w:t>
      </w:r>
    </w:p>
    <w:p w:rsidR="000D3F35" w:rsidRPr="008F6999" w:rsidRDefault="000D3F35" w:rsidP="007E6B14">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L’indépendance technique a été estimée par l’évaluation des indicateurs qui concerne l’approvisionnement en matières premières de production et la commercialisation des produits avicoles. Dans la fonction approvisionnement on pose la question sur la disponibilité des matières premières dans l’exploitation et la régularité du temps d’approvisionnement. Les matières premières concernées dans l’approvisionnement sont l’aliment, l’équipement,  le matériel biologique</w:t>
      </w:r>
      <w:r w:rsidR="00E1348A">
        <w:rPr>
          <w:rFonts w:asciiTheme="majorBidi" w:hAnsiTheme="majorBidi" w:cstheme="majorBidi"/>
          <w:sz w:val="28"/>
          <w:szCs w:val="28"/>
        </w:rPr>
        <w:t xml:space="preserve"> </w:t>
      </w:r>
      <w:r w:rsidRPr="008F6999">
        <w:rPr>
          <w:rFonts w:asciiTheme="majorBidi" w:hAnsiTheme="majorBidi" w:cstheme="majorBidi"/>
          <w:sz w:val="28"/>
          <w:szCs w:val="28"/>
        </w:rPr>
        <w:t>et</w:t>
      </w:r>
      <w:r w:rsidR="00E1348A">
        <w:rPr>
          <w:rFonts w:asciiTheme="majorBidi" w:hAnsiTheme="majorBidi" w:cstheme="majorBidi"/>
          <w:sz w:val="28"/>
          <w:szCs w:val="28"/>
        </w:rPr>
        <w:t xml:space="preserve"> </w:t>
      </w:r>
      <w:r w:rsidRPr="008F6999">
        <w:rPr>
          <w:rFonts w:asciiTheme="majorBidi" w:hAnsiTheme="majorBidi" w:cstheme="majorBidi"/>
          <w:sz w:val="28"/>
          <w:szCs w:val="28"/>
        </w:rPr>
        <w:t>les produits vétérinaires. Dans la fonction commercialisation on s’intéresse aux points de vente  et à la compétitivité des prix.</w:t>
      </w:r>
    </w:p>
    <w:p w:rsidR="000D3F35" w:rsidRPr="008F6999" w:rsidRDefault="000D3F35" w:rsidP="007E6B14">
      <w:pPr>
        <w:spacing w:line="312" w:lineRule="auto"/>
        <w:ind w:firstLine="284"/>
        <w:jc w:val="both"/>
        <w:rPr>
          <w:rFonts w:asciiTheme="majorBidi" w:hAnsiTheme="majorBidi" w:cstheme="majorBidi"/>
          <w:sz w:val="28"/>
          <w:szCs w:val="28"/>
        </w:rPr>
      </w:pPr>
      <w:r w:rsidRPr="008F4695">
        <w:rPr>
          <w:rFonts w:asciiTheme="majorBidi" w:hAnsiTheme="majorBidi" w:cstheme="majorBidi"/>
          <w:sz w:val="28"/>
          <w:szCs w:val="28"/>
        </w:rPr>
        <w:t xml:space="preserve">A défaut de </w:t>
      </w:r>
      <w:r w:rsidRPr="008F6999">
        <w:rPr>
          <w:rFonts w:asciiTheme="majorBidi" w:hAnsiTheme="majorBidi" w:cstheme="majorBidi"/>
          <w:sz w:val="28"/>
          <w:szCs w:val="28"/>
        </w:rPr>
        <w:t>produire l’ensemble de ses besoins, il est toujours préférable de rechercher localement les facteurs de production (aliment, fumier…) qui sont manquant (Vilain, 2008).</w:t>
      </w:r>
    </w:p>
    <w:p w:rsidR="000D3F35" w:rsidRPr="008F6999" w:rsidRDefault="000D3F35" w:rsidP="007E6B14">
      <w:pPr>
        <w:spacing w:line="312" w:lineRule="auto"/>
        <w:ind w:firstLine="284"/>
        <w:jc w:val="both"/>
        <w:rPr>
          <w:rFonts w:asciiTheme="majorBidi" w:hAnsiTheme="majorBidi" w:cstheme="majorBidi"/>
          <w:sz w:val="28"/>
          <w:szCs w:val="28"/>
        </w:rPr>
      </w:pPr>
      <w:r w:rsidRPr="008F6999">
        <w:rPr>
          <w:rFonts w:asciiTheme="majorBidi" w:hAnsiTheme="majorBidi" w:cstheme="majorBidi"/>
          <w:color w:val="000000"/>
          <w:sz w:val="28"/>
          <w:szCs w:val="28"/>
        </w:rPr>
        <w:t>Le score d’indicateur « indépendance technique » le plus élevé enregistré dans les exploitations enquêtées est estimé à 7 points (Tableau</w:t>
      </w:r>
      <w:r w:rsidR="00B5759C">
        <w:rPr>
          <w:rFonts w:asciiTheme="majorBidi" w:hAnsiTheme="majorBidi" w:cstheme="majorBidi"/>
          <w:color w:val="000000"/>
          <w:sz w:val="28"/>
          <w:szCs w:val="28"/>
        </w:rPr>
        <w:t xml:space="preserve"> 15</w:t>
      </w:r>
      <w:r w:rsidRPr="008F6999">
        <w:rPr>
          <w:rFonts w:asciiTheme="majorBidi" w:hAnsiTheme="majorBidi" w:cstheme="majorBidi"/>
          <w:color w:val="000000"/>
          <w:sz w:val="28"/>
          <w:szCs w:val="28"/>
        </w:rPr>
        <w:t xml:space="preserve"> et figure</w:t>
      </w:r>
      <w:r w:rsidR="00B5759C">
        <w:rPr>
          <w:rFonts w:asciiTheme="majorBidi" w:hAnsiTheme="majorBidi" w:cstheme="majorBidi"/>
          <w:color w:val="000000"/>
          <w:sz w:val="28"/>
          <w:szCs w:val="28"/>
        </w:rPr>
        <w:t xml:space="preserve"> </w:t>
      </w:r>
      <w:r w:rsidR="004724CB">
        <w:rPr>
          <w:rFonts w:asciiTheme="majorBidi" w:hAnsiTheme="majorBidi" w:cstheme="majorBidi"/>
          <w:color w:val="000000"/>
          <w:sz w:val="28"/>
          <w:szCs w:val="28"/>
        </w:rPr>
        <w:t>5</w:t>
      </w:r>
      <w:r w:rsidR="004724CB" w:rsidRPr="008F6999">
        <w:rPr>
          <w:rFonts w:asciiTheme="majorBidi" w:hAnsiTheme="majorBidi" w:cstheme="majorBidi"/>
          <w:color w:val="000000"/>
          <w:sz w:val="28"/>
          <w:szCs w:val="28"/>
        </w:rPr>
        <w:t>)</w:t>
      </w:r>
      <w:r w:rsidRPr="008F6999">
        <w:rPr>
          <w:rFonts w:asciiTheme="majorBidi" w:hAnsiTheme="majorBidi" w:cstheme="majorBidi"/>
          <w:color w:val="000000"/>
          <w:sz w:val="28"/>
          <w:szCs w:val="28"/>
        </w:rPr>
        <w:t>. Ces exploitations (Coq Hodna et Frahtia) sont ceux qui s’auto-approvisionnent en poussin et en aliment car elles possèdent</w:t>
      </w:r>
      <w:r w:rsidR="00E1348A">
        <w:rPr>
          <w:rFonts w:asciiTheme="majorBidi" w:hAnsiTheme="majorBidi" w:cstheme="majorBidi"/>
          <w:color w:val="000000"/>
          <w:sz w:val="28"/>
          <w:szCs w:val="28"/>
        </w:rPr>
        <w:t xml:space="preserve"> </w:t>
      </w:r>
      <w:r w:rsidRPr="008F6999">
        <w:rPr>
          <w:rFonts w:asciiTheme="majorBidi" w:hAnsiTheme="majorBidi" w:cstheme="majorBidi"/>
          <w:color w:val="000000"/>
          <w:sz w:val="28"/>
          <w:szCs w:val="28"/>
        </w:rPr>
        <w:t xml:space="preserve">des unités de fabrication d’aiment avicole et des couvoirs. Par contre celles qui enregistrent un score de 6 points, elles disposent uniquement d’unités de fabrication d’aliment. L’exploitation qui est trop dépendante  techniquement ne possède pas la pluriactivité. </w:t>
      </w:r>
    </w:p>
    <w:p w:rsidR="000D3F35" w:rsidRPr="008F6999" w:rsidRDefault="000D3F35" w:rsidP="00C65E4A">
      <w:pPr>
        <w:spacing w:line="312" w:lineRule="auto"/>
        <w:jc w:val="center"/>
        <w:rPr>
          <w:rFonts w:asciiTheme="majorBidi" w:hAnsiTheme="majorBidi" w:cstheme="majorBidi"/>
          <w:sz w:val="28"/>
          <w:szCs w:val="28"/>
        </w:rPr>
      </w:pPr>
      <w:r w:rsidRPr="008F6999">
        <w:rPr>
          <w:rFonts w:asciiTheme="majorBidi" w:hAnsiTheme="majorBidi" w:cstheme="majorBidi"/>
          <w:noProof/>
          <w:sz w:val="28"/>
          <w:szCs w:val="28"/>
        </w:rPr>
        <w:drawing>
          <wp:inline distT="0" distB="0" distL="0" distR="0">
            <wp:extent cx="3352330" cy="2114412"/>
            <wp:effectExtent l="19050" t="0" r="19520" b="138"/>
            <wp:docPr id="13"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D3F35" w:rsidRPr="008F6999" w:rsidRDefault="000D3F35" w:rsidP="00C65E4A">
      <w:pPr>
        <w:spacing w:line="312" w:lineRule="auto"/>
        <w:rPr>
          <w:rFonts w:asciiTheme="majorBidi" w:hAnsiTheme="majorBidi" w:cstheme="majorBidi"/>
          <w:b/>
          <w:bCs/>
          <w:color w:val="000000"/>
          <w:sz w:val="28"/>
          <w:szCs w:val="28"/>
        </w:rPr>
      </w:pPr>
    </w:p>
    <w:p w:rsidR="00E1348A" w:rsidRDefault="00E1348A" w:rsidP="00C65E4A">
      <w:pPr>
        <w:spacing w:line="312" w:lineRule="auto"/>
        <w:rPr>
          <w:rFonts w:asciiTheme="majorBidi" w:hAnsiTheme="majorBidi" w:cstheme="majorBidi"/>
          <w:b/>
          <w:bCs/>
          <w:sz w:val="28"/>
          <w:szCs w:val="28"/>
        </w:rPr>
      </w:pPr>
    </w:p>
    <w:p w:rsidR="00E1348A" w:rsidRDefault="00E1348A" w:rsidP="00C65E4A">
      <w:pPr>
        <w:spacing w:line="312" w:lineRule="auto"/>
        <w:rPr>
          <w:rFonts w:asciiTheme="majorBidi" w:hAnsiTheme="majorBidi" w:cstheme="majorBidi"/>
          <w:b/>
          <w:bCs/>
          <w:sz w:val="28"/>
          <w:szCs w:val="28"/>
        </w:rPr>
      </w:pP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lastRenderedPageBreak/>
        <w:t xml:space="preserve">III.2. Indicateurs de flexibilité et d’adaptabilité  </w:t>
      </w:r>
    </w:p>
    <w:p w:rsidR="000D3F35" w:rsidRPr="008F6999" w:rsidRDefault="000D3F35" w:rsidP="00C65E4A">
      <w:pPr>
        <w:spacing w:line="312" w:lineRule="auto"/>
        <w:rPr>
          <w:rFonts w:asciiTheme="majorBidi" w:hAnsiTheme="majorBidi" w:cstheme="majorBidi"/>
          <w:b/>
          <w:bCs/>
          <w:sz w:val="28"/>
          <w:szCs w:val="28"/>
        </w:rPr>
      </w:pPr>
      <w:r w:rsidRPr="008F6999">
        <w:rPr>
          <w:rFonts w:asciiTheme="majorBidi" w:hAnsiTheme="majorBidi" w:cstheme="majorBidi"/>
          <w:b/>
          <w:bCs/>
          <w:sz w:val="28"/>
          <w:szCs w:val="28"/>
        </w:rPr>
        <w:t xml:space="preserve">3.2.1. Indicateurs quantitatifs </w:t>
      </w:r>
    </w:p>
    <w:p w:rsidR="000D3F35" w:rsidRPr="0088450B" w:rsidRDefault="000D3F35" w:rsidP="00C65E4A">
      <w:pPr>
        <w:spacing w:line="312" w:lineRule="auto"/>
        <w:rPr>
          <w:rFonts w:asciiTheme="majorBidi" w:hAnsiTheme="majorBidi" w:cstheme="majorBidi"/>
          <w:b/>
          <w:bCs/>
          <w:sz w:val="28"/>
          <w:szCs w:val="28"/>
        </w:rPr>
      </w:pPr>
      <w:r w:rsidRPr="0088450B">
        <w:rPr>
          <w:rFonts w:asciiTheme="majorBidi" w:hAnsiTheme="majorBidi" w:cstheme="majorBidi"/>
          <w:b/>
          <w:bCs/>
          <w:sz w:val="28"/>
          <w:szCs w:val="28"/>
        </w:rPr>
        <w:t xml:space="preserve">3.2.1.1. </w:t>
      </w:r>
      <w:r>
        <w:rPr>
          <w:rFonts w:asciiTheme="majorBidi" w:hAnsiTheme="majorBidi" w:cstheme="majorBidi"/>
          <w:b/>
          <w:bCs/>
          <w:sz w:val="28"/>
          <w:szCs w:val="28"/>
        </w:rPr>
        <w:t>Taux de s</w:t>
      </w:r>
      <w:r w:rsidRPr="0088450B">
        <w:rPr>
          <w:rFonts w:asciiTheme="majorBidi" w:hAnsiTheme="majorBidi" w:cstheme="majorBidi"/>
          <w:b/>
          <w:bCs/>
          <w:sz w:val="28"/>
          <w:szCs w:val="28"/>
        </w:rPr>
        <w:t>pécialisation économique</w:t>
      </w:r>
    </w:p>
    <w:p w:rsidR="000D3F35" w:rsidRPr="001D4ADB"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1D4ADB">
        <w:rPr>
          <w:rFonts w:asciiTheme="majorBidi" w:hAnsiTheme="majorBidi" w:cstheme="majorBidi"/>
          <w:sz w:val="28"/>
          <w:szCs w:val="28"/>
        </w:rPr>
        <w:t xml:space="preserve">Ce taux traduit le degré de spécialisation de la ferme; en effet, il s’agit de déterminer le pourcentage de produit brut de l’activité principale de l’exploitation par rapport au produit brut total réalisé par cette exploitation. </w:t>
      </w:r>
    </w:p>
    <w:p w:rsidR="000D3F35"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1D4ADB">
        <w:rPr>
          <w:rFonts w:asciiTheme="majorBidi" w:hAnsiTheme="majorBidi" w:cstheme="majorBidi"/>
          <w:sz w:val="28"/>
          <w:szCs w:val="28"/>
        </w:rPr>
        <w:t>Le taux de spécialisation pour les l’ensemble des exploitations varie de 60 à 100%. Le taux moyen est très élevé, il est estimé à 82 %. Pour ce taux nous avons affecté une note de 0 points (Tableau</w:t>
      </w:r>
      <w:r w:rsidR="00DF59B0">
        <w:rPr>
          <w:rFonts w:asciiTheme="majorBidi" w:hAnsiTheme="majorBidi" w:cstheme="majorBidi"/>
          <w:sz w:val="28"/>
          <w:szCs w:val="28"/>
        </w:rPr>
        <w:t xml:space="preserve"> </w:t>
      </w:r>
      <w:r w:rsidR="00B12F1F">
        <w:rPr>
          <w:rFonts w:asciiTheme="majorBidi" w:hAnsiTheme="majorBidi" w:cstheme="majorBidi"/>
          <w:sz w:val="28"/>
          <w:szCs w:val="28"/>
        </w:rPr>
        <w:t>16</w:t>
      </w:r>
      <w:r w:rsidR="00B12F1F" w:rsidRPr="001D4ADB">
        <w:rPr>
          <w:rFonts w:asciiTheme="majorBidi" w:hAnsiTheme="majorBidi" w:cstheme="majorBidi"/>
          <w:sz w:val="28"/>
          <w:szCs w:val="28"/>
        </w:rPr>
        <w:t>)</w:t>
      </w:r>
      <w:r w:rsidRPr="001D4ADB">
        <w:rPr>
          <w:rFonts w:asciiTheme="majorBidi" w:hAnsiTheme="majorBidi" w:cstheme="majorBidi"/>
          <w:sz w:val="28"/>
          <w:szCs w:val="28"/>
        </w:rPr>
        <w:t>. C’est ce qui dit que la diversification des pratiques est absente au sein de ces exploitations avicoles</w:t>
      </w:r>
      <w:r>
        <w:rPr>
          <w:rFonts w:asciiTheme="majorBidi" w:hAnsiTheme="majorBidi" w:cstheme="majorBidi"/>
          <w:sz w:val="28"/>
          <w:szCs w:val="28"/>
        </w:rPr>
        <w:t xml:space="preserve">.  </w:t>
      </w:r>
    </w:p>
    <w:p w:rsidR="000D3F35" w:rsidRPr="00675B7F" w:rsidRDefault="000D3F35" w:rsidP="00C65E4A">
      <w:pPr>
        <w:autoSpaceDE w:val="0"/>
        <w:autoSpaceDN w:val="0"/>
        <w:adjustRightInd w:val="0"/>
        <w:spacing w:line="312" w:lineRule="auto"/>
        <w:jc w:val="center"/>
        <w:rPr>
          <w:rFonts w:asciiTheme="majorBidi" w:hAnsiTheme="majorBidi" w:cstheme="majorBidi"/>
          <w:sz w:val="28"/>
          <w:szCs w:val="28"/>
        </w:rPr>
      </w:pPr>
      <w:bookmarkStart w:id="0" w:name="_GoBack"/>
      <w:bookmarkEnd w:id="0"/>
      <w:r w:rsidRPr="00675B7F">
        <w:rPr>
          <w:rFonts w:asciiTheme="majorBidi" w:hAnsiTheme="majorBidi" w:cstheme="majorBidi"/>
          <w:b/>
          <w:bCs/>
          <w:sz w:val="28"/>
          <w:szCs w:val="28"/>
        </w:rPr>
        <w:t>Tableau</w:t>
      </w:r>
      <w:r w:rsidR="00E1348A">
        <w:rPr>
          <w:rFonts w:asciiTheme="majorBidi" w:hAnsiTheme="majorBidi" w:cstheme="majorBidi"/>
          <w:b/>
          <w:bCs/>
          <w:sz w:val="28"/>
          <w:szCs w:val="28"/>
        </w:rPr>
        <w:t xml:space="preserve"> 1</w:t>
      </w:r>
      <w:r w:rsidR="00A90688">
        <w:rPr>
          <w:rFonts w:asciiTheme="majorBidi" w:hAnsiTheme="majorBidi" w:cstheme="majorBidi"/>
          <w:b/>
          <w:bCs/>
          <w:sz w:val="28"/>
          <w:szCs w:val="28"/>
        </w:rPr>
        <w:t xml:space="preserve">6 </w:t>
      </w:r>
      <w:r w:rsidR="00E1348A">
        <w:rPr>
          <w:rFonts w:asciiTheme="majorBidi" w:hAnsiTheme="majorBidi" w:cstheme="majorBidi"/>
          <w:b/>
          <w:bCs/>
          <w:sz w:val="28"/>
          <w:szCs w:val="28"/>
        </w:rPr>
        <w:t xml:space="preserve"> </w:t>
      </w:r>
      <w:r w:rsidRPr="00675B7F">
        <w:rPr>
          <w:rFonts w:asciiTheme="majorBidi" w:hAnsiTheme="majorBidi" w:cstheme="majorBidi"/>
          <w:sz w:val="28"/>
          <w:szCs w:val="28"/>
        </w:rPr>
        <w:t> </w:t>
      </w:r>
      <w:r w:rsidR="00DF59B0" w:rsidRPr="00675B7F">
        <w:rPr>
          <w:rFonts w:asciiTheme="majorBidi" w:hAnsiTheme="majorBidi" w:cstheme="majorBidi"/>
          <w:sz w:val="28"/>
          <w:szCs w:val="28"/>
        </w:rPr>
        <w:t>: Indicateurs</w:t>
      </w:r>
      <w:r w:rsidRPr="00675B7F">
        <w:rPr>
          <w:rFonts w:asciiTheme="majorBidi" w:hAnsiTheme="majorBidi" w:cstheme="majorBidi"/>
          <w:sz w:val="28"/>
          <w:szCs w:val="28"/>
        </w:rPr>
        <w:t xml:space="preserve"> de flexibilité et d’adaptabilité</w:t>
      </w:r>
    </w:p>
    <w:p w:rsidR="000D3F35" w:rsidRPr="00675B7F" w:rsidRDefault="000D3F35" w:rsidP="00C65E4A">
      <w:pPr>
        <w:autoSpaceDE w:val="0"/>
        <w:autoSpaceDN w:val="0"/>
        <w:adjustRightInd w:val="0"/>
        <w:spacing w:line="312" w:lineRule="auto"/>
        <w:jc w:val="center"/>
        <w:rPr>
          <w:rFonts w:asciiTheme="majorBidi" w:hAnsiTheme="majorBidi" w:cstheme="majorBidi"/>
          <w:sz w:val="28"/>
          <w:szCs w:val="28"/>
        </w:rPr>
      </w:pPr>
      <w:r w:rsidRPr="00675B7F">
        <w:rPr>
          <w:rFonts w:asciiTheme="majorBidi" w:hAnsiTheme="majorBidi" w:cstheme="majorBidi"/>
          <w:sz w:val="28"/>
          <w:szCs w:val="28"/>
        </w:rPr>
        <w:t>(Indicateurs quantitatifs)</w:t>
      </w:r>
    </w:p>
    <w:tbl>
      <w:tblPr>
        <w:tblStyle w:val="Grilledutableau"/>
        <w:tblW w:w="0" w:type="auto"/>
        <w:jc w:val="center"/>
        <w:tblInd w:w="-583" w:type="dxa"/>
        <w:tblLayout w:type="fixed"/>
        <w:tblLook w:val="04A0"/>
      </w:tblPr>
      <w:tblGrid>
        <w:gridCol w:w="1651"/>
        <w:gridCol w:w="1298"/>
        <w:gridCol w:w="1137"/>
        <w:gridCol w:w="834"/>
        <w:gridCol w:w="867"/>
        <w:gridCol w:w="1276"/>
        <w:gridCol w:w="851"/>
        <w:gridCol w:w="567"/>
        <w:gridCol w:w="825"/>
      </w:tblGrid>
      <w:tr w:rsidR="000D3F35" w:rsidRPr="00005581" w:rsidTr="00EA67A4">
        <w:trPr>
          <w:trHeight w:val="416"/>
          <w:jc w:val="center"/>
        </w:trPr>
        <w:tc>
          <w:tcPr>
            <w:tcW w:w="16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Critères</w:t>
            </w:r>
          </w:p>
        </w:tc>
        <w:tc>
          <w:tcPr>
            <w:tcW w:w="1298" w:type="dxa"/>
            <w:tcBorders>
              <w:left w:val="single" w:sz="4" w:space="0" w:color="auto"/>
              <w:bottom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Coq Hodna </w:t>
            </w:r>
          </w:p>
        </w:tc>
        <w:tc>
          <w:tcPr>
            <w:tcW w:w="1137" w:type="dxa"/>
            <w:tcBorders>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Belhaous</w:t>
            </w:r>
          </w:p>
        </w:tc>
        <w:tc>
          <w:tcPr>
            <w:tcW w:w="834" w:type="dxa"/>
            <w:tcBorders>
              <w:left w:val="single" w:sz="4" w:space="0" w:color="auto"/>
              <w:bottom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ORAC </w:t>
            </w:r>
          </w:p>
        </w:tc>
        <w:tc>
          <w:tcPr>
            <w:tcW w:w="867" w:type="dxa"/>
            <w:tcBorders>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Frahtia </w:t>
            </w:r>
          </w:p>
        </w:tc>
        <w:tc>
          <w:tcPr>
            <w:tcW w:w="1276" w:type="dxa"/>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Lachache </w:t>
            </w:r>
          </w:p>
        </w:tc>
        <w:tc>
          <w:tcPr>
            <w:tcW w:w="851" w:type="dxa"/>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Moy.</w:t>
            </w:r>
          </w:p>
        </w:tc>
        <w:tc>
          <w:tcPr>
            <w:tcW w:w="567" w:type="dxa"/>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ET  </w:t>
            </w:r>
          </w:p>
        </w:tc>
        <w:tc>
          <w:tcPr>
            <w:tcW w:w="825" w:type="dxa"/>
            <w:tcBorders>
              <w:left w:val="single" w:sz="4" w:space="0" w:color="auto"/>
              <w:bottom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CV%</w:t>
            </w:r>
          </w:p>
        </w:tc>
      </w:tr>
      <w:tr w:rsidR="000D3F35" w:rsidRPr="00005581" w:rsidTr="00EA67A4">
        <w:trPr>
          <w:trHeight w:val="350"/>
          <w:jc w:val="center"/>
        </w:trPr>
        <w:tc>
          <w:tcPr>
            <w:tcW w:w="1651" w:type="dxa"/>
            <w:vMerge w:val="restart"/>
            <w:tcBorders>
              <w:top w:val="single" w:sz="4" w:space="0" w:color="auto"/>
              <w:left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Spécialisation économique</w:t>
            </w: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90</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90</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100</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70</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60</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82</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p>
        </w:tc>
      </w:tr>
      <w:tr w:rsidR="000D3F35" w:rsidRPr="00005581" w:rsidTr="00EA67A4">
        <w:trPr>
          <w:trHeight w:val="425"/>
          <w:jc w:val="center"/>
        </w:trPr>
        <w:tc>
          <w:tcPr>
            <w:tcW w:w="1651" w:type="dxa"/>
            <w:vMerge/>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2pts</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2pts </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0.8</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p>
        </w:tc>
      </w:tr>
      <w:tr w:rsidR="000D3F35" w:rsidRPr="00005581" w:rsidTr="00EA67A4">
        <w:trPr>
          <w:trHeight w:val="440"/>
          <w:jc w:val="center"/>
        </w:trPr>
        <w:tc>
          <w:tcPr>
            <w:tcW w:w="1651" w:type="dxa"/>
            <w:vMerge w:val="restart"/>
            <w:tcBorders>
              <w:top w:val="single" w:sz="4" w:space="0" w:color="auto"/>
              <w:left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Sensibilité aux aides</w:t>
            </w: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5.16</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11</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3.23</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4.9</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151</w:t>
            </w:r>
          </w:p>
        </w:tc>
      </w:tr>
      <w:tr w:rsidR="000D3F35" w:rsidRPr="00005581" w:rsidTr="00EA67A4">
        <w:trPr>
          <w:trHeight w:val="440"/>
          <w:jc w:val="center"/>
        </w:trPr>
        <w:tc>
          <w:tcPr>
            <w:tcW w:w="1651" w:type="dxa"/>
            <w:vMerge/>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10pts </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10pts</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0pts</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0pts</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0pts</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4</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r>
      <w:tr w:rsidR="000D3F35" w:rsidRPr="00005581" w:rsidTr="00EA67A4">
        <w:trPr>
          <w:trHeight w:val="324"/>
          <w:jc w:val="center"/>
        </w:trPr>
        <w:tc>
          <w:tcPr>
            <w:tcW w:w="1651" w:type="dxa"/>
            <w:vMerge w:val="restart"/>
            <w:tcBorders>
              <w:top w:val="single" w:sz="4" w:space="0" w:color="auto"/>
              <w:left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 xml:space="preserve">Transmissibilité </w:t>
            </w:r>
          </w:p>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K€</w:t>
            </w: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4.527</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0.302</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10900</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45.5</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90.9</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2208.2</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sz w:val="20"/>
                <w:szCs w:val="20"/>
              </w:rPr>
              <w:t>4859</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220</w:t>
            </w:r>
          </w:p>
        </w:tc>
      </w:tr>
      <w:tr w:rsidR="000D3F35" w:rsidRPr="00005581" w:rsidTr="00EA67A4">
        <w:trPr>
          <w:trHeight w:val="318"/>
          <w:jc w:val="center"/>
        </w:trPr>
        <w:tc>
          <w:tcPr>
            <w:tcW w:w="1651" w:type="dxa"/>
            <w:vMerge/>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10pts </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10pts </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0pt </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10pts </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7pts </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7.4</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r>
      <w:tr w:rsidR="000D3F35" w:rsidRPr="00005581" w:rsidTr="00EA67A4">
        <w:trPr>
          <w:trHeight w:val="360"/>
          <w:jc w:val="center"/>
        </w:trPr>
        <w:tc>
          <w:tcPr>
            <w:tcW w:w="1651" w:type="dxa"/>
            <w:vMerge w:val="restart"/>
            <w:tcBorders>
              <w:top w:val="single" w:sz="4" w:space="0" w:color="auto"/>
              <w:left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r w:rsidRPr="00005581">
              <w:rPr>
                <w:rFonts w:asciiTheme="majorBidi" w:hAnsiTheme="majorBidi" w:cstheme="majorBidi"/>
              </w:rPr>
              <w:t>Autonomie financière (%)</w:t>
            </w: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10.8%</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1.44 %</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69.6%</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74.9%</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7%</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6</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5.5</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91.3</w:t>
            </w:r>
          </w:p>
        </w:tc>
      </w:tr>
      <w:tr w:rsidR="000D3F35" w:rsidRPr="00005581" w:rsidTr="00EA67A4">
        <w:trPr>
          <w:trHeight w:val="360"/>
          <w:jc w:val="center"/>
        </w:trPr>
        <w:tc>
          <w:tcPr>
            <w:tcW w:w="1651" w:type="dxa"/>
            <w:vMerge/>
            <w:tcBorders>
              <w:left w:val="single" w:sz="4" w:space="0" w:color="auto"/>
              <w:bottom w:val="single" w:sz="4" w:space="0" w:color="auto"/>
              <w:right w:val="single" w:sz="4" w:space="0" w:color="auto"/>
            </w:tcBorders>
          </w:tcPr>
          <w:p w:rsidR="000D3F35" w:rsidRPr="00005581" w:rsidRDefault="000D3F35" w:rsidP="00C65E4A">
            <w:pPr>
              <w:spacing w:line="312" w:lineRule="auto"/>
              <w:rPr>
                <w:rFonts w:asciiTheme="majorBidi" w:hAnsiTheme="majorBidi" w:cstheme="majorBidi"/>
              </w:rPr>
            </w:pPr>
          </w:p>
        </w:tc>
        <w:tc>
          <w:tcPr>
            <w:tcW w:w="1298"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 xml:space="preserve">10pts </w:t>
            </w:r>
          </w:p>
        </w:tc>
        <w:tc>
          <w:tcPr>
            <w:tcW w:w="113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10pts</w:t>
            </w:r>
          </w:p>
        </w:tc>
        <w:tc>
          <w:tcPr>
            <w:tcW w:w="834"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0pts</w:t>
            </w:r>
          </w:p>
        </w:tc>
        <w:tc>
          <w:tcPr>
            <w:tcW w:w="867" w:type="dxa"/>
            <w:tcBorders>
              <w:top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0pts</w:t>
            </w:r>
          </w:p>
        </w:tc>
        <w:tc>
          <w:tcPr>
            <w:tcW w:w="1276"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10pts</w:t>
            </w:r>
          </w:p>
        </w:tc>
        <w:tc>
          <w:tcPr>
            <w:tcW w:w="851"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6</w:t>
            </w:r>
          </w:p>
        </w:tc>
        <w:tc>
          <w:tcPr>
            <w:tcW w:w="567" w:type="dxa"/>
            <w:tcBorders>
              <w:top w:val="single" w:sz="4" w:space="0" w:color="auto"/>
              <w:left w:val="single" w:sz="4" w:space="0" w:color="auto"/>
              <w:bottom w:val="single" w:sz="4" w:space="0" w:color="auto"/>
              <w:right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c>
          <w:tcPr>
            <w:tcW w:w="825" w:type="dxa"/>
            <w:tcBorders>
              <w:top w:val="single" w:sz="4" w:space="0" w:color="auto"/>
              <w:left w:val="single" w:sz="4" w:space="0" w:color="auto"/>
              <w:bottom w:val="single" w:sz="4" w:space="0" w:color="auto"/>
            </w:tcBorders>
          </w:tcPr>
          <w:p w:rsidR="000D3F35" w:rsidRPr="00005581" w:rsidRDefault="000D3F35" w:rsidP="00C65E4A">
            <w:pPr>
              <w:spacing w:line="312" w:lineRule="auto"/>
              <w:jc w:val="center"/>
              <w:rPr>
                <w:rFonts w:asciiTheme="majorBidi" w:hAnsiTheme="majorBidi" w:cstheme="majorBidi"/>
              </w:rPr>
            </w:pPr>
            <w:r w:rsidRPr="00005581">
              <w:rPr>
                <w:rFonts w:asciiTheme="majorBidi" w:hAnsiTheme="majorBidi" w:cstheme="majorBidi"/>
              </w:rPr>
              <w:t>/</w:t>
            </w:r>
          </w:p>
        </w:tc>
      </w:tr>
    </w:tbl>
    <w:p w:rsidR="000D3F35" w:rsidRPr="008F6999" w:rsidRDefault="00E1348A" w:rsidP="007E6B14">
      <w:pPr>
        <w:spacing w:before="240" w:line="312"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t xml:space="preserve">  </w:t>
      </w:r>
      <w:r w:rsidR="000D3F35" w:rsidRPr="008F6999">
        <w:rPr>
          <w:rFonts w:asciiTheme="majorBidi" w:hAnsiTheme="majorBidi" w:cstheme="majorBidi"/>
          <w:b/>
          <w:bCs/>
          <w:color w:val="000000"/>
          <w:sz w:val="28"/>
          <w:szCs w:val="28"/>
        </w:rPr>
        <w:t xml:space="preserve">3.2.1.2.  Sensibilité aux aides  </w:t>
      </w:r>
    </w:p>
    <w:p w:rsidR="000D3F35" w:rsidRDefault="000D3F35" w:rsidP="007E6B14">
      <w:pPr>
        <w:spacing w:line="312" w:lineRule="auto"/>
        <w:ind w:firstLine="284"/>
        <w:jc w:val="both"/>
        <w:rPr>
          <w:rFonts w:asciiTheme="majorBidi" w:hAnsiTheme="majorBidi" w:cstheme="majorBidi"/>
          <w:color w:val="000000"/>
          <w:sz w:val="28"/>
          <w:szCs w:val="28"/>
        </w:rPr>
      </w:pPr>
      <w:r w:rsidRPr="00FC7CDF">
        <w:rPr>
          <w:rFonts w:asciiTheme="majorBidi" w:hAnsiTheme="majorBidi" w:cstheme="majorBidi"/>
          <w:color w:val="000000"/>
          <w:sz w:val="28"/>
          <w:szCs w:val="28"/>
        </w:rPr>
        <w:t xml:space="preserve">Les </w:t>
      </w:r>
      <w:r>
        <w:rPr>
          <w:rFonts w:asciiTheme="majorBidi" w:hAnsiTheme="majorBidi" w:cstheme="majorBidi"/>
          <w:color w:val="000000"/>
          <w:sz w:val="28"/>
          <w:szCs w:val="28"/>
        </w:rPr>
        <w:t xml:space="preserve">aides livrés aux exploitations avicoles sont sous forme de subventions étatiques à l’aménagement du bâtiment d’élevage. Uniquement deux sur cinq exploitations enquêtées ont reçu les aides étatiques. La part des aides reçus par rapport à l’excédent brut d’exploitation est faible, elle est de l’ordre de 5.16 et </w:t>
      </w:r>
      <w:r>
        <w:rPr>
          <w:rFonts w:asciiTheme="majorBidi" w:hAnsiTheme="majorBidi" w:cstheme="majorBidi"/>
          <w:color w:val="000000"/>
          <w:sz w:val="28"/>
          <w:szCs w:val="28"/>
        </w:rPr>
        <w:lastRenderedPageBreak/>
        <w:t>11 consécutivement pour l’exploitation Coq Hodna et Belhouas. Dans l’ensemble, la sensibilité aux aides se situe à des valeurs</w:t>
      </w:r>
      <w:r w:rsidR="00E1348A">
        <w:rPr>
          <w:rFonts w:asciiTheme="majorBidi" w:hAnsiTheme="majorBidi" w:cstheme="majorBidi"/>
          <w:color w:val="000000"/>
          <w:sz w:val="28"/>
          <w:szCs w:val="28"/>
        </w:rPr>
        <w:t xml:space="preserve"> </w:t>
      </w:r>
      <w:r>
        <w:rPr>
          <w:rFonts w:asciiTheme="majorBidi" w:hAnsiTheme="majorBidi" w:cstheme="majorBidi"/>
          <w:color w:val="000000"/>
          <w:sz w:val="28"/>
          <w:szCs w:val="28"/>
        </w:rPr>
        <w:t xml:space="preserve">inférieures à 20 % et de ce fait nous affectons un score égal à la valeur théorique maximale, 10 points. Les résultats de cet indicateur nous renseignent sur la situation de l’aviculture dans la wilaya de M’sila qui est indépendant des aides étatiques, c’est-à-dire qu’elle peut évoluer sans intervention de l’état dans la subvention de la filière avicole. </w:t>
      </w:r>
    </w:p>
    <w:p w:rsidR="000D3F35" w:rsidRPr="008F6999" w:rsidRDefault="000D3F35" w:rsidP="00C65E4A">
      <w:pPr>
        <w:spacing w:line="312" w:lineRule="auto"/>
        <w:rPr>
          <w:rFonts w:asciiTheme="majorBidi" w:hAnsiTheme="majorBidi" w:cstheme="majorBidi"/>
          <w:b/>
          <w:bCs/>
          <w:color w:val="000000"/>
          <w:sz w:val="28"/>
          <w:szCs w:val="28"/>
        </w:rPr>
      </w:pPr>
      <w:r w:rsidRPr="008F6999">
        <w:rPr>
          <w:rFonts w:asciiTheme="majorBidi" w:hAnsiTheme="majorBidi" w:cstheme="majorBidi"/>
          <w:b/>
          <w:bCs/>
          <w:color w:val="000000"/>
          <w:sz w:val="28"/>
          <w:szCs w:val="28"/>
        </w:rPr>
        <w:t>3.2.1.3.  Transmissibilité</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23B9F">
        <w:rPr>
          <w:rFonts w:asciiTheme="majorBidi" w:hAnsiTheme="majorBidi" w:cstheme="majorBidi"/>
          <w:sz w:val="28"/>
          <w:szCs w:val="28"/>
        </w:rPr>
        <w:t xml:space="preserve">La transmissibilité constitue un élément de l’analyse du long terme. En effet, la durabilité des systèmes agricoles provient aussi de leur capacité à perdurer d’une génération à l’autre. En cas de succession, l’importance des capitaux nécessaires au fonctionnement </w:t>
      </w:r>
      <w:r w:rsidRPr="008F6999">
        <w:rPr>
          <w:rFonts w:asciiTheme="majorBidi" w:hAnsiTheme="majorBidi" w:cstheme="majorBidi"/>
          <w:sz w:val="28"/>
          <w:szCs w:val="28"/>
        </w:rPr>
        <w:t>de l’exploitation et à sa reprise</w:t>
      </w:r>
      <w:r w:rsidR="00E1348A">
        <w:rPr>
          <w:rFonts w:asciiTheme="majorBidi" w:hAnsiTheme="majorBidi" w:cstheme="majorBidi"/>
          <w:sz w:val="28"/>
          <w:szCs w:val="28"/>
        </w:rPr>
        <w:t xml:space="preserve"> </w:t>
      </w:r>
      <w:r w:rsidRPr="008F6999">
        <w:rPr>
          <w:rFonts w:asciiTheme="majorBidi" w:hAnsiTheme="majorBidi" w:cstheme="majorBidi"/>
          <w:sz w:val="28"/>
          <w:szCs w:val="28"/>
        </w:rPr>
        <w:t>peut finalement conduire à son démantèlement.</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La transmissibilité économique d’une exploitation correspond à la possibilité de reprise de l’exploitation par une autre personne selon le principe que plus le capital de l’exploitation est élevé, plus la transmission sera difficile en cas de cessation d’activité (Bekhouche, 2011). </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A l’exception de l’exploitation ORAC qui inscrit un score d’indicateur de transmissibilité nul, le reste des exploitations</w:t>
      </w:r>
      <w:r w:rsidR="00E1348A">
        <w:rPr>
          <w:rFonts w:asciiTheme="majorBidi" w:hAnsiTheme="majorBidi" w:cstheme="majorBidi"/>
          <w:sz w:val="28"/>
          <w:szCs w:val="28"/>
        </w:rPr>
        <w:t xml:space="preserve"> </w:t>
      </w:r>
      <w:r w:rsidRPr="008F6999">
        <w:rPr>
          <w:rFonts w:asciiTheme="majorBidi" w:hAnsiTheme="majorBidi" w:cstheme="majorBidi"/>
          <w:sz w:val="28"/>
          <w:szCs w:val="28"/>
        </w:rPr>
        <w:t>enregistre un</w:t>
      </w:r>
      <w:r w:rsidR="00E1348A">
        <w:rPr>
          <w:rFonts w:asciiTheme="majorBidi" w:hAnsiTheme="majorBidi" w:cstheme="majorBidi"/>
          <w:sz w:val="28"/>
          <w:szCs w:val="28"/>
        </w:rPr>
        <w:t xml:space="preserve"> </w:t>
      </w:r>
      <w:r w:rsidRPr="008F6999">
        <w:rPr>
          <w:rFonts w:asciiTheme="majorBidi" w:hAnsiTheme="majorBidi" w:cstheme="majorBidi"/>
          <w:sz w:val="28"/>
          <w:szCs w:val="28"/>
        </w:rPr>
        <w:t>très bon score avec des valeurs qui varient de 10 à 7 points par rapport au score maximum théorique (10 points) (Figure</w:t>
      </w:r>
      <w:r w:rsidR="00B5759C">
        <w:rPr>
          <w:rFonts w:asciiTheme="majorBidi" w:hAnsiTheme="majorBidi" w:cstheme="majorBidi"/>
          <w:sz w:val="28"/>
          <w:szCs w:val="28"/>
        </w:rPr>
        <w:t xml:space="preserve"> </w:t>
      </w:r>
      <w:r w:rsidR="00B12F1F">
        <w:rPr>
          <w:rFonts w:asciiTheme="majorBidi" w:hAnsiTheme="majorBidi" w:cstheme="majorBidi"/>
          <w:sz w:val="28"/>
          <w:szCs w:val="28"/>
        </w:rPr>
        <w:t>6</w:t>
      </w:r>
      <w:r w:rsidR="00B12F1F" w:rsidRPr="008F6999">
        <w:rPr>
          <w:rFonts w:asciiTheme="majorBidi" w:hAnsiTheme="majorBidi" w:cstheme="majorBidi"/>
          <w:sz w:val="28"/>
          <w:szCs w:val="28"/>
        </w:rPr>
        <w:t>)</w:t>
      </w:r>
      <w:r w:rsidRPr="008F6999">
        <w:rPr>
          <w:rFonts w:asciiTheme="majorBidi" w:hAnsiTheme="majorBidi" w:cstheme="majorBidi"/>
          <w:sz w:val="28"/>
          <w:szCs w:val="28"/>
        </w:rPr>
        <w:t xml:space="preserve">. </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Les scores maximums sont obtenus par les exploitations qui ont des traditions dans l’élevage avicole (Coq Hodna, Belhouas et Frahtia).</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Laa</w:t>
      </w:r>
      <w:r>
        <w:rPr>
          <w:rFonts w:asciiTheme="majorBidi" w:hAnsiTheme="majorBidi" w:cstheme="majorBidi"/>
          <w:sz w:val="28"/>
          <w:szCs w:val="28"/>
        </w:rPr>
        <w:t>j</w:t>
      </w:r>
      <w:r w:rsidRPr="008F6999">
        <w:rPr>
          <w:rFonts w:asciiTheme="majorBidi" w:hAnsiTheme="majorBidi" w:cstheme="majorBidi"/>
          <w:sz w:val="28"/>
          <w:szCs w:val="28"/>
        </w:rPr>
        <w:t>imi et Nasr (2009), indiquent que la transmissibilité de l’exploitation ne résulte pas uniquement des considérations d’ordre économique. C’est pourquoi cet indicateur met davantage l’accent sur la stratégie de succession.</w:t>
      </w:r>
      <w:r w:rsidR="00B12F1F">
        <w:rPr>
          <w:rFonts w:asciiTheme="majorBidi" w:hAnsiTheme="majorBidi" w:cstheme="majorBidi"/>
          <w:sz w:val="28"/>
          <w:szCs w:val="28"/>
        </w:rPr>
        <w:t xml:space="preserve"> </w:t>
      </w:r>
      <w:r w:rsidRPr="008F6999">
        <w:rPr>
          <w:rFonts w:asciiTheme="majorBidi" w:hAnsiTheme="majorBidi" w:cstheme="majorBidi"/>
          <w:sz w:val="28"/>
          <w:szCs w:val="28"/>
        </w:rPr>
        <w:t>La méthode IDEA attribue la valeur maximale (3 points) à cet indicateur si l’existence de l’exploitation est quasi-certaine dans au moins dix ans.</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 xml:space="preserve">Le score nul obtenu par l’exploitation ORAC est lié à son capital très important. </w:t>
      </w:r>
    </w:p>
    <w:p w:rsidR="000D3F35" w:rsidRPr="008F6999" w:rsidRDefault="000D3F35" w:rsidP="007E6B14">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lastRenderedPageBreak/>
        <w:t>En cas de succession, l’importance des capitaux nécessaires au fonctionnement de l’exploitation et à sa reprise peut finalement conduire à son démantèlement (M’hamdi et al, 2008).</w:t>
      </w:r>
    </w:p>
    <w:p w:rsidR="000D3F35" w:rsidRPr="008F6999" w:rsidRDefault="000D3F35" w:rsidP="00C65E4A">
      <w:pPr>
        <w:autoSpaceDE w:val="0"/>
        <w:autoSpaceDN w:val="0"/>
        <w:adjustRightInd w:val="0"/>
        <w:spacing w:line="312" w:lineRule="auto"/>
        <w:jc w:val="both"/>
        <w:rPr>
          <w:rFonts w:asciiTheme="majorBidi" w:hAnsiTheme="majorBidi" w:cstheme="majorBidi"/>
          <w:sz w:val="28"/>
          <w:szCs w:val="28"/>
        </w:rPr>
      </w:pPr>
      <w:r w:rsidRPr="008F6999">
        <w:rPr>
          <w:rFonts w:asciiTheme="majorBidi" w:hAnsiTheme="majorBidi" w:cstheme="majorBidi"/>
          <w:noProof/>
          <w:sz w:val="28"/>
          <w:szCs w:val="28"/>
        </w:rPr>
        <w:drawing>
          <wp:anchor distT="0" distB="0" distL="114300" distR="114300" simplePos="0" relativeHeight="251659264" behindDoc="0" locked="0" layoutInCell="1" allowOverlap="1">
            <wp:simplePos x="0" y="0"/>
            <wp:positionH relativeFrom="column">
              <wp:posOffset>976630</wp:posOffset>
            </wp:positionH>
            <wp:positionV relativeFrom="paragraph">
              <wp:posOffset>173355</wp:posOffset>
            </wp:positionV>
            <wp:extent cx="4380865" cy="2369820"/>
            <wp:effectExtent l="19050" t="0" r="19685" b="0"/>
            <wp:wrapSquare wrapText="bothSides"/>
            <wp:docPr id="14"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7E6B14" w:rsidRDefault="000D3F35" w:rsidP="007E6B14">
      <w:pPr>
        <w:autoSpaceDE w:val="0"/>
        <w:autoSpaceDN w:val="0"/>
        <w:adjustRightInd w:val="0"/>
        <w:spacing w:line="312" w:lineRule="auto"/>
        <w:rPr>
          <w:rFonts w:asciiTheme="majorBidi" w:hAnsiTheme="majorBidi" w:cstheme="majorBidi"/>
          <w:b/>
          <w:bCs/>
          <w:color w:val="000000"/>
          <w:sz w:val="28"/>
          <w:szCs w:val="28"/>
        </w:rPr>
      </w:pPr>
      <w:r w:rsidRPr="008F6999">
        <w:rPr>
          <w:rFonts w:asciiTheme="majorBidi" w:hAnsiTheme="majorBidi" w:cstheme="majorBidi"/>
          <w:b/>
          <w:bCs/>
          <w:color w:val="000000"/>
          <w:sz w:val="28"/>
          <w:szCs w:val="28"/>
        </w:rPr>
        <w:br w:type="textWrapping" w:clear="all"/>
      </w:r>
    </w:p>
    <w:p w:rsidR="000D3F35" w:rsidRDefault="000D3F35" w:rsidP="007E6B14">
      <w:pPr>
        <w:autoSpaceDE w:val="0"/>
        <w:autoSpaceDN w:val="0"/>
        <w:adjustRightInd w:val="0"/>
        <w:spacing w:line="312" w:lineRule="auto"/>
        <w:rPr>
          <w:rFonts w:asciiTheme="majorBidi" w:hAnsiTheme="majorBidi" w:cstheme="majorBidi"/>
          <w:b/>
          <w:bCs/>
          <w:color w:val="FF0000"/>
          <w:sz w:val="28"/>
          <w:szCs w:val="28"/>
        </w:rPr>
      </w:pPr>
      <w:r w:rsidRPr="008F6999">
        <w:rPr>
          <w:rFonts w:asciiTheme="majorBidi" w:hAnsiTheme="majorBidi" w:cstheme="majorBidi"/>
          <w:b/>
          <w:bCs/>
          <w:color w:val="000000"/>
          <w:sz w:val="28"/>
          <w:szCs w:val="28"/>
        </w:rPr>
        <w:t>3.2.1.4.  Autonomie financière </w:t>
      </w:r>
    </w:p>
    <w:p w:rsidR="000D3F35" w:rsidRPr="008F6999"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La recherche d’une autonomie importante</w:t>
      </w:r>
      <w:r w:rsidR="00E1348A">
        <w:rPr>
          <w:rFonts w:asciiTheme="majorBidi" w:hAnsiTheme="majorBidi" w:cstheme="majorBidi"/>
          <w:sz w:val="28"/>
          <w:szCs w:val="28"/>
        </w:rPr>
        <w:t xml:space="preserve"> </w:t>
      </w:r>
      <w:r w:rsidRPr="008F6999">
        <w:rPr>
          <w:rFonts w:asciiTheme="majorBidi" w:hAnsiTheme="majorBidi" w:cstheme="majorBidi"/>
          <w:sz w:val="28"/>
          <w:szCs w:val="28"/>
        </w:rPr>
        <w:t>est l’un des objectifs de l’agriculture durable. Elle nous</w:t>
      </w:r>
      <w:r w:rsidR="00E1348A">
        <w:rPr>
          <w:rFonts w:asciiTheme="majorBidi" w:hAnsiTheme="majorBidi" w:cstheme="majorBidi"/>
          <w:sz w:val="28"/>
          <w:szCs w:val="28"/>
        </w:rPr>
        <w:t xml:space="preserve"> </w:t>
      </w:r>
      <w:r w:rsidRPr="008F6999">
        <w:rPr>
          <w:rFonts w:asciiTheme="majorBidi" w:hAnsiTheme="majorBidi" w:cstheme="majorBidi"/>
          <w:sz w:val="28"/>
          <w:szCs w:val="28"/>
        </w:rPr>
        <w:t>renseigne sur les dettes vis-à-vis des fournisseurs et des</w:t>
      </w:r>
    </w:p>
    <w:p w:rsidR="000D3F35" w:rsidRDefault="000D3F35" w:rsidP="007E6B14">
      <w:pPr>
        <w:spacing w:line="312" w:lineRule="auto"/>
        <w:ind w:firstLine="284"/>
        <w:jc w:val="both"/>
        <w:rPr>
          <w:rFonts w:asciiTheme="majorBidi" w:hAnsiTheme="majorBidi" w:cstheme="majorBidi"/>
          <w:sz w:val="28"/>
          <w:szCs w:val="28"/>
        </w:rPr>
      </w:pPr>
      <w:r w:rsidRPr="008F6999">
        <w:rPr>
          <w:rFonts w:asciiTheme="majorBidi" w:hAnsiTheme="majorBidi" w:cstheme="majorBidi"/>
          <w:sz w:val="28"/>
          <w:szCs w:val="28"/>
        </w:rPr>
        <w:t>Banques; par conséquent, plus ces dettes sont faibles, plus</w:t>
      </w:r>
      <w:r w:rsidR="00E1348A">
        <w:rPr>
          <w:rFonts w:asciiTheme="majorBidi" w:hAnsiTheme="majorBidi" w:cstheme="majorBidi"/>
          <w:sz w:val="28"/>
          <w:szCs w:val="28"/>
        </w:rPr>
        <w:t xml:space="preserve"> </w:t>
      </w:r>
      <w:r w:rsidRPr="008F6999">
        <w:rPr>
          <w:rFonts w:asciiTheme="majorBidi" w:hAnsiTheme="majorBidi" w:cstheme="majorBidi"/>
          <w:sz w:val="28"/>
          <w:szCs w:val="28"/>
        </w:rPr>
        <w:t>l’exploitation est indépendante et donc, l’autonomie est</w:t>
      </w:r>
      <w:r w:rsidR="00E1348A">
        <w:rPr>
          <w:rFonts w:asciiTheme="majorBidi" w:hAnsiTheme="majorBidi" w:cstheme="majorBidi"/>
          <w:sz w:val="28"/>
          <w:szCs w:val="28"/>
        </w:rPr>
        <w:t xml:space="preserve"> </w:t>
      </w:r>
      <w:r w:rsidRPr="008F6999">
        <w:rPr>
          <w:rFonts w:asciiTheme="majorBidi" w:hAnsiTheme="majorBidi" w:cstheme="majorBidi"/>
          <w:sz w:val="28"/>
          <w:szCs w:val="28"/>
        </w:rPr>
        <w:t>élevée</w:t>
      </w:r>
      <w:r>
        <w:rPr>
          <w:rFonts w:asciiTheme="majorBidi" w:hAnsiTheme="majorBidi" w:cstheme="majorBidi"/>
          <w:sz w:val="28"/>
          <w:szCs w:val="28"/>
        </w:rPr>
        <w:t xml:space="preserve"> (Lajimi et Nasr, 2009)</w:t>
      </w:r>
      <w:r w:rsidRPr="008F6999">
        <w:rPr>
          <w:rFonts w:asciiTheme="majorBidi" w:hAnsiTheme="majorBidi" w:cstheme="majorBidi"/>
          <w:sz w:val="28"/>
          <w:szCs w:val="28"/>
        </w:rPr>
        <w:t xml:space="preserve">. </w:t>
      </w:r>
    </w:p>
    <w:p w:rsidR="000D3F35" w:rsidRDefault="000D3F35" w:rsidP="007E6B14">
      <w:pPr>
        <w:spacing w:line="312" w:lineRule="auto"/>
        <w:ind w:firstLine="284"/>
        <w:jc w:val="both"/>
        <w:rPr>
          <w:rFonts w:asciiTheme="majorBidi" w:hAnsiTheme="majorBidi" w:cstheme="majorBidi"/>
          <w:sz w:val="28"/>
          <w:szCs w:val="28"/>
        </w:rPr>
      </w:pPr>
      <w:r>
        <w:rPr>
          <w:rFonts w:asciiTheme="majorBidi" w:hAnsiTheme="majorBidi" w:cstheme="majorBidi"/>
          <w:sz w:val="28"/>
          <w:szCs w:val="28"/>
        </w:rPr>
        <w:t>Dans notre cas d’étude, la dépendance financière varie de 1.44 % à 74.9 %. Les scores affectés sont de 10 points pour les exploitations qui ont une dépendance financière inférieur à 20 % (Coq Hodna, Belhouas et Lachache) (Tableau</w:t>
      </w:r>
      <w:r w:rsidR="00B12F1F">
        <w:rPr>
          <w:rFonts w:asciiTheme="majorBidi" w:hAnsiTheme="majorBidi" w:cstheme="majorBidi"/>
          <w:sz w:val="28"/>
          <w:szCs w:val="28"/>
        </w:rPr>
        <w:t xml:space="preserve"> 16 </w:t>
      </w:r>
      <w:r>
        <w:rPr>
          <w:rFonts w:asciiTheme="majorBidi" w:hAnsiTheme="majorBidi" w:cstheme="majorBidi"/>
          <w:sz w:val="28"/>
          <w:szCs w:val="28"/>
        </w:rPr>
        <w:t>et figure</w:t>
      </w:r>
      <w:r w:rsidR="00B5759C">
        <w:rPr>
          <w:rFonts w:asciiTheme="majorBidi" w:hAnsiTheme="majorBidi" w:cstheme="majorBidi"/>
          <w:sz w:val="28"/>
          <w:szCs w:val="28"/>
        </w:rPr>
        <w:t xml:space="preserve"> </w:t>
      </w:r>
      <w:r w:rsidR="00B12F1F">
        <w:rPr>
          <w:rFonts w:asciiTheme="majorBidi" w:hAnsiTheme="majorBidi" w:cstheme="majorBidi"/>
          <w:sz w:val="28"/>
          <w:szCs w:val="28"/>
        </w:rPr>
        <w:t>7)</w:t>
      </w:r>
      <w:r>
        <w:rPr>
          <w:rFonts w:asciiTheme="majorBidi" w:hAnsiTheme="majorBidi" w:cstheme="majorBidi"/>
          <w:sz w:val="28"/>
          <w:szCs w:val="28"/>
        </w:rPr>
        <w:t>. Ces exploitations sont autonomes et solvables ; elles ne trouvent aucune difficulté pour le remboursement de leurs investissements et leurs crédits. Par contre, l’ORAC et Frahtia (0 point de durabilité) sont dépendante financièrement des banques et des fournisseurs et peuvent mettre en difficulté leurs exploitations.</w:t>
      </w:r>
    </w:p>
    <w:p w:rsidR="000D3F35" w:rsidRDefault="000D3F35" w:rsidP="007E6B14">
      <w:pPr>
        <w:spacing w:line="312" w:lineRule="auto"/>
        <w:ind w:firstLine="284"/>
        <w:rPr>
          <w:rFonts w:asciiTheme="majorBidi" w:hAnsiTheme="majorBidi" w:cstheme="majorBidi"/>
          <w:sz w:val="28"/>
          <w:szCs w:val="28"/>
        </w:rPr>
      </w:pPr>
    </w:p>
    <w:p w:rsidR="000D3F35" w:rsidRPr="008F6999" w:rsidRDefault="000D3F35" w:rsidP="00D702CB">
      <w:pPr>
        <w:spacing w:line="312" w:lineRule="auto"/>
        <w:rPr>
          <w:rFonts w:asciiTheme="majorBidi" w:hAnsiTheme="majorBidi" w:cstheme="majorBidi"/>
          <w:b/>
          <w:bCs/>
          <w:sz w:val="28"/>
          <w:szCs w:val="28"/>
        </w:rPr>
      </w:pPr>
      <w:r>
        <w:rPr>
          <w:noProof/>
        </w:rPr>
        <w:lastRenderedPageBreak/>
        <w:drawing>
          <wp:anchor distT="0" distB="0" distL="114300" distR="114300" simplePos="0" relativeHeight="251662336" behindDoc="0" locked="0" layoutInCell="1" allowOverlap="1">
            <wp:simplePos x="0" y="0"/>
            <wp:positionH relativeFrom="column">
              <wp:posOffset>1352550</wp:posOffset>
            </wp:positionH>
            <wp:positionV relativeFrom="paragraph">
              <wp:align>top</wp:align>
            </wp:positionV>
            <wp:extent cx="3727450" cy="2560320"/>
            <wp:effectExtent l="19050" t="0" r="25400" b="0"/>
            <wp:wrapSquare wrapText="bothSides"/>
            <wp:docPr id="15"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D702CB">
        <w:rPr>
          <w:rFonts w:asciiTheme="majorBidi" w:hAnsiTheme="majorBidi" w:cstheme="majorBidi"/>
          <w:b/>
          <w:bCs/>
          <w:sz w:val="28"/>
          <w:szCs w:val="28"/>
        </w:rPr>
        <w:br w:type="textWrapping" w:clear="all"/>
      </w:r>
    </w:p>
    <w:p w:rsidR="000D3F35" w:rsidRPr="008F6999" w:rsidRDefault="00374753" w:rsidP="00C65E4A">
      <w:pPr>
        <w:spacing w:line="312" w:lineRule="auto"/>
        <w:rPr>
          <w:rFonts w:asciiTheme="majorBidi" w:hAnsiTheme="majorBidi" w:cstheme="majorBidi"/>
          <w:b/>
          <w:bCs/>
          <w:sz w:val="28"/>
          <w:szCs w:val="28"/>
        </w:rPr>
      </w:pPr>
      <w:r>
        <w:rPr>
          <w:rFonts w:asciiTheme="majorBidi" w:hAnsiTheme="majorBidi" w:cstheme="majorBidi"/>
          <w:b/>
          <w:bCs/>
          <w:sz w:val="28"/>
          <w:szCs w:val="28"/>
        </w:rPr>
        <w:t>3.2.2</w:t>
      </w:r>
      <w:r w:rsidR="000D3F35" w:rsidRPr="008F6999">
        <w:rPr>
          <w:rFonts w:asciiTheme="majorBidi" w:hAnsiTheme="majorBidi" w:cstheme="majorBidi"/>
          <w:b/>
          <w:bCs/>
          <w:sz w:val="28"/>
          <w:szCs w:val="28"/>
        </w:rPr>
        <w:t xml:space="preserve">. Indicateurs qualitatifs </w:t>
      </w:r>
    </w:p>
    <w:p w:rsidR="000D3F35" w:rsidRPr="008F6999" w:rsidRDefault="00374753" w:rsidP="00C65E4A">
      <w:pPr>
        <w:spacing w:line="312"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t>3.2.2</w:t>
      </w:r>
      <w:r w:rsidR="000D3F35" w:rsidRPr="008F6999">
        <w:rPr>
          <w:rFonts w:asciiTheme="majorBidi" w:hAnsiTheme="majorBidi" w:cstheme="majorBidi"/>
          <w:b/>
          <w:bCs/>
          <w:color w:val="000000"/>
          <w:sz w:val="28"/>
          <w:szCs w:val="28"/>
        </w:rPr>
        <w:t>.1.  Polyvalence de l’outil de production</w:t>
      </w:r>
    </w:p>
    <w:p w:rsidR="000D3F35" w:rsidRPr="008F6999" w:rsidRDefault="000D3F35" w:rsidP="007E6B14">
      <w:pPr>
        <w:spacing w:line="312" w:lineRule="auto"/>
        <w:ind w:firstLine="284"/>
        <w:jc w:val="both"/>
        <w:rPr>
          <w:rFonts w:asciiTheme="majorBidi" w:hAnsiTheme="majorBidi" w:cstheme="majorBidi"/>
          <w:color w:val="111111"/>
          <w:spacing w:val="6"/>
          <w:sz w:val="28"/>
          <w:szCs w:val="28"/>
          <w:shd w:val="clear" w:color="auto" w:fill="FFFFFF"/>
        </w:rPr>
      </w:pPr>
      <w:r w:rsidRPr="008F6999">
        <w:rPr>
          <w:rFonts w:asciiTheme="majorBidi" w:hAnsiTheme="majorBidi" w:cstheme="majorBidi"/>
          <w:color w:val="111111"/>
          <w:spacing w:val="6"/>
          <w:sz w:val="28"/>
          <w:szCs w:val="28"/>
          <w:shd w:val="clear" w:color="auto" w:fill="FFFFFF"/>
        </w:rPr>
        <w:t>La polyvalence permet  à une entreprise d'être plus efficace en augmentant la compétence et la flexibilité de l'organisation. Pour l’évaluation de cet indicateur nous avons met l’accent sur la diversification de l’usage des outils de production tels que :</w:t>
      </w:r>
    </w:p>
    <w:p w:rsidR="000D3F35" w:rsidRPr="008F6999" w:rsidRDefault="000D3F35" w:rsidP="00C65E4A">
      <w:pPr>
        <w:pStyle w:val="Paragraphedeliste"/>
        <w:numPr>
          <w:ilvl w:val="0"/>
          <w:numId w:val="9"/>
        </w:numPr>
        <w:spacing w:line="312" w:lineRule="auto"/>
        <w:jc w:val="both"/>
        <w:rPr>
          <w:rFonts w:asciiTheme="majorBidi" w:hAnsiTheme="majorBidi" w:cstheme="majorBidi"/>
          <w:color w:val="111111"/>
          <w:spacing w:val="6"/>
          <w:sz w:val="28"/>
          <w:szCs w:val="28"/>
          <w:shd w:val="clear" w:color="auto" w:fill="FFFFFF"/>
        </w:rPr>
      </w:pPr>
      <w:r w:rsidRPr="008F6999">
        <w:rPr>
          <w:rFonts w:asciiTheme="majorBidi" w:hAnsiTheme="majorBidi" w:cstheme="majorBidi"/>
          <w:color w:val="111111"/>
          <w:spacing w:val="6"/>
          <w:sz w:val="28"/>
          <w:szCs w:val="28"/>
          <w:shd w:val="clear" w:color="auto" w:fill="FFFFFF"/>
        </w:rPr>
        <w:t xml:space="preserve">bâtiment d’élevage : 4 points  </w:t>
      </w:r>
    </w:p>
    <w:p w:rsidR="000D3F35" w:rsidRPr="008F6999" w:rsidRDefault="000D3F35" w:rsidP="00C65E4A">
      <w:pPr>
        <w:pStyle w:val="Paragraphedeliste"/>
        <w:numPr>
          <w:ilvl w:val="0"/>
          <w:numId w:val="9"/>
        </w:numPr>
        <w:spacing w:line="312" w:lineRule="auto"/>
        <w:jc w:val="both"/>
        <w:rPr>
          <w:rFonts w:asciiTheme="majorBidi" w:hAnsiTheme="majorBidi" w:cstheme="majorBidi"/>
          <w:color w:val="111111"/>
          <w:spacing w:val="6"/>
          <w:sz w:val="28"/>
          <w:szCs w:val="28"/>
          <w:shd w:val="clear" w:color="auto" w:fill="FFFFFF"/>
        </w:rPr>
      </w:pPr>
      <w:r w:rsidRPr="008F6999">
        <w:rPr>
          <w:rFonts w:asciiTheme="majorBidi" w:hAnsiTheme="majorBidi" w:cstheme="majorBidi"/>
          <w:color w:val="111111"/>
          <w:spacing w:val="6"/>
          <w:sz w:val="28"/>
          <w:szCs w:val="28"/>
          <w:shd w:val="clear" w:color="auto" w:fill="FFFFFF"/>
        </w:rPr>
        <w:t>équipements des bâtiments : 2 points</w:t>
      </w:r>
    </w:p>
    <w:p w:rsidR="000D3F35" w:rsidRPr="008F6999" w:rsidRDefault="000D3F35" w:rsidP="00C65E4A">
      <w:pPr>
        <w:pStyle w:val="Paragraphedeliste"/>
        <w:numPr>
          <w:ilvl w:val="0"/>
          <w:numId w:val="9"/>
        </w:numPr>
        <w:spacing w:line="312" w:lineRule="auto"/>
        <w:jc w:val="both"/>
        <w:rPr>
          <w:rFonts w:asciiTheme="majorBidi" w:hAnsiTheme="majorBidi" w:cstheme="majorBidi"/>
          <w:color w:val="111111"/>
          <w:spacing w:val="6"/>
          <w:sz w:val="28"/>
          <w:szCs w:val="28"/>
          <w:shd w:val="clear" w:color="auto" w:fill="FFFFFF"/>
        </w:rPr>
      </w:pPr>
      <w:r w:rsidRPr="008F6999">
        <w:rPr>
          <w:rFonts w:asciiTheme="majorBidi" w:hAnsiTheme="majorBidi" w:cstheme="majorBidi"/>
          <w:color w:val="111111"/>
          <w:spacing w:val="6"/>
          <w:sz w:val="28"/>
          <w:szCs w:val="28"/>
          <w:shd w:val="clear" w:color="auto" w:fill="FFFFFF"/>
        </w:rPr>
        <w:t>moyens de transport : 2 points</w:t>
      </w:r>
    </w:p>
    <w:p w:rsidR="000D3F35" w:rsidRPr="008F6999" w:rsidRDefault="000D3F35" w:rsidP="00C65E4A">
      <w:pPr>
        <w:pStyle w:val="Paragraphedeliste"/>
        <w:numPr>
          <w:ilvl w:val="0"/>
          <w:numId w:val="9"/>
        </w:numPr>
        <w:spacing w:line="312" w:lineRule="auto"/>
        <w:jc w:val="both"/>
        <w:rPr>
          <w:rFonts w:asciiTheme="majorBidi" w:hAnsiTheme="majorBidi" w:cstheme="majorBidi"/>
          <w:color w:val="111111"/>
          <w:spacing w:val="6"/>
          <w:sz w:val="28"/>
          <w:szCs w:val="28"/>
          <w:shd w:val="clear" w:color="auto" w:fill="FFFFFF"/>
        </w:rPr>
      </w:pPr>
      <w:r w:rsidRPr="008F6999">
        <w:rPr>
          <w:rFonts w:asciiTheme="majorBidi" w:hAnsiTheme="majorBidi" w:cstheme="majorBidi"/>
          <w:color w:val="111111"/>
          <w:spacing w:val="6"/>
          <w:sz w:val="28"/>
          <w:szCs w:val="28"/>
          <w:shd w:val="clear" w:color="auto" w:fill="FFFFFF"/>
        </w:rPr>
        <w:t xml:space="preserve">machines (tracteurs…) : 2 ponts </w:t>
      </w:r>
    </w:p>
    <w:p w:rsidR="000D3F35" w:rsidRDefault="000D3F35" w:rsidP="007E6B14">
      <w:pPr>
        <w:spacing w:line="312" w:lineRule="auto"/>
        <w:ind w:firstLine="284"/>
        <w:jc w:val="both"/>
        <w:rPr>
          <w:rFonts w:asciiTheme="majorBidi" w:hAnsiTheme="majorBidi" w:cstheme="majorBidi"/>
          <w:color w:val="000000"/>
          <w:sz w:val="28"/>
          <w:szCs w:val="28"/>
        </w:rPr>
      </w:pPr>
      <w:r w:rsidRPr="008F6999">
        <w:rPr>
          <w:rFonts w:asciiTheme="majorBidi" w:hAnsiTheme="majorBidi" w:cstheme="majorBidi"/>
          <w:color w:val="000000"/>
          <w:sz w:val="28"/>
          <w:szCs w:val="28"/>
        </w:rPr>
        <w:t>Il ressort du tableau</w:t>
      </w:r>
      <w:r w:rsidR="008B2D7F">
        <w:rPr>
          <w:rFonts w:asciiTheme="majorBidi" w:hAnsiTheme="majorBidi" w:cstheme="majorBidi"/>
          <w:color w:val="000000"/>
          <w:sz w:val="28"/>
          <w:szCs w:val="28"/>
        </w:rPr>
        <w:t xml:space="preserve"> 17</w:t>
      </w:r>
      <w:r w:rsidRPr="008F6999">
        <w:rPr>
          <w:rFonts w:asciiTheme="majorBidi" w:hAnsiTheme="majorBidi" w:cstheme="majorBidi"/>
          <w:color w:val="000000"/>
          <w:sz w:val="28"/>
          <w:szCs w:val="28"/>
        </w:rPr>
        <w:t xml:space="preserve"> présenté ci-dessous que l’appréciation donnée à l’indicateur polyvalence de l’outil de production varie de bonne à assez bonne. Pour les exploitations classées bonne nous avons attribué une note de 8 points et pour celles qui sont classées assez bonnes une note de 6 points (Tableau </w:t>
      </w:r>
      <w:r w:rsidR="008B2D7F">
        <w:rPr>
          <w:rFonts w:asciiTheme="majorBidi" w:hAnsiTheme="majorBidi" w:cstheme="majorBidi"/>
          <w:color w:val="000000"/>
          <w:sz w:val="28"/>
          <w:szCs w:val="28"/>
        </w:rPr>
        <w:t xml:space="preserve"> 17</w:t>
      </w:r>
      <w:r w:rsidRPr="008F6999">
        <w:rPr>
          <w:rFonts w:asciiTheme="majorBidi" w:hAnsiTheme="majorBidi" w:cstheme="majorBidi"/>
          <w:color w:val="000000"/>
          <w:sz w:val="28"/>
          <w:szCs w:val="28"/>
        </w:rPr>
        <w:t xml:space="preserve">). </w:t>
      </w:r>
    </w:p>
    <w:p w:rsidR="000D3F35" w:rsidRDefault="000D3F35" w:rsidP="00C65E4A">
      <w:pPr>
        <w:spacing w:line="312" w:lineRule="auto"/>
        <w:jc w:val="both"/>
        <w:rPr>
          <w:rFonts w:asciiTheme="majorBidi" w:hAnsiTheme="majorBidi" w:cstheme="majorBidi"/>
          <w:color w:val="000000"/>
          <w:sz w:val="28"/>
          <w:szCs w:val="28"/>
        </w:rPr>
      </w:pPr>
    </w:p>
    <w:p w:rsidR="00E1348A" w:rsidRDefault="00E1348A" w:rsidP="00C65E4A">
      <w:pPr>
        <w:spacing w:line="312" w:lineRule="auto"/>
        <w:jc w:val="center"/>
        <w:rPr>
          <w:rFonts w:asciiTheme="majorBidi" w:hAnsiTheme="majorBidi" w:cstheme="majorBidi"/>
          <w:b/>
          <w:bCs/>
          <w:color w:val="000000"/>
          <w:sz w:val="28"/>
          <w:szCs w:val="28"/>
        </w:rPr>
      </w:pPr>
    </w:p>
    <w:p w:rsidR="00E1348A" w:rsidRDefault="00E1348A" w:rsidP="00C65E4A">
      <w:pPr>
        <w:spacing w:line="312" w:lineRule="auto"/>
        <w:jc w:val="center"/>
        <w:rPr>
          <w:rFonts w:asciiTheme="majorBidi" w:hAnsiTheme="majorBidi" w:cstheme="majorBidi"/>
          <w:b/>
          <w:bCs/>
          <w:color w:val="000000"/>
          <w:sz w:val="28"/>
          <w:szCs w:val="28"/>
        </w:rPr>
      </w:pPr>
    </w:p>
    <w:p w:rsidR="00E1348A" w:rsidRDefault="00E1348A" w:rsidP="00C65E4A">
      <w:pPr>
        <w:spacing w:line="312" w:lineRule="auto"/>
        <w:jc w:val="center"/>
        <w:rPr>
          <w:rFonts w:asciiTheme="majorBidi" w:hAnsiTheme="majorBidi" w:cstheme="majorBidi"/>
          <w:b/>
          <w:bCs/>
          <w:color w:val="000000"/>
          <w:sz w:val="28"/>
          <w:szCs w:val="28"/>
        </w:rPr>
      </w:pPr>
    </w:p>
    <w:p w:rsidR="00E1348A" w:rsidRDefault="00E1348A" w:rsidP="00C65E4A">
      <w:pPr>
        <w:spacing w:line="312" w:lineRule="auto"/>
        <w:jc w:val="center"/>
        <w:rPr>
          <w:rFonts w:asciiTheme="majorBidi" w:hAnsiTheme="majorBidi" w:cstheme="majorBidi"/>
          <w:b/>
          <w:bCs/>
          <w:color w:val="000000"/>
          <w:sz w:val="28"/>
          <w:szCs w:val="28"/>
        </w:rPr>
      </w:pPr>
    </w:p>
    <w:p w:rsidR="000D3F35" w:rsidRPr="00D730F0" w:rsidRDefault="000D3F35" w:rsidP="00C65E4A">
      <w:pPr>
        <w:spacing w:line="312" w:lineRule="auto"/>
        <w:jc w:val="center"/>
        <w:rPr>
          <w:rFonts w:asciiTheme="majorBidi" w:hAnsiTheme="majorBidi" w:cstheme="majorBidi"/>
          <w:sz w:val="28"/>
          <w:szCs w:val="28"/>
        </w:rPr>
      </w:pPr>
      <w:r w:rsidRPr="00675B7F">
        <w:rPr>
          <w:rFonts w:asciiTheme="majorBidi" w:hAnsiTheme="majorBidi" w:cstheme="majorBidi"/>
          <w:b/>
          <w:bCs/>
          <w:color w:val="000000"/>
          <w:sz w:val="28"/>
          <w:szCs w:val="28"/>
        </w:rPr>
        <w:t>Tableau</w:t>
      </w:r>
      <w:r w:rsidR="00E1348A">
        <w:rPr>
          <w:rFonts w:asciiTheme="majorBidi" w:hAnsiTheme="majorBidi" w:cstheme="majorBidi"/>
          <w:b/>
          <w:bCs/>
          <w:color w:val="000000"/>
          <w:sz w:val="28"/>
          <w:szCs w:val="28"/>
        </w:rPr>
        <w:t xml:space="preserve"> </w:t>
      </w:r>
      <w:r w:rsidR="00B12F1F">
        <w:rPr>
          <w:rFonts w:asciiTheme="majorBidi" w:hAnsiTheme="majorBidi" w:cstheme="majorBidi"/>
          <w:b/>
          <w:bCs/>
          <w:color w:val="000000"/>
          <w:sz w:val="28"/>
          <w:szCs w:val="28"/>
        </w:rPr>
        <w:t xml:space="preserve">17 </w:t>
      </w:r>
      <w:r w:rsidR="00B12F1F">
        <w:rPr>
          <w:rFonts w:asciiTheme="majorBidi" w:hAnsiTheme="majorBidi" w:cstheme="majorBidi"/>
          <w:color w:val="000000"/>
          <w:sz w:val="28"/>
          <w:szCs w:val="28"/>
        </w:rPr>
        <w:t>: Résultats</w:t>
      </w:r>
      <w:r>
        <w:rPr>
          <w:rFonts w:asciiTheme="majorBidi" w:hAnsiTheme="majorBidi" w:cstheme="majorBidi"/>
          <w:color w:val="000000"/>
          <w:sz w:val="28"/>
          <w:szCs w:val="28"/>
        </w:rPr>
        <w:t xml:space="preserve"> des indicate</w:t>
      </w:r>
      <w:r w:rsidRPr="00D730F0">
        <w:rPr>
          <w:rFonts w:asciiTheme="majorBidi" w:hAnsiTheme="majorBidi" w:cstheme="majorBidi"/>
          <w:color w:val="000000"/>
          <w:sz w:val="28"/>
          <w:szCs w:val="28"/>
        </w:rPr>
        <w:t xml:space="preserve">urs de </w:t>
      </w:r>
      <w:r w:rsidRPr="00D730F0">
        <w:rPr>
          <w:rFonts w:asciiTheme="majorBidi" w:hAnsiTheme="majorBidi" w:cstheme="majorBidi"/>
          <w:sz w:val="28"/>
          <w:szCs w:val="28"/>
        </w:rPr>
        <w:t>flexibilité et d’adaptabilité</w:t>
      </w:r>
    </w:p>
    <w:p w:rsidR="000D3F35" w:rsidRPr="008F6999" w:rsidRDefault="000D3F35" w:rsidP="00C65E4A">
      <w:pPr>
        <w:spacing w:line="312" w:lineRule="auto"/>
        <w:jc w:val="center"/>
        <w:rPr>
          <w:rFonts w:asciiTheme="majorBidi" w:hAnsiTheme="majorBidi" w:cstheme="majorBidi"/>
          <w:sz w:val="28"/>
          <w:szCs w:val="28"/>
        </w:rPr>
      </w:pPr>
      <w:r w:rsidRPr="00D730F0">
        <w:rPr>
          <w:rFonts w:asciiTheme="majorBidi" w:hAnsiTheme="majorBidi" w:cstheme="majorBidi"/>
          <w:sz w:val="28"/>
          <w:szCs w:val="28"/>
        </w:rPr>
        <w:t>(Indicateurs qualitatifs)</w:t>
      </w:r>
      <w:r>
        <w:rPr>
          <w:rFonts w:asciiTheme="majorBidi" w:hAnsiTheme="majorBidi" w:cstheme="majorBidi"/>
          <w:sz w:val="28"/>
          <w:szCs w:val="28"/>
        </w:rPr>
        <w:t>.</w:t>
      </w:r>
    </w:p>
    <w:tbl>
      <w:tblPr>
        <w:tblStyle w:val="Grilledutableau"/>
        <w:tblW w:w="0" w:type="auto"/>
        <w:tblInd w:w="108" w:type="dxa"/>
        <w:tblLook w:val="04A0"/>
      </w:tblPr>
      <w:tblGrid>
        <w:gridCol w:w="1586"/>
        <w:gridCol w:w="1311"/>
        <w:gridCol w:w="1315"/>
        <w:gridCol w:w="1506"/>
        <w:gridCol w:w="1274"/>
        <w:gridCol w:w="916"/>
        <w:gridCol w:w="1271"/>
      </w:tblGrid>
      <w:tr w:rsidR="00D702CB" w:rsidRPr="008F6999" w:rsidTr="004E75F7">
        <w:tc>
          <w:tcPr>
            <w:tcW w:w="138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Indicateur </w:t>
            </w:r>
          </w:p>
        </w:tc>
        <w:tc>
          <w:tcPr>
            <w:tcW w:w="1316"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Très bonne</w:t>
            </w:r>
          </w:p>
        </w:tc>
        <w:tc>
          <w:tcPr>
            <w:tcW w:w="1316"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Bonne </w:t>
            </w:r>
          </w:p>
        </w:tc>
        <w:tc>
          <w:tcPr>
            <w:tcW w:w="150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Assez bonne </w:t>
            </w:r>
          </w:p>
        </w:tc>
        <w:tc>
          <w:tcPr>
            <w:tcW w:w="1123"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Moyenne </w:t>
            </w:r>
          </w:p>
        </w:tc>
        <w:tc>
          <w:tcPr>
            <w:tcW w:w="826"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Faible </w:t>
            </w:r>
          </w:p>
        </w:tc>
        <w:tc>
          <w:tcPr>
            <w:tcW w:w="1276"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Très faible </w:t>
            </w:r>
          </w:p>
        </w:tc>
      </w:tr>
      <w:tr w:rsidR="00D702CB" w:rsidRPr="008F6999" w:rsidTr="004E75F7">
        <w:tc>
          <w:tcPr>
            <w:tcW w:w="1389" w:type="dxa"/>
            <w:vMerge w:val="restart"/>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color w:val="000000"/>
                <w:sz w:val="28"/>
                <w:szCs w:val="28"/>
              </w:rPr>
              <w:t>Polyvalence de l’outil de production</w:t>
            </w: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316" w:type="dxa"/>
          </w:tcPr>
          <w:p w:rsidR="00D702CB" w:rsidRPr="008F6999" w:rsidRDefault="00D702CB" w:rsidP="004E75F7">
            <w:pPr>
              <w:spacing w:line="312" w:lineRule="auto"/>
              <w:rPr>
                <w:rFonts w:asciiTheme="majorBidi" w:hAnsiTheme="majorBidi" w:cstheme="majorBidi"/>
                <w:sz w:val="28"/>
                <w:szCs w:val="28"/>
              </w:rPr>
            </w:pPr>
            <w:r w:rsidRPr="008F6999">
              <w:rPr>
                <w:rFonts w:asciiTheme="majorBidi" w:hAnsiTheme="majorBidi" w:cstheme="majorBidi"/>
                <w:sz w:val="28"/>
                <w:szCs w:val="28"/>
              </w:rPr>
              <w:t>Coq Hodna</w:t>
            </w:r>
          </w:p>
        </w:tc>
        <w:tc>
          <w:tcPr>
            <w:tcW w:w="150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ORAC</w:t>
            </w:r>
          </w:p>
        </w:tc>
        <w:tc>
          <w:tcPr>
            <w:tcW w:w="1123"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82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D702CB" w:rsidRPr="008F6999" w:rsidTr="004E75F7">
        <w:tc>
          <w:tcPr>
            <w:tcW w:w="1389" w:type="dxa"/>
            <w:vMerge/>
          </w:tcPr>
          <w:p w:rsidR="00D702CB" w:rsidRPr="008F6999" w:rsidRDefault="00D702CB" w:rsidP="004E75F7">
            <w:pPr>
              <w:autoSpaceDE w:val="0"/>
              <w:autoSpaceDN w:val="0"/>
              <w:adjustRightInd w:val="0"/>
              <w:spacing w:line="312" w:lineRule="auto"/>
              <w:rPr>
                <w:rFonts w:asciiTheme="majorBidi" w:hAnsiTheme="majorBidi" w:cstheme="majorBidi"/>
                <w:color w:val="000000"/>
                <w:sz w:val="28"/>
                <w:szCs w:val="28"/>
              </w:rPr>
            </w:pP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316" w:type="dxa"/>
          </w:tcPr>
          <w:p w:rsidR="00D702CB" w:rsidRPr="008F6999" w:rsidRDefault="00D702CB" w:rsidP="004E75F7">
            <w:pPr>
              <w:spacing w:line="312" w:lineRule="auto"/>
              <w:rPr>
                <w:rFonts w:asciiTheme="majorBidi" w:hAnsiTheme="majorBidi" w:cstheme="majorBidi"/>
                <w:sz w:val="28"/>
                <w:szCs w:val="28"/>
              </w:rPr>
            </w:pPr>
            <w:r w:rsidRPr="008F6999">
              <w:rPr>
                <w:rFonts w:asciiTheme="majorBidi" w:hAnsiTheme="majorBidi" w:cstheme="majorBidi"/>
                <w:sz w:val="28"/>
                <w:szCs w:val="28"/>
              </w:rPr>
              <w:t>Belhouas</w:t>
            </w:r>
          </w:p>
        </w:tc>
        <w:tc>
          <w:tcPr>
            <w:tcW w:w="150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Lachache</w:t>
            </w:r>
          </w:p>
        </w:tc>
        <w:tc>
          <w:tcPr>
            <w:tcW w:w="1123"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82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D702CB" w:rsidRPr="008F6999" w:rsidTr="004E75F7">
        <w:tc>
          <w:tcPr>
            <w:tcW w:w="1389" w:type="dxa"/>
            <w:vMerge/>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316"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Frahtia</w:t>
            </w:r>
          </w:p>
        </w:tc>
        <w:tc>
          <w:tcPr>
            <w:tcW w:w="1509"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123"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82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D702CB" w:rsidRPr="008F6999" w:rsidTr="004E75F7">
        <w:tc>
          <w:tcPr>
            <w:tcW w:w="138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Total </w:t>
            </w: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3</w:t>
            </w:r>
          </w:p>
        </w:tc>
        <w:tc>
          <w:tcPr>
            <w:tcW w:w="1509"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2</w:t>
            </w:r>
          </w:p>
        </w:tc>
        <w:tc>
          <w:tcPr>
            <w:tcW w:w="1123"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82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r w:rsidR="00D702CB" w:rsidRPr="008F6999" w:rsidTr="004E75F7">
        <w:tc>
          <w:tcPr>
            <w:tcW w:w="1389" w:type="dxa"/>
          </w:tcPr>
          <w:p w:rsidR="00D702CB" w:rsidRPr="008F6999" w:rsidRDefault="00D702CB" w:rsidP="004E75F7">
            <w:pPr>
              <w:autoSpaceDE w:val="0"/>
              <w:autoSpaceDN w:val="0"/>
              <w:adjustRightInd w:val="0"/>
              <w:spacing w:line="312" w:lineRule="auto"/>
              <w:rPr>
                <w:rFonts w:asciiTheme="majorBidi" w:hAnsiTheme="majorBidi" w:cstheme="majorBidi"/>
                <w:sz w:val="28"/>
                <w:szCs w:val="28"/>
              </w:rPr>
            </w:pPr>
            <w:r w:rsidRPr="008F6999">
              <w:rPr>
                <w:rFonts w:asciiTheme="majorBidi" w:hAnsiTheme="majorBidi" w:cstheme="majorBidi"/>
                <w:sz w:val="28"/>
                <w:szCs w:val="28"/>
              </w:rPr>
              <w:t xml:space="preserve">Pondération </w:t>
            </w: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31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8</w:t>
            </w:r>
          </w:p>
        </w:tc>
        <w:tc>
          <w:tcPr>
            <w:tcW w:w="1509"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6</w:t>
            </w:r>
          </w:p>
        </w:tc>
        <w:tc>
          <w:tcPr>
            <w:tcW w:w="1123"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82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c>
          <w:tcPr>
            <w:tcW w:w="1276" w:type="dxa"/>
          </w:tcPr>
          <w:p w:rsidR="00D702CB" w:rsidRPr="008F6999" w:rsidRDefault="00D702CB" w:rsidP="004E75F7">
            <w:pPr>
              <w:autoSpaceDE w:val="0"/>
              <w:autoSpaceDN w:val="0"/>
              <w:adjustRightInd w:val="0"/>
              <w:spacing w:line="312" w:lineRule="auto"/>
              <w:jc w:val="center"/>
              <w:rPr>
                <w:rFonts w:asciiTheme="majorBidi" w:hAnsiTheme="majorBidi" w:cstheme="majorBidi"/>
                <w:sz w:val="28"/>
                <w:szCs w:val="28"/>
              </w:rPr>
            </w:pPr>
            <w:r w:rsidRPr="008F6999">
              <w:rPr>
                <w:rFonts w:asciiTheme="majorBidi" w:hAnsiTheme="majorBidi" w:cstheme="majorBidi"/>
                <w:sz w:val="28"/>
                <w:szCs w:val="28"/>
              </w:rPr>
              <w:t>/</w:t>
            </w:r>
          </w:p>
        </w:tc>
      </w:tr>
    </w:tbl>
    <w:p w:rsidR="000D3F35" w:rsidRPr="008F6999" w:rsidRDefault="000D3F35" w:rsidP="00C65E4A">
      <w:pPr>
        <w:autoSpaceDE w:val="0"/>
        <w:autoSpaceDN w:val="0"/>
        <w:adjustRightInd w:val="0"/>
        <w:spacing w:line="312" w:lineRule="auto"/>
        <w:rPr>
          <w:rFonts w:asciiTheme="majorBidi" w:hAnsiTheme="majorBidi" w:cstheme="majorBidi"/>
          <w:b/>
          <w:bCs/>
          <w:sz w:val="28"/>
          <w:szCs w:val="28"/>
        </w:rPr>
      </w:pPr>
    </w:p>
    <w:p w:rsidR="000D3F35" w:rsidRPr="00BC64DE" w:rsidRDefault="000D3F35" w:rsidP="00C65E4A">
      <w:pPr>
        <w:autoSpaceDE w:val="0"/>
        <w:autoSpaceDN w:val="0"/>
        <w:adjustRightInd w:val="0"/>
        <w:spacing w:line="312" w:lineRule="auto"/>
        <w:rPr>
          <w:rFonts w:asciiTheme="majorBidi" w:hAnsiTheme="majorBidi" w:cstheme="majorBidi"/>
          <w:b/>
          <w:bCs/>
          <w:sz w:val="28"/>
          <w:szCs w:val="28"/>
        </w:rPr>
      </w:pPr>
      <w:r w:rsidRPr="00BC64DE">
        <w:rPr>
          <w:rFonts w:asciiTheme="majorBidi" w:hAnsiTheme="majorBidi" w:cstheme="majorBidi"/>
          <w:b/>
          <w:bCs/>
          <w:sz w:val="28"/>
          <w:szCs w:val="28"/>
        </w:rPr>
        <w:t xml:space="preserve">III.3. Durabilité totale des exploitations avicoles </w:t>
      </w:r>
    </w:p>
    <w:p w:rsidR="000D3F35" w:rsidRDefault="000D3F35" w:rsidP="007E6B14">
      <w:pPr>
        <w:autoSpaceDE w:val="0"/>
        <w:autoSpaceDN w:val="0"/>
        <w:adjustRightInd w:val="0"/>
        <w:spacing w:line="312" w:lineRule="auto"/>
        <w:ind w:firstLine="284"/>
        <w:rPr>
          <w:rFonts w:asciiTheme="majorBidi" w:hAnsiTheme="majorBidi" w:cstheme="majorBidi"/>
          <w:sz w:val="28"/>
          <w:szCs w:val="28"/>
        </w:rPr>
      </w:pPr>
      <w:r w:rsidRPr="00BC64DE">
        <w:rPr>
          <w:rFonts w:asciiTheme="majorBidi" w:hAnsiTheme="majorBidi" w:cstheme="majorBidi"/>
          <w:sz w:val="28"/>
          <w:szCs w:val="28"/>
        </w:rPr>
        <w:t>La</w:t>
      </w:r>
      <w:r>
        <w:rPr>
          <w:rFonts w:asciiTheme="majorBidi" w:hAnsiTheme="majorBidi" w:cstheme="majorBidi"/>
          <w:sz w:val="28"/>
          <w:szCs w:val="28"/>
        </w:rPr>
        <w:t xml:space="preserve"> synthèse des résultats des indicateurs économiques obtenus par les cinq exploitations avicoles enquêtées est mentionnée dans le tablea</w:t>
      </w:r>
      <w:r w:rsidR="00737F56">
        <w:rPr>
          <w:rFonts w:asciiTheme="majorBidi" w:hAnsiTheme="majorBidi" w:cstheme="majorBidi"/>
          <w:sz w:val="28"/>
          <w:szCs w:val="28"/>
        </w:rPr>
        <w:t>u 18  et illustrée par la figure 8</w:t>
      </w: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E1348A" w:rsidRDefault="00E1348A" w:rsidP="00C65E4A">
      <w:pPr>
        <w:autoSpaceDE w:val="0"/>
        <w:autoSpaceDN w:val="0"/>
        <w:adjustRightInd w:val="0"/>
        <w:spacing w:line="312" w:lineRule="auto"/>
        <w:jc w:val="center"/>
        <w:rPr>
          <w:rFonts w:asciiTheme="majorBidi" w:hAnsiTheme="majorBidi" w:cstheme="majorBidi"/>
          <w:b/>
          <w:bCs/>
          <w:sz w:val="28"/>
          <w:szCs w:val="28"/>
        </w:rPr>
      </w:pPr>
    </w:p>
    <w:p w:rsidR="000D3F35" w:rsidRPr="000C05BB" w:rsidRDefault="000D3F35" w:rsidP="00C65E4A">
      <w:pPr>
        <w:autoSpaceDE w:val="0"/>
        <w:autoSpaceDN w:val="0"/>
        <w:adjustRightInd w:val="0"/>
        <w:spacing w:line="312" w:lineRule="auto"/>
        <w:jc w:val="center"/>
        <w:rPr>
          <w:rFonts w:asciiTheme="majorBidi" w:hAnsiTheme="majorBidi" w:cstheme="majorBidi"/>
          <w:b/>
          <w:bCs/>
          <w:sz w:val="28"/>
          <w:szCs w:val="28"/>
        </w:rPr>
      </w:pPr>
      <w:r w:rsidRPr="000C05BB">
        <w:rPr>
          <w:rFonts w:asciiTheme="majorBidi" w:hAnsiTheme="majorBidi" w:cstheme="majorBidi"/>
          <w:b/>
          <w:bCs/>
          <w:sz w:val="28"/>
          <w:szCs w:val="28"/>
        </w:rPr>
        <w:t>Tableau</w:t>
      </w:r>
      <w:r w:rsidR="00E1348A">
        <w:rPr>
          <w:rFonts w:asciiTheme="majorBidi" w:hAnsiTheme="majorBidi" w:cstheme="majorBidi"/>
          <w:b/>
          <w:bCs/>
          <w:sz w:val="28"/>
          <w:szCs w:val="28"/>
        </w:rPr>
        <w:t xml:space="preserve"> </w:t>
      </w:r>
      <w:r w:rsidR="00B12F1F">
        <w:rPr>
          <w:rFonts w:asciiTheme="majorBidi" w:hAnsiTheme="majorBidi" w:cstheme="majorBidi"/>
          <w:b/>
          <w:bCs/>
          <w:sz w:val="28"/>
          <w:szCs w:val="28"/>
        </w:rPr>
        <w:t xml:space="preserve">18 </w:t>
      </w:r>
      <w:r w:rsidR="00B12F1F" w:rsidRPr="000C05BB">
        <w:rPr>
          <w:rFonts w:asciiTheme="majorBidi" w:hAnsiTheme="majorBidi" w:cstheme="majorBidi"/>
          <w:b/>
          <w:bCs/>
          <w:sz w:val="28"/>
          <w:szCs w:val="28"/>
        </w:rPr>
        <w:t>:</w:t>
      </w:r>
      <w:r w:rsidRPr="000C05BB">
        <w:rPr>
          <w:rFonts w:asciiTheme="majorBidi" w:hAnsiTheme="majorBidi" w:cstheme="majorBidi"/>
          <w:b/>
          <w:bCs/>
          <w:sz w:val="28"/>
          <w:szCs w:val="28"/>
        </w:rPr>
        <w:t xml:space="preserve"> </w:t>
      </w:r>
      <w:r w:rsidRPr="000C05BB">
        <w:rPr>
          <w:rFonts w:asciiTheme="majorBidi" w:hAnsiTheme="majorBidi" w:cstheme="majorBidi"/>
          <w:sz w:val="28"/>
          <w:szCs w:val="28"/>
        </w:rPr>
        <w:t>Synthèse des résultats de la durabilité économique</w:t>
      </w:r>
    </w:p>
    <w:tbl>
      <w:tblPr>
        <w:tblW w:w="9371" w:type="dxa"/>
        <w:tblInd w:w="55" w:type="dxa"/>
        <w:tblCellMar>
          <w:left w:w="70" w:type="dxa"/>
          <w:right w:w="70" w:type="dxa"/>
        </w:tblCellMar>
        <w:tblLook w:val="04A0"/>
      </w:tblPr>
      <w:tblGrid>
        <w:gridCol w:w="1988"/>
        <w:gridCol w:w="986"/>
        <w:gridCol w:w="1094"/>
        <w:gridCol w:w="992"/>
        <w:gridCol w:w="1022"/>
        <w:gridCol w:w="1127"/>
        <w:gridCol w:w="1170"/>
        <w:gridCol w:w="1057"/>
      </w:tblGrid>
      <w:tr w:rsidR="000D3F35" w:rsidRPr="00FB746C" w:rsidTr="00EA67A4">
        <w:trPr>
          <w:trHeight w:val="300"/>
        </w:trPr>
        <w:tc>
          <w:tcPr>
            <w:tcW w:w="1988" w:type="dxa"/>
            <w:tcBorders>
              <w:top w:val="single" w:sz="4" w:space="0" w:color="auto"/>
              <w:left w:val="single" w:sz="4" w:space="0" w:color="auto"/>
              <w:bottom w:val="nil"/>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b/>
                <w:bCs/>
                <w:color w:val="000000"/>
              </w:rPr>
            </w:pPr>
            <w:r w:rsidRPr="00FB746C">
              <w:rPr>
                <w:rFonts w:asciiTheme="majorBidi" w:eastAsia="Times New Roman" w:hAnsiTheme="majorBidi" w:cstheme="majorBidi"/>
                <w:b/>
                <w:bCs/>
                <w:color w:val="000000"/>
              </w:rPr>
              <w:t>Indicateur</w:t>
            </w:r>
          </w:p>
        </w:tc>
        <w:tc>
          <w:tcPr>
            <w:tcW w:w="986" w:type="dxa"/>
            <w:vMerge w:val="restart"/>
            <w:tcBorders>
              <w:top w:val="single" w:sz="4" w:space="0" w:color="auto"/>
              <w:left w:val="nil"/>
              <w:bottom w:val="single" w:sz="4" w:space="0" w:color="auto"/>
              <w:right w:val="single" w:sz="4" w:space="0" w:color="auto"/>
            </w:tcBorders>
            <w:shd w:val="clear" w:color="auto" w:fill="auto"/>
            <w:vAlign w:val="center"/>
            <w:hideMark/>
          </w:tcPr>
          <w:p w:rsidR="000D3F35" w:rsidRPr="00FB746C" w:rsidRDefault="000D3F35" w:rsidP="00C65E4A">
            <w:pPr>
              <w:spacing w:line="240" w:lineRule="auto"/>
              <w:jc w:val="center"/>
              <w:rPr>
                <w:rFonts w:asciiTheme="majorBidi" w:eastAsia="Times New Roman" w:hAnsiTheme="majorBidi" w:cstheme="majorBidi"/>
                <w:b/>
                <w:bCs/>
                <w:color w:val="000000"/>
                <w:sz w:val="24"/>
                <w:szCs w:val="24"/>
              </w:rPr>
            </w:pPr>
            <w:r w:rsidRPr="00FB746C">
              <w:rPr>
                <w:rFonts w:asciiTheme="majorBidi" w:eastAsia="Times New Roman" w:hAnsiTheme="majorBidi" w:cstheme="majorBidi"/>
                <w:b/>
                <w:bCs/>
                <w:color w:val="000000"/>
                <w:sz w:val="24"/>
                <w:szCs w:val="24"/>
              </w:rPr>
              <w:t xml:space="preserve">Coq Hodna </w:t>
            </w:r>
          </w:p>
        </w:tc>
        <w:tc>
          <w:tcPr>
            <w:tcW w:w="10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3F35" w:rsidRPr="00FB746C" w:rsidRDefault="000D3F35" w:rsidP="00C65E4A">
            <w:pPr>
              <w:spacing w:line="240" w:lineRule="auto"/>
              <w:jc w:val="center"/>
              <w:rPr>
                <w:rFonts w:asciiTheme="majorBidi" w:eastAsia="Times New Roman" w:hAnsiTheme="majorBidi" w:cstheme="majorBidi"/>
                <w:b/>
                <w:bCs/>
                <w:color w:val="000000"/>
                <w:sz w:val="24"/>
                <w:szCs w:val="24"/>
              </w:rPr>
            </w:pPr>
            <w:r w:rsidRPr="00FB746C">
              <w:rPr>
                <w:rFonts w:asciiTheme="majorBidi" w:eastAsia="Times New Roman" w:hAnsiTheme="majorBidi" w:cstheme="majorBidi"/>
                <w:b/>
                <w:bCs/>
                <w:color w:val="000000"/>
                <w:sz w:val="24"/>
                <w:szCs w:val="24"/>
              </w:rPr>
              <w:t xml:space="preserve">Belhouas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3F35" w:rsidRPr="00FB746C" w:rsidRDefault="000D3F35" w:rsidP="00C65E4A">
            <w:pPr>
              <w:spacing w:line="240" w:lineRule="auto"/>
              <w:jc w:val="center"/>
              <w:rPr>
                <w:rFonts w:asciiTheme="majorBidi" w:eastAsia="Times New Roman" w:hAnsiTheme="majorBidi" w:cstheme="majorBidi"/>
                <w:b/>
                <w:bCs/>
                <w:color w:val="000000"/>
                <w:sz w:val="24"/>
                <w:szCs w:val="24"/>
              </w:rPr>
            </w:pPr>
            <w:r w:rsidRPr="00FB746C">
              <w:rPr>
                <w:rFonts w:asciiTheme="majorBidi" w:eastAsia="Times New Roman" w:hAnsiTheme="majorBidi" w:cstheme="majorBidi"/>
                <w:b/>
                <w:bCs/>
                <w:color w:val="000000"/>
                <w:sz w:val="24"/>
                <w:szCs w:val="24"/>
              </w:rPr>
              <w:t xml:space="preserve">ORAC </w:t>
            </w:r>
          </w:p>
        </w:tc>
        <w:tc>
          <w:tcPr>
            <w:tcW w:w="10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3F35" w:rsidRPr="00FB746C" w:rsidRDefault="000D3F35" w:rsidP="00C65E4A">
            <w:pPr>
              <w:spacing w:line="240" w:lineRule="auto"/>
              <w:jc w:val="center"/>
              <w:rPr>
                <w:rFonts w:asciiTheme="majorBidi" w:eastAsia="Times New Roman" w:hAnsiTheme="majorBidi" w:cstheme="majorBidi"/>
                <w:b/>
                <w:bCs/>
                <w:color w:val="000000"/>
                <w:sz w:val="24"/>
                <w:szCs w:val="24"/>
              </w:rPr>
            </w:pPr>
            <w:r w:rsidRPr="00FB746C">
              <w:rPr>
                <w:rFonts w:asciiTheme="majorBidi" w:eastAsia="Times New Roman" w:hAnsiTheme="majorBidi" w:cstheme="majorBidi"/>
                <w:b/>
                <w:bCs/>
                <w:color w:val="000000"/>
                <w:sz w:val="24"/>
                <w:szCs w:val="24"/>
              </w:rPr>
              <w:t xml:space="preserve">Frahtia </w:t>
            </w:r>
          </w:p>
        </w:tc>
        <w:tc>
          <w:tcPr>
            <w:tcW w:w="1127" w:type="dxa"/>
            <w:vMerge w:val="restart"/>
            <w:tcBorders>
              <w:top w:val="single" w:sz="4" w:space="0" w:color="auto"/>
              <w:left w:val="single" w:sz="4" w:space="0" w:color="auto"/>
              <w:bottom w:val="single" w:sz="4" w:space="0" w:color="auto"/>
              <w:right w:val="nil"/>
            </w:tcBorders>
            <w:shd w:val="clear" w:color="auto" w:fill="auto"/>
            <w:vAlign w:val="center"/>
            <w:hideMark/>
          </w:tcPr>
          <w:p w:rsidR="000D3F35" w:rsidRPr="00FB746C" w:rsidRDefault="000D3F35" w:rsidP="00C65E4A">
            <w:pPr>
              <w:spacing w:line="240" w:lineRule="auto"/>
              <w:jc w:val="center"/>
              <w:rPr>
                <w:rFonts w:asciiTheme="majorBidi" w:eastAsia="Times New Roman" w:hAnsiTheme="majorBidi" w:cstheme="majorBidi"/>
                <w:b/>
                <w:bCs/>
                <w:color w:val="000000"/>
                <w:sz w:val="24"/>
                <w:szCs w:val="24"/>
              </w:rPr>
            </w:pPr>
            <w:r w:rsidRPr="00FB746C">
              <w:rPr>
                <w:rFonts w:asciiTheme="majorBidi" w:eastAsia="Times New Roman" w:hAnsiTheme="majorBidi" w:cstheme="majorBidi"/>
                <w:b/>
                <w:bCs/>
                <w:color w:val="000000"/>
                <w:sz w:val="24"/>
                <w:szCs w:val="24"/>
              </w:rPr>
              <w:t xml:space="preserve">Lachache </w:t>
            </w:r>
          </w:p>
        </w:tc>
        <w:tc>
          <w:tcPr>
            <w:tcW w:w="1170" w:type="dxa"/>
            <w:tcBorders>
              <w:top w:val="single" w:sz="4" w:space="0" w:color="auto"/>
              <w:left w:val="single" w:sz="4" w:space="0" w:color="auto"/>
              <w:bottom w:val="nil"/>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b/>
                <w:bCs/>
                <w:color w:val="000000"/>
              </w:rPr>
            </w:pPr>
            <w:r w:rsidRPr="00FB746C">
              <w:rPr>
                <w:rFonts w:asciiTheme="majorBidi" w:eastAsia="Times New Roman" w:hAnsiTheme="majorBidi" w:cstheme="majorBidi"/>
                <w:b/>
                <w:bCs/>
                <w:color w:val="000000"/>
              </w:rPr>
              <w:t>Durabilité Moy.</w:t>
            </w:r>
          </w:p>
        </w:tc>
        <w:tc>
          <w:tcPr>
            <w:tcW w:w="992" w:type="dxa"/>
            <w:tcBorders>
              <w:top w:val="single" w:sz="4" w:space="0" w:color="auto"/>
              <w:left w:val="nil"/>
              <w:bottom w:val="nil"/>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b/>
                <w:bCs/>
                <w:color w:val="000000"/>
              </w:rPr>
            </w:pPr>
            <w:r w:rsidRPr="00FB746C">
              <w:rPr>
                <w:rFonts w:asciiTheme="majorBidi" w:eastAsia="Times New Roman" w:hAnsiTheme="majorBidi" w:cstheme="majorBidi"/>
                <w:b/>
                <w:bCs/>
                <w:color w:val="000000"/>
              </w:rPr>
              <w:t>Valeur  maximale</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w:t>
            </w:r>
          </w:p>
        </w:tc>
        <w:tc>
          <w:tcPr>
            <w:tcW w:w="986" w:type="dxa"/>
            <w:vMerge/>
            <w:tcBorders>
              <w:top w:val="single" w:sz="4" w:space="0" w:color="auto"/>
              <w:left w:val="nil"/>
              <w:bottom w:val="single" w:sz="4" w:space="0" w:color="auto"/>
              <w:right w:val="single" w:sz="4" w:space="0" w:color="auto"/>
            </w:tcBorders>
            <w:vAlign w:val="center"/>
            <w:hideMark/>
          </w:tcPr>
          <w:p w:rsidR="000D3F35" w:rsidRPr="00FB746C" w:rsidRDefault="000D3F35" w:rsidP="00C65E4A">
            <w:pPr>
              <w:spacing w:line="240" w:lineRule="auto"/>
              <w:rPr>
                <w:rFonts w:asciiTheme="majorBidi" w:eastAsia="Times New Roman" w:hAnsiTheme="majorBidi" w:cstheme="majorBidi"/>
                <w:b/>
                <w:bCs/>
                <w:color w:val="000000"/>
                <w:sz w:val="24"/>
                <w:szCs w:val="24"/>
              </w:rPr>
            </w:pPr>
          </w:p>
        </w:tc>
        <w:tc>
          <w:tcPr>
            <w:tcW w:w="1094" w:type="dxa"/>
            <w:vMerge/>
            <w:tcBorders>
              <w:top w:val="single" w:sz="4" w:space="0" w:color="auto"/>
              <w:left w:val="single" w:sz="4" w:space="0" w:color="auto"/>
              <w:bottom w:val="single" w:sz="4" w:space="0" w:color="auto"/>
              <w:right w:val="single" w:sz="4" w:space="0" w:color="auto"/>
            </w:tcBorders>
            <w:vAlign w:val="center"/>
            <w:hideMark/>
          </w:tcPr>
          <w:p w:rsidR="000D3F35" w:rsidRPr="00FB746C" w:rsidRDefault="000D3F35" w:rsidP="00C65E4A">
            <w:pPr>
              <w:spacing w:line="240" w:lineRule="auto"/>
              <w:rPr>
                <w:rFonts w:asciiTheme="majorBidi" w:eastAsia="Times New Roman" w:hAnsiTheme="majorBidi" w:cstheme="majorBidi"/>
                <w:b/>
                <w:bCs/>
                <w:color w:val="000000"/>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0D3F35" w:rsidRPr="00FB746C" w:rsidRDefault="000D3F35" w:rsidP="00C65E4A">
            <w:pPr>
              <w:spacing w:line="240" w:lineRule="auto"/>
              <w:rPr>
                <w:rFonts w:asciiTheme="majorBidi" w:eastAsia="Times New Roman" w:hAnsiTheme="majorBidi" w:cstheme="majorBidi"/>
                <w:b/>
                <w:bCs/>
                <w:color w:val="000000"/>
                <w:sz w:val="24"/>
                <w:szCs w:val="24"/>
              </w:rPr>
            </w:pPr>
          </w:p>
        </w:tc>
        <w:tc>
          <w:tcPr>
            <w:tcW w:w="1022" w:type="dxa"/>
            <w:vMerge/>
            <w:tcBorders>
              <w:top w:val="single" w:sz="4" w:space="0" w:color="auto"/>
              <w:left w:val="single" w:sz="4" w:space="0" w:color="auto"/>
              <w:bottom w:val="single" w:sz="4" w:space="0" w:color="auto"/>
              <w:right w:val="single" w:sz="4" w:space="0" w:color="auto"/>
            </w:tcBorders>
            <w:vAlign w:val="center"/>
            <w:hideMark/>
          </w:tcPr>
          <w:p w:rsidR="000D3F35" w:rsidRPr="00FB746C" w:rsidRDefault="000D3F35" w:rsidP="00C65E4A">
            <w:pPr>
              <w:spacing w:line="240" w:lineRule="auto"/>
              <w:rPr>
                <w:rFonts w:asciiTheme="majorBidi" w:eastAsia="Times New Roman" w:hAnsiTheme="majorBidi" w:cstheme="majorBidi"/>
                <w:b/>
                <w:bCs/>
                <w:color w:val="000000"/>
                <w:sz w:val="24"/>
                <w:szCs w:val="24"/>
              </w:rPr>
            </w:pPr>
          </w:p>
        </w:tc>
        <w:tc>
          <w:tcPr>
            <w:tcW w:w="1127" w:type="dxa"/>
            <w:vMerge/>
            <w:tcBorders>
              <w:top w:val="single" w:sz="4" w:space="0" w:color="auto"/>
              <w:left w:val="single" w:sz="4" w:space="0" w:color="auto"/>
              <w:bottom w:val="single" w:sz="4" w:space="0" w:color="auto"/>
              <w:right w:val="nil"/>
            </w:tcBorders>
            <w:vAlign w:val="center"/>
            <w:hideMark/>
          </w:tcPr>
          <w:p w:rsidR="000D3F35" w:rsidRPr="00FB746C" w:rsidRDefault="000D3F35" w:rsidP="00C65E4A">
            <w:pPr>
              <w:spacing w:line="240" w:lineRule="auto"/>
              <w:rPr>
                <w:rFonts w:asciiTheme="majorBidi" w:eastAsia="Times New Roman" w:hAnsiTheme="majorBidi" w:cstheme="majorBidi"/>
                <w:b/>
                <w:bCs/>
                <w:color w:val="000000"/>
                <w:sz w:val="24"/>
                <w:szCs w:val="24"/>
              </w:rPr>
            </w:pP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w:t>
            </w:r>
          </w:p>
        </w:tc>
      </w:tr>
      <w:tr w:rsidR="000D3F35" w:rsidRPr="00FB746C" w:rsidTr="00EA67A4">
        <w:trPr>
          <w:trHeight w:val="315"/>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Viabilité économique </w:t>
            </w:r>
          </w:p>
          <w:p w:rsidR="000D3F35" w:rsidRPr="00FB746C" w:rsidRDefault="000D3F35" w:rsidP="00C65E4A">
            <w:pPr>
              <w:spacing w:line="240" w:lineRule="auto"/>
              <w:jc w:val="center"/>
              <w:rPr>
                <w:rFonts w:asciiTheme="majorBidi" w:eastAsia="Times New Roman" w:hAnsiTheme="majorBidi" w:cstheme="majorBidi"/>
                <w:color w:val="000000"/>
              </w:rPr>
            </w:pP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3</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Efficience</w:t>
            </w:r>
            <w:r>
              <w:rPr>
                <w:rFonts w:asciiTheme="majorBidi" w:eastAsia="Times New Roman" w:hAnsiTheme="majorBidi" w:cstheme="majorBidi"/>
                <w:color w:val="000000"/>
              </w:rPr>
              <w:t xml:space="preserve"> processus productif</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2</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4</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4</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5,2</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Rentabilité </w:t>
            </w:r>
            <w:r>
              <w:rPr>
                <w:rFonts w:asciiTheme="majorBidi" w:eastAsia="Times New Roman" w:hAnsiTheme="majorBidi" w:cstheme="majorBidi"/>
                <w:color w:val="000000"/>
              </w:rPr>
              <w:t>économique</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2</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4</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2</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3</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Efficacité de </w:t>
            </w:r>
            <w:r>
              <w:rPr>
                <w:rFonts w:asciiTheme="majorBidi" w:eastAsia="Times New Roman" w:hAnsiTheme="majorBidi" w:cstheme="majorBidi"/>
                <w:color w:val="000000"/>
              </w:rPr>
              <w:t xml:space="preserve">la main d’œuvre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Indépendance tech</w:t>
            </w:r>
            <w:r>
              <w:rPr>
                <w:rFonts w:asciiTheme="majorBidi" w:eastAsia="Times New Roman" w:hAnsiTheme="majorBidi" w:cstheme="majorBidi"/>
                <w:color w:val="000000"/>
              </w:rPr>
              <w:t xml:space="preserve">nique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7</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7</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4</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Sensibilité aux aides</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4</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Transmissibilité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7</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7,4</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Autonomie financière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Polyvalence de l'outil de production</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8</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7,2</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Taux de spécialisation</w:t>
            </w:r>
            <w:r>
              <w:rPr>
                <w:rFonts w:asciiTheme="majorBidi" w:eastAsia="Times New Roman" w:hAnsiTheme="majorBidi" w:cstheme="majorBidi"/>
                <w:color w:val="000000"/>
              </w:rPr>
              <w:t xml:space="preserve"> économique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0</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2</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2</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0.8</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w:t>
            </w:r>
          </w:p>
        </w:tc>
      </w:tr>
      <w:tr w:rsidR="000D3F35" w:rsidRPr="00FB746C" w:rsidTr="00EA67A4">
        <w:trPr>
          <w:trHeight w:val="300"/>
        </w:trPr>
        <w:tc>
          <w:tcPr>
            <w:tcW w:w="1988" w:type="dxa"/>
            <w:tcBorders>
              <w:top w:val="nil"/>
              <w:left w:val="single" w:sz="4" w:space="0" w:color="auto"/>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 xml:space="preserve">Score total </w:t>
            </w:r>
          </w:p>
        </w:tc>
        <w:tc>
          <w:tcPr>
            <w:tcW w:w="986"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b/>
                <w:bCs/>
                <w:color w:val="000000"/>
              </w:rPr>
            </w:pPr>
            <w:r w:rsidRPr="00FB746C">
              <w:rPr>
                <w:rFonts w:asciiTheme="majorBidi" w:eastAsia="Times New Roman" w:hAnsiTheme="majorBidi" w:cstheme="majorBidi"/>
                <w:b/>
                <w:bCs/>
                <w:color w:val="000000"/>
              </w:rPr>
              <w:t>71</w:t>
            </w:r>
          </w:p>
        </w:tc>
        <w:tc>
          <w:tcPr>
            <w:tcW w:w="1094"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67</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29</w:t>
            </w:r>
          </w:p>
        </w:tc>
        <w:tc>
          <w:tcPr>
            <w:tcW w:w="102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47</w:t>
            </w:r>
          </w:p>
        </w:tc>
        <w:tc>
          <w:tcPr>
            <w:tcW w:w="1127"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59</w:t>
            </w:r>
          </w:p>
        </w:tc>
        <w:tc>
          <w:tcPr>
            <w:tcW w:w="1170"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55.6</w:t>
            </w:r>
          </w:p>
        </w:tc>
        <w:tc>
          <w:tcPr>
            <w:tcW w:w="992" w:type="dxa"/>
            <w:tcBorders>
              <w:top w:val="nil"/>
              <w:left w:val="nil"/>
              <w:bottom w:val="single" w:sz="4" w:space="0" w:color="auto"/>
              <w:right w:val="single" w:sz="4" w:space="0" w:color="auto"/>
            </w:tcBorders>
            <w:shd w:val="clear" w:color="auto" w:fill="auto"/>
            <w:noWrap/>
            <w:vAlign w:val="bottom"/>
            <w:hideMark/>
          </w:tcPr>
          <w:p w:rsidR="000D3F35" w:rsidRPr="00FB746C" w:rsidRDefault="000D3F35" w:rsidP="00C65E4A">
            <w:pPr>
              <w:spacing w:line="240" w:lineRule="auto"/>
              <w:jc w:val="center"/>
              <w:rPr>
                <w:rFonts w:asciiTheme="majorBidi" w:eastAsia="Times New Roman" w:hAnsiTheme="majorBidi" w:cstheme="majorBidi"/>
                <w:color w:val="000000"/>
              </w:rPr>
            </w:pPr>
            <w:r w:rsidRPr="00FB746C">
              <w:rPr>
                <w:rFonts w:asciiTheme="majorBidi" w:eastAsia="Times New Roman" w:hAnsiTheme="majorBidi" w:cstheme="majorBidi"/>
                <w:color w:val="000000"/>
              </w:rPr>
              <w:t>100</w:t>
            </w:r>
          </w:p>
        </w:tc>
      </w:tr>
    </w:tbl>
    <w:p w:rsidR="000D3F35" w:rsidRDefault="000D3F35" w:rsidP="00C65E4A">
      <w:pPr>
        <w:autoSpaceDE w:val="0"/>
        <w:autoSpaceDN w:val="0"/>
        <w:adjustRightInd w:val="0"/>
        <w:spacing w:line="312" w:lineRule="auto"/>
        <w:rPr>
          <w:rFonts w:asciiTheme="majorBidi" w:hAnsiTheme="majorBidi" w:cstheme="majorBidi"/>
          <w:b/>
          <w:bCs/>
          <w:color w:val="FF0000"/>
          <w:sz w:val="28"/>
          <w:szCs w:val="28"/>
        </w:rPr>
      </w:pPr>
    </w:p>
    <w:p w:rsidR="000D3F35" w:rsidRDefault="000D3F35" w:rsidP="007E6B14">
      <w:pPr>
        <w:autoSpaceDE w:val="0"/>
        <w:autoSpaceDN w:val="0"/>
        <w:adjustRightInd w:val="0"/>
        <w:spacing w:line="312" w:lineRule="auto"/>
        <w:ind w:firstLine="284"/>
        <w:jc w:val="both"/>
        <w:rPr>
          <w:rFonts w:asciiTheme="majorBidi" w:hAnsiTheme="majorBidi" w:cstheme="majorBidi"/>
          <w:sz w:val="28"/>
          <w:szCs w:val="28"/>
        </w:rPr>
      </w:pPr>
      <w:r w:rsidRPr="00BC64DE">
        <w:rPr>
          <w:rFonts w:asciiTheme="majorBidi" w:hAnsiTheme="majorBidi" w:cstheme="majorBidi"/>
          <w:sz w:val="28"/>
          <w:szCs w:val="28"/>
        </w:rPr>
        <w:t>Dans l’ensemble,</w:t>
      </w:r>
      <w:r w:rsidR="00E1348A">
        <w:rPr>
          <w:rFonts w:asciiTheme="majorBidi" w:hAnsiTheme="majorBidi" w:cstheme="majorBidi"/>
          <w:sz w:val="28"/>
          <w:szCs w:val="28"/>
        </w:rPr>
        <w:t xml:space="preserve"> </w:t>
      </w:r>
      <w:r w:rsidRPr="00BC64DE">
        <w:rPr>
          <w:rFonts w:asciiTheme="majorBidi" w:hAnsiTheme="majorBidi" w:cstheme="majorBidi"/>
          <w:sz w:val="28"/>
          <w:szCs w:val="28"/>
        </w:rPr>
        <w:t>le score</w:t>
      </w:r>
      <w:r>
        <w:rPr>
          <w:rFonts w:asciiTheme="majorBidi" w:hAnsiTheme="majorBidi" w:cstheme="majorBidi"/>
          <w:sz w:val="28"/>
          <w:szCs w:val="28"/>
        </w:rPr>
        <w:t xml:space="preserve"> total de la durabilité économique des exploitations est évalué à 55.6 sur 100 points au maximum. La durabilité la plus élevée est inscrit dans l’exploitation Coq Hodna avec 71 points suivi par celle de l’exploitation Belhouas avec 67 points. Ces deux exploitations ont des bonnes pratiques</w:t>
      </w:r>
      <w:r w:rsidR="00E1348A">
        <w:rPr>
          <w:rFonts w:asciiTheme="majorBidi" w:hAnsiTheme="majorBidi" w:cstheme="majorBidi"/>
          <w:sz w:val="28"/>
          <w:szCs w:val="28"/>
        </w:rPr>
        <w:t xml:space="preserve"> </w:t>
      </w:r>
      <w:r>
        <w:rPr>
          <w:rFonts w:asciiTheme="majorBidi" w:hAnsiTheme="majorBidi" w:cstheme="majorBidi"/>
          <w:sz w:val="28"/>
          <w:szCs w:val="28"/>
        </w:rPr>
        <w:t xml:space="preserve">dans l’efficacité de la main d’œuvre, la sensibilité aux aides, la transmissibilité et l’autonomie financière. </w:t>
      </w:r>
    </w:p>
    <w:p w:rsidR="000D3F35" w:rsidRDefault="000D3F35" w:rsidP="00C65E4A">
      <w:pPr>
        <w:autoSpaceDE w:val="0"/>
        <w:autoSpaceDN w:val="0"/>
        <w:adjustRightInd w:val="0"/>
        <w:spacing w:line="312" w:lineRule="auto"/>
        <w:jc w:val="both"/>
        <w:rPr>
          <w:rFonts w:asciiTheme="majorBidi" w:hAnsiTheme="majorBidi" w:cstheme="majorBidi"/>
          <w:sz w:val="28"/>
          <w:szCs w:val="28"/>
        </w:rPr>
      </w:pPr>
    </w:p>
    <w:p w:rsidR="000D3F35" w:rsidRDefault="000D3F35" w:rsidP="00C65E4A">
      <w:pPr>
        <w:autoSpaceDE w:val="0"/>
        <w:autoSpaceDN w:val="0"/>
        <w:adjustRightInd w:val="0"/>
        <w:spacing w:line="312" w:lineRule="auto"/>
        <w:jc w:val="center"/>
        <w:rPr>
          <w:rFonts w:asciiTheme="majorBidi" w:hAnsiTheme="majorBidi" w:cstheme="majorBidi"/>
          <w:sz w:val="28"/>
          <w:szCs w:val="28"/>
        </w:rPr>
      </w:pPr>
      <w:r>
        <w:rPr>
          <w:noProof/>
        </w:rPr>
        <w:lastRenderedPageBreak/>
        <w:drawing>
          <wp:inline distT="0" distB="0" distL="0" distR="0">
            <wp:extent cx="4622303" cy="2743200"/>
            <wp:effectExtent l="19050" t="0" r="25897" b="0"/>
            <wp:docPr id="16"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D3F35" w:rsidRDefault="000D3F35" w:rsidP="007E6B14">
      <w:pPr>
        <w:autoSpaceDE w:val="0"/>
        <w:autoSpaceDN w:val="0"/>
        <w:adjustRightInd w:val="0"/>
        <w:spacing w:line="312" w:lineRule="auto"/>
        <w:ind w:firstLine="284"/>
        <w:jc w:val="both"/>
        <w:rPr>
          <w:rFonts w:asciiTheme="majorBidi" w:hAnsiTheme="majorBidi" w:cstheme="majorBidi"/>
          <w:sz w:val="28"/>
          <w:szCs w:val="28"/>
        </w:rPr>
      </w:pPr>
      <w:r>
        <w:rPr>
          <w:rFonts w:asciiTheme="majorBidi" w:hAnsiTheme="majorBidi" w:cstheme="majorBidi"/>
          <w:sz w:val="28"/>
          <w:szCs w:val="28"/>
        </w:rPr>
        <w:t xml:space="preserve">A partir de ce diagnostic, nous pouvons donner des propositions pour améliorer la situation des exploitations ayant des notes faibles telle que l’exploitation ORAC qui enregistre une durabilité économique de 29 points sur 100. </w:t>
      </w:r>
    </w:p>
    <w:p w:rsidR="000D3F35" w:rsidRDefault="000D3F35" w:rsidP="007E6B14">
      <w:pPr>
        <w:autoSpaceDE w:val="0"/>
        <w:autoSpaceDN w:val="0"/>
        <w:adjustRightInd w:val="0"/>
        <w:spacing w:line="312" w:lineRule="auto"/>
        <w:ind w:firstLine="284"/>
        <w:jc w:val="both"/>
        <w:rPr>
          <w:rFonts w:asciiTheme="majorBidi" w:hAnsiTheme="majorBidi" w:cstheme="majorBidi"/>
          <w:sz w:val="28"/>
          <w:szCs w:val="28"/>
        </w:rPr>
      </w:pPr>
      <w:r>
        <w:rPr>
          <w:rFonts w:asciiTheme="majorBidi" w:hAnsiTheme="majorBidi" w:cstheme="majorBidi"/>
          <w:sz w:val="28"/>
          <w:szCs w:val="28"/>
        </w:rPr>
        <w:t xml:space="preserve">Pour cette dernière, nous proposons à l’exploitant d’améliorer les indicateurs sensibilité aux aides, transmissibilité et autonomie financière qui marquent des scores de durabilité nulles. </w:t>
      </w:r>
    </w:p>
    <w:p w:rsidR="000D3F35" w:rsidRPr="00BC64DE" w:rsidRDefault="000D3F35" w:rsidP="00C65E4A">
      <w:pPr>
        <w:autoSpaceDE w:val="0"/>
        <w:autoSpaceDN w:val="0"/>
        <w:adjustRightInd w:val="0"/>
        <w:spacing w:line="312" w:lineRule="auto"/>
        <w:rPr>
          <w:rFonts w:asciiTheme="majorBidi" w:hAnsiTheme="majorBidi" w:cstheme="majorBidi"/>
          <w:sz w:val="28"/>
          <w:szCs w:val="28"/>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0D3F35" w:rsidRDefault="000D3F35" w:rsidP="00C65E4A">
      <w:pPr>
        <w:autoSpaceDE w:val="0"/>
        <w:autoSpaceDN w:val="0"/>
        <w:adjustRightInd w:val="0"/>
        <w:spacing w:line="312" w:lineRule="auto"/>
        <w:rPr>
          <w:rFonts w:asciiTheme="majorBidi" w:hAnsiTheme="majorBidi" w:cstheme="majorBidi"/>
          <w:b/>
          <w:bCs/>
          <w:sz w:val="32"/>
          <w:szCs w:val="32"/>
        </w:rPr>
      </w:pPr>
    </w:p>
    <w:p w:rsidR="00B35C31" w:rsidRDefault="00B35C31" w:rsidP="00C65E4A">
      <w:pPr>
        <w:autoSpaceDE w:val="0"/>
        <w:autoSpaceDN w:val="0"/>
        <w:adjustRightInd w:val="0"/>
        <w:spacing w:line="312" w:lineRule="auto"/>
        <w:rPr>
          <w:rFonts w:asciiTheme="majorBidi" w:hAnsiTheme="majorBidi" w:cstheme="majorBidi"/>
          <w:b/>
          <w:bCs/>
          <w:sz w:val="32"/>
          <w:szCs w:val="32"/>
        </w:rPr>
      </w:pPr>
      <w:r>
        <w:rPr>
          <w:rFonts w:asciiTheme="majorBidi" w:hAnsiTheme="majorBidi" w:cstheme="majorBidi"/>
          <w:b/>
          <w:bCs/>
          <w:sz w:val="32"/>
          <w:szCs w:val="32"/>
        </w:rPr>
        <w:lastRenderedPageBreak/>
        <w:t xml:space="preserve">Conclusion </w:t>
      </w:r>
    </w:p>
    <w:p w:rsidR="00B35C31" w:rsidRPr="00700E91" w:rsidRDefault="00B35C31" w:rsidP="007E6B14">
      <w:pPr>
        <w:ind w:firstLine="284"/>
        <w:jc w:val="both"/>
        <w:rPr>
          <w:rFonts w:asciiTheme="majorBidi" w:hAnsiTheme="majorBidi" w:cstheme="majorBidi"/>
          <w:sz w:val="28"/>
          <w:szCs w:val="28"/>
        </w:rPr>
      </w:pPr>
      <w:r w:rsidRPr="00700E91">
        <w:rPr>
          <w:rFonts w:ascii="Times New Roman" w:hAnsi="Times New Roman" w:cs="Times New Roman"/>
          <w:sz w:val="28"/>
          <w:szCs w:val="28"/>
        </w:rPr>
        <w:t xml:space="preserve">Le développement de </w:t>
      </w:r>
      <w:r>
        <w:rPr>
          <w:rFonts w:ascii="Times New Roman" w:hAnsi="Times New Roman" w:cs="Times New Roman"/>
          <w:sz w:val="28"/>
          <w:szCs w:val="28"/>
        </w:rPr>
        <w:t xml:space="preserve">la </w:t>
      </w:r>
      <w:r w:rsidRPr="00700E91">
        <w:rPr>
          <w:rFonts w:ascii="Times New Roman" w:hAnsi="Times New Roman" w:cs="Times New Roman"/>
          <w:sz w:val="28"/>
          <w:szCs w:val="28"/>
        </w:rPr>
        <w:t>filière avicole nécessite, dans les années à venir, des investissements de modernisation des ateliers avicoles, le soutien de l’Etat aux institutions chargées du développement des techniques de production ainsi qu’à la réhabil</w:t>
      </w:r>
      <w:r>
        <w:rPr>
          <w:rFonts w:ascii="Times New Roman" w:hAnsi="Times New Roman" w:cs="Times New Roman"/>
          <w:sz w:val="28"/>
          <w:szCs w:val="28"/>
        </w:rPr>
        <w:t xml:space="preserve">itation de la profession avicole (Mechenene, 2007). </w:t>
      </w:r>
    </w:p>
    <w:p w:rsidR="00B35C31" w:rsidRDefault="00B35C31" w:rsidP="007E6B14">
      <w:pPr>
        <w:ind w:firstLine="284"/>
        <w:jc w:val="both"/>
        <w:rPr>
          <w:rFonts w:asciiTheme="majorBidi" w:hAnsiTheme="majorBidi" w:cstheme="majorBidi"/>
          <w:sz w:val="28"/>
          <w:szCs w:val="28"/>
        </w:rPr>
      </w:pPr>
      <w:r w:rsidRPr="007B44AD">
        <w:rPr>
          <w:rFonts w:asciiTheme="majorBidi" w:hAnsiTheme="majorBidi" w:cstheme="majorBidi"/>
          <w:sz w:val="28"/>
          <w:szCs w:val="28"/>
        </w:rPr>
        <w:t>Le concept de durabilité est aujourd’hui une préoccupation centrale au sein du secteur agricole. La démarche de conception ne peut pas être dissociée de la démarche d’évaluation. Cependant, il existe un nombre important de méthodes et il convient de bien connaitre leurs spécificités et limites respectives pour faire le bon choix. Becker (1997) résume cette situation par la formule « be</w:t>
      </w:r>
      <w:r>
        <w:rPr>
          <w:rFonts w:asciiTheme="majorBidi" w:hAnsiTheme="majorBidi" w:cstheme="majorBidi"/>
          <w:sz w:val="28"/>
          <w:szCs w:val="28"/>
        </w:rPr>
        <w:t xml:space="preserve"> </w:t>
      </w:r>
      <w:r w:rsidRPr="007B44AD">
        <w:rPr>
          <w:rFonts w:asciiTheme="majorBidi" w:hAnsiTheme="majorBidi" w:cstheme="majorBidi"/>
          <w:sz w:val="28"/>
          <w:szCs w:val="28"/>
        </w:rPr>
        <w:t>honnest, be</w:t>
      </w:r>
      <w:r>
        <w:rPr>
          <w:rFonts w:asciiTheme="majorBidi" w:hAnsiTheme="majorBidi" w:cstheme="majorBidi"/>
          <w:sz w:val="28"/>
          <w:szCs w:val="28"/>
        </w:rPr>
        <w:t xml:space="preserve"> </w:t>
      </w:r>
      <w:r w:rsidRPr="007B44AD">
        <w:rPr>
          <w:rFonts w:asciiTheme="majorBidi" w:hAnsiTheme="majorBidi" w:cstheme="majorBidi"/>
          <w:sz w:val="28"/>
          <w:szCs w:val="28"/>
        </w:rPr>
        <w:t>modest, be</w:t>
      </w:r>
      <w:r>
        <w:rPr>
          <w:rFonts w:asciiTheme="majorBidi" w:hAnsiTheme="majorBidi" w:cstheme="majorBidi"/>
          <w:sz w:val="28"/>
          <w:szCs w:val="28"/>
        </w:rPr>
        <w:t xml:space="preserve"> </w:t>
      </w:r>
      <w:r w:rsidRPr="007B44AD">
        <w:rPr>
          <w:rFonts w:asciiTheme="majorBidi" w:hAnsiTheme="majorBidi" w:cstheme="majorBidi"/>
          <w:sz w:val="28"/>
          <w:szCs w:val="28"/>
        </w:rPr>
        <w:t>clear and be</w:t>
      </w:r>
      <w:r>
        <w:rPr>
          <w:rFonts w:asciiTheme="majorBidi" w:hAnsiTheme="majorBidi" w:cstheme="majorBidi"/>
          <w:sz w:val="28"/>
          <w:szCs w:val="28"/>
        </w:rPr>
        <w:t xml:space="preserve"> </w:t>
      </w:r>
      <w:r w:rsidRPr="007B44AD">
        <w:rPr>
          <w:rFonts w:asciiTheme="majorBidi" w:hAnsiTheme="majorBidi" w:cstheme="majorBidi"/>
          <w:sz w:val="28"/>
          <w:szCs w:val="28"/>
        </w:rPr>
        <w:t>cautious » pour souligner que l’évaluation sera d’autant plus efficace que les objectifs seront clarifiés et que les normes et les valeurs qui la sous-t</w:t>
      </w:r>
      <w:r>
        <w:rPr>
          <w:rFonts w:asciiTheme="majorBidi" w:hAnsiTheme="majorBidi" w:cstheme="majorBidi"/>
          <w:sz w:val="28"/>
          <w:szCs w:val="28"/>
        </w:rPr>
        <w:t>endent sont clairement exposées (Fortun-Lamothe, 2012).</w:t>
      </w:r>
    </w:p>
    <w:p w:rsidR="00B35C31" w:rsidRDefault="00B35C31" w:rsidP="007E6B14">
      <w:pPr>
        <w:autoSpaceDE w:val="0"/>
        <w:autoSpaceDN w:val="0"/>
        <w:adjustRightInd w:val="0"/>
        <w:ind w:firstLine="284"/>
        <w:jc w:val="both"/>
        <w:rPr>
          <w:rFonts w:asciiTheme="majorBidi" w:hAnsiTheme="majorBidi" w:cstheme="majorBidi"/>
          <w:sz w:val="28"/>
          <w:szCs w:val="28"/>
        </w:rPr>
      </w:pPr>
      <w:r>
        <w:rPr>
          <w:rFonts w:asciiTheme="majorBidi" w:hAnsiTheme="majorBidi" w:cstheme="majorBidi"/>
          <w:sz w:val="28"/>
          <w:szCs w:val="28"/>
        </w:rPr>
        <w:t xml:space="preserve">Dans la suivante </w:t>
      </w:r>
      <w:r w:rsidRPr="00737F56">
        <w:rPr>
          <w:rFonts w:asciiTheme="majorBidi" w:eastAsia="TimesNewRoman0" w:hAnsiTheme="majorBidi" w:cstheme="majorBidi"/>
          <w:sz w:val="28"/>
          <w:szCs w:val="28"/>
        </w:rPr>
        <w:t xml:space="preserve">étude, et </w:t>
      </w:r>
      <w:r>
        <w:rPr>
          <w:rFonts w:asciiTheme="majorBidi" w:eastAsia="TimesNewRoman0" w:hAnsiTheme="majorBidi" w:cstheme="majorBidi"/>
          <w:sz w:val="28"/>
          <w:szCs w:val="28"/>
        </w:rPr>
        <w:t>à partir de</w:t>
      </w:r>
      <w:r w:rsidRPr="00737F56">
        <w:rPr>
          <w:rFonts w:asciiTheme="majorBidi" w:eastAsia="TimesNewRoman0" w:hAnsiTheme="majorBidi" w:cstheme="majorBidi"/>
          <w:sz w:val="28"/>
          <w:szCs w:val="28"/>
        </w:rPr>
        <w:t xml:space="preserve"> l</w:t>
      </w:r>
      <w:r>
        <w:rPr>
          <w:rFonts w:asciiTheme="majorBidi" w:eastAsia="TimesNewRoman0" w:hAnsiTheme="majorBidi" w:cstheme="majorBidi"/>
          <w:sz w:val="28"/>
          <w:szCs w:val="28"/>
        </w:rPr>
        <w:t xml:space="preserve">’analyse des résultats obtenus sur  </w:t>
      </w:r>
      <w:r w:rsidRPr="00737F56">
        <w:rPr>
          <w:rFonts w:asciiTheme="majorBidi" w:eastAsia="TimesNewRoman0" w:hAnsiTheme="majorBidi" w:cstheme="majorBidi"/>
          <w:sz w:val="28"/>
          <w:szCs w:val="28"/>
        </w:rPr>
        <w:t>l’</w:t>
      </w:r>
      <w:r>
        <w:rPr>
          <w:rFonts w:asciiTheme="majorBidi" w:eastAsia="TimesNewRoman0" w:hAnsiTheme="majorBidi" w:cstheme="majorBidi"/>
          <w:sz w:val="28"/>
          <w:szCs w:val="28"/>
        </w:rPr>
        <w:t xml:space="preserve">évaluation de la durabilité économique par  la </w:t>
      </w:r>
      <w:r w:rsidRPr="00737F56">
        <w:rPr>
          <w:rFonts w:asciiTheme="majorBidi" w:eastAsia="TimesNewRoman0" w:hAnsiTheme="majorBidi" w:cstheme="majorBidi"/>
          <w:sz w:val="28"/>
          <w:szCs w:val="28"/>
        </w:rPr>
        <w:t xml:space="preserve"> méthode</w:t>
      </w:r>
      <w:r>
        <w:rPr>
          <w:rFonts w:asciiTheme="majorBidi" w:eastAsia="TimesNewRoman0" w:hAnsiTheme="majorBidi" w:cstheme="majorBidi"/>
          <w:sz w:val="28"/>
          <w:szCs w:val="28"/>
        </w:rPr>
        <w:t xml:space="preserve"> de DIAMOND, nous avons évalué les indicateurs de la rentabilité économique et ceux de la flexibilité et d’adaptabilité. Cette évaluation nous a permis d’établir un diagnostic sur la maitrise technique de processus de production et la situation </w:t>
      </w:r>
      <w:r>
        <w:rPr>
          <w:rFonts w:asciiTheme="majorBidi" w:hAnsiTheme="majorBidi" w:cstheme="majorBidi"/>
          <w:sz w:val="28"/>
          <w:szCs w:val="28"/>
        </w:rPr>
        <w:t xml:space="preserve">économique des exploitations enquêtées. Et de ce fait, elle nous permet de faire ressorti </w:t>
      </w:r>
      <w:r w:rsidRPr="00737F56">
        <w:rPr>
          <w:rFonts w:asciiTheme="majorBidi" w:hAnsiTheme="majorBidi" w:cstheme="majorBidi"/>
          <w:sz w:val="28"/>
          <w:szCs w:val="28"/>
        </w:rPr>
        <w:t xml:space="preserve">les causes de la faible </w:t>
      </w:r>
      <w:r>
        <w:rPr>
          <w:rFonts w:asciiTheme="majorBidi" w:hAnsiTheme="majorBidi" w:cstheme="majorBidi"/>
          <w:sz w:val="28"/>
          <w:szCs w:val="28"/>
        </w:rPr>
        <w:t>durabilité économique des élevages avicoles.</w:t>
      </w:r>
    </w:p>
    <w:p w:rsidR="00B35C31" w:rsidRDefault="00B35C31" w:rsidP="007E6B14">
      <w:pPr>
        <w:autoSpaceDE w:val="0"/>
        <w:autoSpaceDN w:val="0"/>
        <w:adjustRightInd w:val="0"/>
        <w:ind w:firstLine="284"/>
        <w:jc w:val="both"/>
        <w:rPr>
          <w:rFonts w:asciiTheme="majorBidi" w:hAnsiTheme="majorBidi" w:cstheme="majorBidi"/>
          <w:sz w:val="28"/>
          <w:szCs w:val="28"/>
        </w:rPr>
      </w:pPr>
      <w:r>
        <w:rPr>
          <w:rFonts w:asciiTheme="majorBidi" w:hAnsiTheme="majorBidi" w:cstheme="majorBidi"/>
          <w:sz w:val="28"/>
          <w:szCs w:val="28"/>
        </w:rPr>
        <w:t>Dans le cas de notre étude, nous proposons d’a</w:t>
      </w:r>
      <w:r w:rsidRPr="008B2D7F">
        <w:rPr>
          <w:rFonts w:asciiTheme="majorBidi" w:hAnsiTheme="majorBidi" w:cstheme="majorBidi"/>
          <w:sz w:val="28"/>
          <w:szCs w:val="28"/>
        </w:rPr>
        <w:t xml:space="preserve">méliorer les indicateurs sensibilité aux aides, transmissibilité et autonomie financière qui marquent des scores de durabilité nulles. </w:t>
      </w:r>
    </w:p>
    <w:p w:rsidR="00B35C31" w:rsidRPr="008B2D7F" w:rsidRDefault="00B35C31" w:rsidP="007E6B14">
      <w:pPr>
        <w:autoSpaceDE w:val="0"/>
        <w:autoSpaceDN w:val="0"/>
        <w:adjustRightInd w:val="0"/>
        <w:ind w:firstLine="284"/>
        <w:jc w:val="both"/>
        <w:rPr>
          <w:rFonts w:ascii="Times New Roman" w:hAnsi="Times New Roman" w:cs="Times New Roman"/>
          <w:sz w:val="28"/>
          <w:szCs w:val="28"/>
        </w:rPr>
      </w:pPr>
      <w:r w:rsidRPr="008B2D7F">
        <w:rPr>
          <w:rFonts w:ascii="Times New Roman" w:hAnsi="Times New Roman" w:cs="Times New Roman"/>
          <w:sz w:val="28"/>
          <w:szCs w:val="28"/>
        </w:rPr>
        <w:t>Au niveau de</w:t>
      </w:r>
      <w:r>
        <w:rPr>
          <w:rFonts w:ascii="Times New Roman" w:hAnsi="Times New Roman" w:cs="Times New Roman"/>
          <w:sz w:val="28"/>
          <w:szCs w:val="28"/>
        </w:rPr>
        <w:t xml:space="preserve">s </w:t>
      </w:r>
      <w:r w:rsidRPr="008B2D7F">
        <w:rPr>
          <w:rFonts w:ascii="Times New Roman" w:hAnsi="Times New Roman" w:cs="Times New Roman"/>
          <w:sz w:val="28"/>
          <w:szCs w:val="28"/>
        </w:rPr>
        <w:t>élevage</w:t>
      </w:r>
      <w:r>
        <w:rPr>
          <w:rFonts w:ascii="Times New Roman" w:hAnsi="Times New Roman" w:cs="Times New Roman"/>
          <w:sz w:val="28"/>
          <w:szCs w:val="28"/>
        </w:rPr>
        <w:t>s avicoles</w:t>
      </w:r>
      <w:r w:rsidRPr="008B2D7F">
        <w:rPr>
          <w:rFonts w:ascii="Times New Roman" w:hAnsi="Times New Roman" w:cs="Times New Roman"/>
          <w:sz w:val="28"/>
          <w:szCs w:val="28"/>
        </w:rPr>
        <w:t xml:space="preserve">, il est important d’utiliser cet outil </w:t>
      </w:r>
      <w:r>
        <w:rPr>
          <w:rFonts w:ascii="Times New Roman" w:hAnsi="Times New Roman" w:cs="Times New Roman"/>
          <w:sz w:val="28"/>
          <w:szCs w:val="28"/>
        </w:rPr>
        <w:t xml:space="preserve">de diagnostic </w:t>
      </w:r>
      <w:r w:rsidRPr="008B2D7F">
        <w:rPr>
          <w:rFonts w:ascii="Times New Roman" w:hAnsi="Times New Roman" w:cs="Times New Roman"/>
          <w:sz w:val="28"/>
          <w:szCs w:val="28"/>
        </w:rPr>
        <w:t>pour améliorer les systèmes</w:t>
      </w:r>
      <w:r>
        <w:rPr>
          <w:rFonts w:ascii="Times New Roman" w:hAnsi="Times New Roman" w:cs="Times New Roman"/>
          <w:sz w:val="28"/>
          <w:szCs w:val="28"/>
        </w:rPr>
        <w:t xml:space="preserve"> </w:t>
      </w:r>
      <w:r w:rsidRPr="008B2D7F">
        <w:rPr>
          <w:rFonts w:ascii="Times New Roman" w:hAnsi="Times New Roman" w:cs="Times New Roman"/>
          <w:sz w:val="28"/>
          <w:szCs w:val="28"/>
        </w:rPr>
        <w:t>étudiés en respectant les objectifs du développement durable.</w:t>
      </w:r>
    </w:p>
    <w:p w:rsidR="00B35C31" w:rsidRDefault="00B35C31" w:rsidP="007E6B14">
      <w:pPr>
        <w:autoSpaceDE w:val="0"/>
        <w:autoSpaceDN w:val="0"/>
        <w:adjustRightInd w:val="0"/>
        <w:ind w:firstLine="284"/>
        <w:jc w:val="both"/>
        <w:rPr>
          <w:rFonts w:ascii="Times New Roman" w:hAnsi="Times New Roman" w:cs="Times New Roman"/>
          <w:sz w:val="28"/>
          <w:szCs w:val="28"/>
        </w:rPr>
      </w:pPr>
      <w:r w:rsidRPr="008B2D7F">
        <w:rPr>
          <w:rFonts w:ascii="Times New Roman" w:hAnsi="Times New Roman" w:cs="Times New Roman"/>
          <w:sz w:val="28"/>
          <w:szCs w:val="28"/>
        </w:rPr>
        <w:t xml:space="preserve">Une étude doit être menée pour déterminer la faisabilité de </w:t>
      </w:r>
      <w:r>
        <w:rPr>
          <w:rFonts w:ascii="Times New Roman" w:hAnsi="Times New Roman" w:cs="Times New Roman"/>
          <w:sz w:val="28"/>
          <w:szCs w:val="28"/>
        </w:rPr>
        <w:t>la méthode proposée sur un échantillon des élevages avicoles plus large.</w:t>
      </w:r>
    </w:p>
    <w:p w:rsidR="00B35C31" w:rsidRDefault="00B35C31" w:rsidP="00C65E4A">
      <w:pPr>
        <w:autoSpaceDE w:val="0"/>
        <w:autoSpaceDN w:val="0"/>
        <w:adjustRightInd w:val="0"/>
        <w:jc w:val="both"/>
        <w:rPr>
          <w:rFonts w:ascii="Times New Roman" w:hAnsi="Times New Roman" w:cs="Times New Roman"/>
          <w:sz w:val="28"/>
          <w:szCs w:val="28"/>
        </w:rPr>
      </w:pPr>
    </w:p>
    <w:p w:rsidR="00AC4638" w:rsidRDefault="00AC4638" w:rsidP="00C65E4A">
      <w:pPr>
        <w:autoSpaceDE w:val="0"/>
        <w:autoSpaceDN w:val="0"/>
        <w:adjustRightInd w:val="0"/>
        <w:spacing w:line="240" w:lineRule="auto"/>
        <w:jc w:val="both"/>
        <w:rPr>
          <w:rFonts w:ascii="Times New Roman" w:hAnsi="Times New Roman" w:cs="Times New Roman"/>
          <w:sz w:val="28"/>
          <w:szCs w:val="28"/>
        </w:rPr>
      </w:pPr>
    </w:p>
    <w:p w:rsidR="00AC4638" w:rsidRDefault="00AC4638" w:rsidP="00C65E4A">
      <w:pPr>
        <w:autoSpaceDE w:val="0"/>
        <w:autoSpaceDN w:val="0"/>
        <w:adjustRightInd w:val="0"/>
        <w:spacing w:line="240" w:lineRule="auto"/>
        <w:jc w:val="both"/>
        <w:rPr>
          <w:rFonts w:ascii="Times New Roman" w:hAnsi="Times New Roman" w:cs="Times New Roman"/>
          <w:sz w:val="28"/>
          <w:szCs w:val="28"/>
        </w:rPr>
      </w:pPr>
    </w:p>
    <w:sectPr w:rsidR="00AC4638" w:rsidSect="00E86B6C">
      <w:footerReference w:type="default" r:id="rId26"/>
      <w:pgSz w:w="11906" w:h="16838"/>
      <w:pgMar w:top="1417" w:right="1417" w:bottom="1417" w:left="1418"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690A" w:rsidRDefault="0006690A" w:rsidP="00D2327F">
      <w:pPr>
        <w:spacing w:after="0" w:line="240" w:lineRule="auto"/>
      </w:pPr>
      <w:r>
        <w:separator/>
      </w:r>
    </w:p>
  </w:endnote>
  <w:endnote w:type="continuationSeparator" w:id="1">
    <w:p w:rsidR="0006690A" w:rsidRDefault="0006690A" w:rsidP="00D232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mn-ea">
    <w:altName w:val="Times New Roman"/>
    <w:panose1 w:val="00000000000000000000"/>
    <w:charset w:val="00"/>
    <w:family w:val="roman"/>
    <w:notTrueType/>
    <w:pitch w:val="default"/>
    <w:sig w:usb0="00000000" w:usb1="00000000" w:usb2="00000000" w:usb3="00000000" w:csb0="00000000" w:csb1="00000000"/>
  </w:font>
  <w:font w:name="SymbolMT">
    <w:altName w:val="MS Mincho"/>
    <w:panose1 w:val="00000000000000000000"/>
    <w:charset w:val="80"/>
    <w:family w:val="auto"/>
    <w:notTrueType/>
    <w:pitch w:val="default"/>
    <w:sig w:usb0="00000001" w:usb1="08070000" w:usb2="00000010" w:usb3="00000000" w:csb0="00020000" w:csb1="00000000"/>
  </w:font>
  <w:font w:name="TimesNewRoman0">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9918"/>
      <w:docPartObj>
        <w:docPartGallery w:val="Page Numbers (Bottom of Page)"/>
        <w:docPartUnique/>
      </w:docPartObj>
    </w:sdtPr>
    <w:sdtContent>
      <w:p w:rsidR="003D3A0A" w:rsidRDefault="003D3A0A">
        <w:pPr>
          <w:pStyle w:val="Pieddepage"/>
          <w:jc w:val="center"/>
        </w:pPr>
        <w:fldSimple w:instr=" PAGE   \* MERGEFORMAT ">
          <w:r w:rsidR="00A23D4A">
            <w:rPr>
              <w:noProof/>
            </w:rPr>
            <w:t>72</w:t>
          </w:r>
        </w:fldSimple>
      </w:p>
    </w:sdtContent>
  </w:sdt>
  <w:p w:rsidR="003D3A0A" w:rsidRDefault="003D3A0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690A" w:rsidRDefault="0006690A" w:rsidP="00D2327F">
      <w:pPr>
        <w:spacing w:after="0" w:line="240" w:lineRule="auto"/>
      </w:pPr>
      <w:r>
        <w:separator/>
      </w:r>
    </w:p>
  </w:footnote>
  <w:footnote w:type="continuationSeparator" w:id="1">
    <w:p w:rsidR="0006690A" w:rsidRDefault="0006690A" w:rsidP="00D2327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1045"/>
    <w:multiLevelType w:val="hybridMultilevel"/>
    <w:tmpl w:val="C6E00C22"/>
    <w:lvl w:ilvl="0" w:tplc="BF9EC8D2">
      <w:start w:val="1"/>
      <w:numFmt w:val="bullet"/>
      <w:lvlText w:val="-"/>
      <w:lvlJc w:val="left"/>
      <w:pPr>
        <w:ind w:left="360" w:hanging="360"/>
      </w:pPr>
      <w:rPr>
        <w:rFonts w:ascii="Times New Roman" w:eastAsiaTheme="minorEastAsia"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9941712"/>
    <w:multiLevelType w:val="multilevel"/>
    <w:tmpl w:val="8E4A1B02"/>
    <w:lvl w:ilvl="0">
      <w:start w:val="1"/>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02F7E2D"/>
    <w:multiLevelType w:val="multilevel"/>
    <w:tmpl w:val="A0209340"/>
    <w:lvl w:ilvl="0">
      <w:start w:val="1"/>
      <w:numFmt w:val="decimal"/>
      <w:lvlText w:val="%1."/>
      <w:lvlJc w:val="left"/>
      <w:pPr>
        <w:ind w:left="885" w:hanging="885"/>
      </w:pPr>
      <w:rPr>
        <w:rFonts w:hint="default"/>
      </w:rPr>
    </w:lvl>
    <w:lvl w:ilvl="1">
      <w:start w:val="4"/>
      <w:numFmt w:val="decimal"/>
      <w:lvlText w:val="%1.%2."/>
      <w:lvlJc w:val="left"/>
      <w:pPr>
        <w:ind w:left="885" w:hanging="885"/>
      </w:pPr>
      <w:rPr>
        <w:rFonts w:hint="default"/>
      </w:rPr>
    </w:lvl>
    <w:lvl w:ilvl="2">
      <w:start w:val="1"/>
      <w:numFmt w:val="decimal"/>
      <w:lvlText w:val="%1.%2.%3."/>
      <w:lvlJc w:val="left"/>
      <w:pPr>
        <w:ind w:left="885" w:hanging="885"/>
      </w:pPr>
      <w:rPr>
        <w:rFonts w:hint="default"/>
        <w:b/>
        <w:bCs/>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4EC498B"/>
    <w:multiLevelType w:val="hybridMultilevel"/>
    <w:tmpl w:val="220A3316"/>
    <w:lvl w:ilvl="0" w:tplc="0F7EBAE2">
      <w:start w:val="1"/>
      <w:numFmt w:val="bullet"/>
      <w:lvlText w:val="-"/>
      <w:lvlJc w:val="left"/>
      <w:pPr>
        <w:ind w:left="360" w:hanging="360"/>
      </w:pPr>
      <w:rPr>
        <w:rFonts w:ascii="Times New Roman" w:eastAsiaTheme="minorHAnsi" w:hAnsi="Times New Roman" w:cs="Times New Roman"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16143AED"/>
    <w:multiLevelType w:val="hybridMultilevel"/>
    <w:tmpl w:val="F7ECD29A"/>
    <w:lvl w:ilvl="0" w:tplc="040C0019">
      <w:start w:val="2"/>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8FE744D"/>
    <w:multiLevelType w:val="multilevel"/>
    <w:tmpl w:val="EDDA46EC"/>
    <w:lvl w:ilvl="0">
      <w:start w:val="1"/>
      <w:numFmt w:val="upperRoman"/>
      <w:lvlText w:val="%1."/>
      <w:lvlJc w:val="left"/>
      <w:pPr>
        <w:ind w:left="862" w:hanging="720"/>
      </w:pPr>
      <w:rPr>
        <w:rFonts w:hint="default"/>
      </w:rPr>
    </w:lvl>
    <w:lvl w:ilvl="1">
      <w:start w:val="4"/>
      <w:numFmt w:val="decimal"/>
      <w:isLgl/>
      <w:lvlText w:val="%1.%2."/>
      <w:lvlJc w:val="left"/>
      <w:pPr>
        <w:ind w:left="1004" w:hanging="720"/>
      </w:pPr>
      <w:rPr>
        <w:rFonts w:hint="default"/>
      </w:rPr>
    </w:lvl>
    <w:lvl w:ilvl="2">
      <w:start w:val="2"/>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6">
    <w:nsid w:val="1C7A304C"/>
    <w:multiLevelType w:val="multilevel"/>
    <w:tmpl w:val="2228A3B6"/>
    <w:lvl w:ilvl="0">
      <w:start w:val="1"/>
      <w:numFmt w:val="decimal"/>
      <w:lvlText w:val="%1."/>
      <w:lvlJc w:val="left"/>
      <w:pPr>
        <w:ind w:left="675" w:hanging="675"/>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nsid w:val="2B1E6113"/>
    <w:multiLevelType w:val="multilevel"/>
    <w:tmpl w:val="CB724906"/>
    <w:lvl w:ilvl="0">
      <w:start w:val="1"/>
      <w:numFmt w:val="decimal"/>
      <w:lvlText w:val="%1."/>
      <w:lvlJc w:val="left"/>
      <w:pPr>
        <w:ind w:left="900" w:hanging="900"/>
      </w:pPr>
      <w:rPr>
        <w:rFonts w:hint="default"/>
      </w:rPr>
    </w:lvl>
    <w:lvl w:ilvl="1">
      <w:start w:val="3"/>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2A94BED"/>
    <w:multiLevelType w:val="multilevel"/>
    <w:tmpl w:val="6096D112"/>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6EA710E"/>
    <w:multiLevelType w:val="hybridMultilevel"/>
    <w:tmpl w:val="3E84B46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3AEC3B4E"/>
    <w:multiLevelType w:val="hybridMultilevel"/>
    <w:tmpl w:val="BC14018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3DB5DCD"/>
    <w:multiLevelType w:val="multilevel"/>
    <w:tmpl w:val="A4DC2C92"/>
    <w:lvl w:ilvl="0">
      <w:start w:val="1"/>
      <w:numFmt w:val="decimal"/>
      <w:lvlText w:val="%1"/>
      <w:lvlJc w:val="left"/>
      <w:pPr>
        <w:ind w:left="825" w:hanging="825"/>
      </w:pPr>
      <w:rPr>
        <w:rFonts w:hint="default"/>
      </w:rPr>
    </w:lvl>
    <w:lvl w:ilvl="1">
      <w:start w:val="4"/>
      <w:numFmt w:val="decimal"/>
      <w:lvlText w:val="%1.%2"/>
      <w:lvlJc w:val="left"/>
      <w:pPr>
        <w:ind w:left="825" w:hanging="825"/>
      </w:pPr>
      <w:rPr>
        <w:rFonts w:hint="default"/>
      </w:rPr>
    </w:lvl>
    <w:lvl w:ilvl="2">
      <w:start w:val="4"/>
      <w:numFmt w:val="decimal"/>
      <w:lvlText w:val="%1.%2.%3"/>
      <w:lvlJc w:val="left"/>
      <w:pPr>
        <w:ind w:left="825" w:hanging="825"/>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6F56878"/>
    <w:multiLevelType w:val="hybridMultilevel"/>
    <w:tmpl w:val="72581B34"/>
    <w:lvl w:ilvl="0" w:tplc="040C000B">
      <w:start w:val="1"/>
      <w:numFmt w:val="bullet"/>
      <w:lvlText w:val=""/>
      <w:lvlJc w:val="left"/>
      <w:pPr>
        <w:ind w:left="1495" w:hanging="360"/>
      </w:pPr>
      <w:rPr>
        <w:rFonts w:ascii="Wingdings" w:hAnsi="Wingdings" w:hint="default"/>
      </w:rPr>
    </w:lvl>
    <w:lvl w:ilvl="1" w:tplc="040C0003" w:tentative="1">
      <w:start w:val="1"/>
      <w:numFmt w:val="bullet"/>
      <w:lvlText w:val="o"/>
      <w:lvlJc w:val="left"/>
      <w:pPr>
        <w:ind w:left="2215" w:hanging="360"/>
      </w:pPr>
      <w:rPr>
        <w:rFonts w:ascii="Courier New" w:hAnsi="Courier New" w:cs="Courier New" w:hint="default"/>
      </w:rPr>
    </w:lvl>
    <w:lvl w:ilvl="2" w:tplc="040C0005" w:tentative="1">
      <w:start w:val="1"/>
      <w:numFmt w:val="bullet"/>
      <w:lvlText w:val=""/>
      <w:lvlJc w:val="left"/>
      <w:pPr>
        <w:ind w:left="2935" w:hanging="360"/>
      </w:pPr>
      <w:rPr>
        <w:rFonts w:ascii="Wingdings" w:hAnsi="Wingdings" w:hint="default"/>
      </w:rPr>
    </w:lvl>
    <w:lvl w:ilvl="3" w:tplc="040C0001" w:tentative="1">
      <w:start w:val="1"/>
      <w:numFmt w:val="bullet"/>
      <w:lvlText w:val=""/>
      <w:lvlJc w:val="left"/>
      <w:pPr>
        <w:ind w:left="3655" w:hanging="360"/>
      </w:pPr>
      <w:rPr>
        <w:rFonts w:ascii="Symbol" w:hAnsi="Symbol" w:hint="default"/>
      </w:rPr>
    </w:lvl>
    <w:lvl w:ilvl="4" w:tplc="040C0003" w:tentative="1">
      <w:start w:val="1"/>
      <w:numFmt w:val="bullet"/>
      <w:lvlText w:val="o"/>
      <w:lvlJc w:val="left"/>
      <w:pPr>
        <w:ind w:left="4375" w:hanging="360"/>
      </w:pPr>
      <w:rPr>
        <w:rFonts w:ascii="Courier New" w:hAnsi="Courier New" w:cs="Courier New" w:hint="default"/>
      </w:rPr>
    </w:lvl>
    <w:lvl w:ilvl="5" w:tplc="040C0005" w:tentative="1">
      <w:start w:val="1"/>
      <w:numFmt w:val="bullet"/>
      <w:lvlText w:val=""/>
      <w:lvlJc w:val="left"/>
      <w:pPr>
        <w:ind w:left="5095" w:hanging="360"/>
      </w:pPr>
      <w:rPr>
        <w:rFonts w:ascii="Wingdings" w:hAnsi="Wingdings" w:hint="default"/>
      </w:rPr>
    </w:lvl>
    <w:lvl w:ilvl="6" w:tplc="040C0001" w:tentative="1">
      <w:start w:val="1"/>
      <w:numFmt w:val="bullet"/>
      <w:lvlText w:val=""/>
      <w:lvlJc w:val="left"/>
      <w:pPr>
        <w:ind w:left="5815" w:hanging="360"/>
      </w:pPr>
      <w:rPr>
        <w:rFonts w:ascii="Symbol" w:hAnsi="Symbol" w:hint="default"/>
      </w:rPr>
    </w:lvl>
    <w:lvl w:ilvl="7" w:tplc="040C0003" w:tentative="1">
      <w:start w:val="1"/>
      <w:numFmt w:val="bullet"/>
      <w:lvlText w:val="o"/>
      <w:lvlJc w:val="left"/>
      <w:pPr>
        <w:ind w:left="6535" w:hanging="360"/>
      </w:pPr>
      <w:rPr>
        <w:rFonts w:ascii="Courier New" w:hAnsi="Courier New" w:cs="Courier New" w:hint="default"/>
      </w:rPr>
    </w:lvl>
    <w:lvl w:ilvl="8" w:tplc="040C0005" w:tentative="1">
      <w:start w:val="1"/>
      <w:numFmt w:val="bullet"/>
      <w:lvlText w:val=""/>
      <w:lvlJc w:val="left"/>
      <w:pPr>
        <w:ind w:left="7255" w:hanging="360"/>
      </w:pPr>
      <w:rPr>
        <w:rFonts w:ascii="Wingdings" w:hAnsi="Wingdings" w:hint="default"/>
      </w:rPr>
    </w:lvl>
  </w:abstractNum>
  <w:abstractNum w:abstractNumId="13">
    <w:nsid w:val="48930671"/>
    <w:multiLevelType w:val="hybridMultilevel"/>
    <w:tmpl w:val="792298A6"/>
    <w:lvl w:ilvl="0" w:tplc="2D8227E8">
      <w:start w:val="25"/>
      <w:numFmt w:val="bullet"/>
      <w:lvlText w:val="-"/>
      <w:lvlJc w:val="left"/>
      <w:pPr>
        <w:ind w:left="360" w:hanging="360"/>
      </w:pPr>
      <w:rPr>
        <w:rFonts w:ascii="Calibri" w:eastAsiaTheme="minorHAnsi" w:hAnsi="Calibri" w:cs="Calibri" w:hint="default"/>
        <w:sz w:val="23"/>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4B135FC1"/>
    <w:multiLevelType w:val="multilevel"/>
    <w:tmpl w:val="8D08FE9E"/>
    <w:lvl w:ilvl="0">
      <w:start w:val="1"/>
      <w:numFmt w:val="decimal"/>
      <w:lvlText w:val="%1"/>
      <w:lvlJc w:val="left"/>
      <w:pPr>
        <w:ind w:left="600" w:hanging="600"/>
      </w:pPr>
      <w:rPr>
        <w:rFonts w:hint="default"/>
        <w:b/>
      </w:rPr>
    </w:lvl>
    <w:lvl w:ilvl="1">
      <w:start w:val="1"/>
      <w:numFmt w:val="decimal"/>
      <w:lvlText w:val="%1.%2"/>
      <w:lvlJc w:val="left"/>
      <w:pPr>
        <w:ind w:left="960" w:hanging="60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15">
    <w:nsid w:val="50D660C7"/>
    <w:multiLevelType w:val="multilevel"/>
    <w:tmpl w:val="1BAE58EC"/>
    <w:lvl w:ilvl="0">
      <w:start w:val="1"/>
      <w:numFmt w:val="decimal"/>
      <w:lvlText w:val="%1."/>
      <w:lvlJc w:val="left"/>
      <w:pPr>
        <w:ind w:left="675" w:hanging="675"/>
      </w:pPr>
      <w:rPr>
        <w:rFonts w:hint="default"/>
        <w:b/>
        <w:color w:val="000000" w:themeColor="text1"/>
      </w:rPr>
    </w:lvl>
    <w:lvl w:ilvl="1">
      <w:start w:val="1"/>
      <w:numFmt w:val="decimal"/>
      <w:lvlText w:val="%1.%2."/>
      <w:lvlJc w:val="left"/>
      <w:pPr>
        <w:ind w:left="720" w:hanging="720"/>
      </w:pPr>
      <w:rPr>
        <w:rFonts w:hint="default"/>
        <w:b/>
        <w:color w:val="000000" w:themeColor="text1"/>
      </w:rPr>
    </w:lvl>
    <w:lvl w:ilvl="2">
      <w:start w:val="2"/>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b/>
        <w:color w:val="000000" w:themeColor="text1"/>
      </w:rPr>
    </w:lvl>
    <w:lvl w:ilvl="4">
      <w:start w:val="1"/>
      <w:numFmt w:val="decimal"/>
      <w:lvlText w:val="%1.%2.%3.%4.%5."/>
      <w:lvlJc w:val="left"/>
      <w:pPr>
        <w:ind w:left="1080" w:hanging="1080"/>
      </w:pPr>
      <w:rPr>
        <w:rFonts w:hint="default"/>
        <w:b/>
        <w:color w:val="000000" w:themeColor="text1"/>
      </w:rPr>
    </w:lvl>
    <w:lvl w:ilvl="5">
      <w:start w:val="1"/>
      <w:numFmt w:val="decimal"/>
      <w:lvlText w:val="%1.%2.%3.%4.%5.%6."/>
      <w:lvlJc w:val="left"/>
      <w:pPr>
        <w:ind w:left="1440" w:hanging="1440"/>
      </w:pPr>
      <w:rPr>
        <w:rFonts w:hint="default"/>
        <w:b/>
        <w:color w:val="000000" w:themeColor="text1"/>
      </w:rPr>
    </w:lvl>
    <w:lvl w:ilvl="6">
      <w:start w:val="1"/>
      <w:numFmt w:val="decimal"/>
      <w:lvlText w:val="%1.%2.%3.%4.%5.%6.%7."/>
      <w:lvlJc w:val="left"/>
      <w:pPr>
        <w:ind w:left="1800" w:hanging="1800"/>
      </w:pPr>
      <w:rPr>
        <w:rFonts w:hint="default"/>
        <w:b/>
        <w:color w:val="000000" w:themeColor="text1"/>
      </w:rPr>
    </w:lvl>
    <w:lvl w:ilvl="7">
      <w:start w:val="1"/>
      <w:numFmt w:val="decimal"/>
      <w:lvlText w:val="%1.%2.%3.%4.%5.%6.%7.%8."/>
      <w:lvlJc w:val="left"/>
      <w:pPr>
        <w:ind w:left="1800" w:hanging="1800"/>
      </w:pPr>
      <w:rPr>
        <w:rFonts w:hint="default"/>
        <w:b/>
        <w:color w:val="000000" w:themeColor="text1"/>
      </w:rPr>
    </w:lvl>
    <w:lvl w:ilvl="8">
      <w:start w:val="1"/>
      <w:numFmt w:val="decimal"/>
      <w:lvlText w:val="%1.%2.%3.%4.%5.%6.%7.%8.%9."/>
      <w:lvlJc w:val="left"/>
      <w:pPr>
        <w:ind w:left="2160" w:hanging="2160"/>
      </w:pPr>
      <w:rPr>
        <w:rFonts w:hint="default"/>
        <w:b/>
        <w:color w:val="000000" w:themeColor="text1"/>
      </w:rPr>
    </w:lvl>
  </w:abstractNum>
  <w:abstractNum w:abstractNumId="16">
    <w:nsid w:val="5190504D"/>
    <w:multiLevelType w:val="multilevel"/>
    <w:tmpl w:val="BB961806"/>
    <w:lvl w:ilvl="0">
      <w:start w:val="1"/>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6925FC0"/>
    <w:multiLevelType w:val="hybridMultilevel"/>
    <w:tmpl w:val="27EAC648"/>
    <w:lvl w:ilvl="0" w:tplc="5B043106">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8">
    <w:nsid w:val="56CB0261"/>
    <w:multiLevelType w:val="multilevel"/>
    <w:tmpl w:val="C4966A30"/>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1146"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nsid w:val="573D7BD7"/>
    <w:multiLevelType w:val="multilevel"/>
    <w:tmpl w:val="50CC3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7464E84"/>
    <w:multiLevelType w:val="hybridMultilevel"/>
    <w:tmpl w:val="7BB652B2"/>
    <w:lvl w:ilvl="0" w:tplc="E7B22D12">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AD02639"/>
    <w:multiLevelType w:val="multilevel"/>
    <w:tmpl w:val="316A30B8"/>
    <w:lvl w:ilvl="0">
      <w:start w:val="1"/>
      <w:numFmt w:val="decimal"/>
      <w:lvlText w:val="%1."/>
      <w:lvlJc w:val="left"/>
      <w:pPr>
        <w:ind w:left="675" w:hanging="675"/>
      </w:pPr>
      <w:rPr>
        <w:rFonts w:hint="default"/>
        <w:b/>
        <w:color w:val="000000" w:themeColor="text1"/>
      </w:rPr>
    </w:lvl>
    <w:lvl w:ilvl="1">
      <w:start w:val="1"/>
      <w:numFmt w:val="decimal"/>
      <w:lvlText w:val="%1.%2."/>
      <w:lvlJc w:val="left"/>
      <w:pPr>
        <w:ind w:left="1293" w:hanging="720"/>
      </w:pPr>
      <w:rPr>
        <w:rFonts w:hint="default"/>
        <w:b/>
        <w:color w:val="000000" w:themeColor="text1"/>
      </w:rPr>
    </w:lvl>
    <w:lvl w:ilvl="2">
      <w:start w:val="2"/>
      <w:numFmt w:val="decimal"/>
      <w:lvlText w:val="%1.%2.%3."/>
      <w:lvlJc w:val="left"/>
      <w:pPr>
        <w:ind w:left="1866" w:hanging="720"/>
      </w:pPr>
      <w:rPr>
        <w:rFonts w:hint="default"/>
        <w:b/>
        <w:color w:val="000000" w:themeColor="text1"/>
      </w:rPr>
    </w:lvl>
    <w:lvl w:ilvl="3">
      <w:start w:val="1"/>
      <w:numFmt w:val="decimal"/>
      <w:lvlText w:val="%1.%2.%3.%4."/>
      <w:lvlJc w:val="left"/>
      <w:pPr>
        <w:ind w:left="2799" w:hanging="1080"/>
      </w:pPr>
      <w:rPr>
        <w:rFonts w:hint="default"/>
        <w:b/>
        <w:color w:val="000000" w:themeColor="text1"/>
      </w:rPr>
    </w:lvl>
    <w:lvl w:ilvl="4">
      <w:start w:val="1"/>
      <w:numFmt w:val="decimal"/>
      <w:lvlText w:val="%1.%2.%3.%4.%5."/>
      <w:lvlJc w:val="left"/>
      <w:pPr>
        <w:ind w:left="3372" w:hanging="1080"/>
      </w:pPr>
      <w:rPr>
        <w:rFonts w:hint="default"/>
        <w:b/>
        <w:color w:val="000000" w:themeColor="text1"/>
      </w:rPr>
    </w:lvl>
    <w:lvl w:ilvl="5">
      <w:start w:val="1"/>
      <w:numFmt w:val="decimal"/>
      <w:lvlText w:val="%1.%2.%3.%4.%5.%6."/>
      <w:lvlJc w:val="left"/>
      <w:pPr>
        <w:ind w:left="4305" w:hanging="1440"/>
      </w:pPr>
      <w:rPr>
        <w:rFonts w:hint="default"/>
        <w:b/>
        <w:color w:val="000000" w:themeColor="text1"/>
      </w:rPr>
    </w:lvl>
    <w:lvl w:ilvl="6">
      <w:start w:val="1"/>
      <w:numFmt w:val="decimal"/>
      <w:lvlText w:val="%1.%2.%3.%4.%5.%6.%7."/>
      <w:lvlJc w:val="left"/>
      <w:pPr>
        <w:ind w:left="5238" w:hanging="1800"/>
      </w:pPr>
      <w:rPr>
        <w:rFonts w:hint="default"/>
        <w:b/>
        <w:color w:val="000000" w:themeColor="text1"/>
      </w:rPr>
    </w:lvl>
    <w:lvl w:ilvl="7">
      <w:start w:val="1"/>
      <w:numFmt w:val="decimal"/>
      <w:lvlText w:val="%1.%2.%3.%4.%5.%6.%7.%8."/>
      <w:lvlJc w:val="left"/>
      <w:pPr>
        <w:ind w:left="5811" w:hanging="1800"/>
      </w:pPr>
      <w:rPr>
        <w:rFonts w:hint="default"/>
        <w:b/>
        <w:color w:val="000000" w:themeColor="text1"/>
      </w:rPr>
    </w:lvl>
    <w:lvl w:ilvl="8">
      <w:start w:val="1"/>
      <w:numFmt w:val="decimal"/>
      <w:lvlText w:val="%1.%2.%3.%4.%5.%6.%7.%8.%9."/>
      <w:lvlJc w:val="left"/>
      <w:pPr>
        <w:ind w:left="6744" w:hanging="2160"/>
      </w:pPr>
      <w:rPr>
        <w:rFonts w:hint="default"/>
        <w:b/>
        <w:color w:val="000000" w:themeColor="text1"/>
      </w:rPr>
    </w:lvl>
  </w:abstractNum>
  <w:abstractNum w:abstractNumId="22">
    <w:nsid w:val="5B756E62"/>
    <w:multiLevelType w:val="multilevel"/>
    <w:tmpl w:val="F1C00E42"/>
    <w:lvl w:ilvl="0">
      <w:start w:val="1"/>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DDE68E0"/>
    <w:multiLevelType w:val="multilevel"/>
    <w:tmpl w:val="A4A61920"/>
    <w:lvl w:ilvl="0">
      <w:start w:val="2"/>
      <w:numFmt w:val="upperRoman"/>
      <w:lvlText w:val="%1."/>
      <w:lvlJc w:val="left"/>
      <w:pPr>
        <w:ind w:left="1080" w:hanging="720"/>
      </w:pPr>
      <w:rPr>
        <w:rFonts w:hint="default"/>
      </w:rPr>
    </w:lvl>
    <w:lvl w:ilvl="1">
      <w:start w:val="1"/>
      <w:numFmt w:val="decimal"/>
      <w:isLgl/>
      <w:lvlText w:val="%1.%2."/>
      <w:lvlJc w:val="left"/>
      <w:pPr>
        <w:ind w:left="1245" w:hanging="885"/>
      </w:pPr>
      <w:rPr>
        <w:rFonts w:hint="default"/>
        <w:color w:val="auto"/>
      </w:rPr>
    </w:lvl>
    <w:lvl w:ilvl="2">
      <w:start w:val="2"/>
      <w:numFmt w:val="decimal"/>
      <w:isLgl/>
      <w:lvlText w:val="%1.%2.%3."/>
      <w:lvlJc w:val="left"/>
      <w:pPr>
        <w:ind w:left="1245" w:hanging="885"/>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2160" w:hanging="180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24">
    <w:nsid w:val="62756160"/>
    <w:multiLevelType w:val="hybridMultilevel"/>
    <w:tmpl w:val="E88A98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8815A4A"/>
    <w:multiLevelType w:val="multilevel"/>
    <w:tmpl w:val="18EC87B8"/>
    <w:lvl w:ilvl="0">
      <w:start w:val="1"/>
      <w:numFmt w:val="decimal"/>
      <w:lvlText w:val="%1."/>
      <w:lvlJc w:val="left"/>
      <w:pPr>
        <w:ind w:left="825" w:hanging="825"/>
      </w:pPr>
      <w:rPr>
        <w:rFonts w:hint="default"/>
      </w:rPr>
    </w:lvl>
    <w:lvl w:ilvl="1">
      <w:start w:val="3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93C452E"/>
    <w:multiLevelType w:val="multilevel"/>
    <w:tmpl w:val="8F9E1C88"/>
    <w:lvl w:ilvl="0">
      <w:start w:val="1"/>
      <w:numFmt w:val="decimal"/>
      <w:lvlText w:val="%1"/>
      <w:lvlJc w:val="left"/>
      <w:pPr>
        <w:ind w:left="825" w:hanging="825"/>
      </w:pPr>
      <w:rPr>
        <w:rFonts w:hint="default"/>
      </w:rPr>
    </w:lvl>
    <w:lvl w:ilvl="1">
      <w:start w:val="4"/>
      <w:numFmt w:val="decimal"/>
      <w:lvlText w:val="%1.%2"/>
      <w:lvlJc w:val="left"/>
      <w:pPr>
        <w:ind w:left="1185" w:hanging="825"/>
      </w:pPr>
      <w:rPr>
        <w:rFonts w:hint="default"/>
      </w:rPr>
    </w:lvl>
    <w:lvl w:ilvl="2">
      <w:start w:val="4"/>
      <w:numFmt w:val="decimal"/>
      <w:lvlText w:val="%1.%2.%3"/>
      <w:lvlJc w:val="left"/>
      <w:pPr>
        <w:ind w:left="1545" w:hanging="825"/>
      </w:pPr>
      <w:rPr>
        <w:rFonts w:hint="default"/>
      </w:rPr>
    </w:lvl>
    <w:lvl w:ilvl="3">
      <w:start w:val="2"/>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nsid w:val="7A282AE2"/>
    <w:multiLevelType w:val="multilevel"/>
    <w:tmpl w:val="B5B2E1BA"/>
    <w:lvl w:ilvl="0">
      <w:start w:val="1"/>
      <w:numFmt w:val="decimal"/>
      <w:lvlText w:val="%1"/>
      <w:lvlJc w:val="left"/>
      <w:pPr>
        <w:ind w:left="825" w:hanging="825"/>
      </w:pPr>
      <w:rPr>
        <w:rFonts w:hint="default"/>
      </w:rPr>
    </w:lvl>
    <w:lvl w:ilvl="1">
      <w:start w:val="4"/>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EFE3A27"/>
    <w:multiLevelType w:val="multilevel"/>
    <w:tmpl w:val="6D8C376C"/>
    <w:lvl w:ilvl="0">
      <w:start w:val="3"/>
      <w:numFmt w:val="decimal"/>
      <w:lvlText w:val="%1."/>
      <w:lvlJc w:val="left"/>
      <w:pPr>
        <w:ind w:left="885" w:hanging="885"/>
      </w:pPr>
      <w:rPr>
        <w:rFonts w:hint="default"/>
      </w:rPr>
    </w:lvl>
    <w:lvl w:ilvl="1">
      <w:start w:val="1"/>
      <w:numFmt w:val="decimal"/>
      <w:lvlText w:val="%1.%2."/>
      <w:lvlJc w:val="left"/>
      <w:pPr>
        <w:ind w:left="1005" w:hanging="885"/>
      </w:pPr>
      <w:rPr>
        <w:rFonts w:hint="default"/>
      </w:rPr>
    </w:lvl>
    <w:lvl w:ilvl="2">
      <w:start w:val="2"/>
      <w:numFmt w:val="decimal"/>
      <w:lvlText w:val="%1.%2.%3."/>
      <w:lvlJc w:val="left"/>
      <w:pPr>
        <w:ind w:left="1125" w:hanging="885"/>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num w:numId="1">
    <w:abstractNumId w:val="5"/>
  </w:num>
  <w:num w:numId="2">
    <w:abstractNumId w:val="9"/>
  </w:num>
  <w:num w:numId="3">
    <w:abstractNumId w:val="12"/>
  </w:num>
  <w:num w:numId="4">
    <w:abstractNumId w:val="18"/>
  </w:num>
  <w:num w:numId="5">
    <w:abstractNumId w:val="19"/>
  </w:num>
  <w:num w:numId="6">
    <w:abstractNumId w:val="2"/>
  </w:num>
  <w:num w:numId="7">
    <w:abstractNumId w:val="13"/>
  </w:num>
  <w:num w:numId="8">
    <w:abstractNumId w:val="20"/>
  </w:num>
  <w:num w:numId="9">
    <w:abstractNumId w:val="3"/>
  </w:num>
  <w:num w:numId="10">
    <w:abstractNumId w:val="10"/>
  </w:num>
  <w:num w:numId="11">
    <w:abstractNumId w:val="0"/>
  </w:num>
  <w:num w:numId="12">
    <w:abstractNumId w:val="4"/>
  </w:num>
  <w:num w:numId="13">
    <w:abstractNumId w:val="23"/>
  </w:num>
  <w:num w:numId="14">
    <w:abstractNumId w:val="8"/>
  </w:num>
  <w:num w:numId="15">
    <w:abstractNumId w:val="27"/>
  </w:num>
  <w:num w:numId="16">
    <w:abstractNumId w:val="14"/>
  </w:num>
  <w:num w:numId="17">
    <w:abstractNumId w:val="25"/>
  </w:num>
  <w:num w:numId="18">
    <w:abstractNumId w:val="11"/>
  </w:num>
  <w:num w:numId="19">
    <w:abstractNumId w:val="24"/>
  </w:num>
  <w:num w:numId="20">
    <w:abstractNumId w:val="21"/>
  </w:num>
  <w:num w:numId="21">
    <w:abstractNumId w:val="15"/>
  </w:num>
  <w:num w:numId="22">
    <w:abstractNumId w:val="7"/>
  </w:num>
  <w:num w:numId="23">
    <w:abstractNumId w:val="26"/>
  </w:num>
  <w:num w:numId="24">
    <w:abstractNumId w:val="17"/>
  </w:num>
  <w:num w:numId="25">
    <w:abstractNumId w:val="28"/>
  </w:num>
  <w:num w:numId="26">
    <w:abstractNumId w:val="1"/>
  </w:num>
  <w:num w:numId="27">
    <w:abstractNumId w:val="6"/>
  </w:num>
  <w:num w:numId="28">
    <w:abstractNumId w:val="16"/>
  </w:num>
  <w:num w:numId="29">
    <w:abstractNumId w:val="2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0D3F35"/>
    <w:rsid w:val="00016CE8"/>
    <w:rsid w:val="00032F4F"/>
    <w:rsid w:val="000407A0"/>
    <w:rsid w:val="0006690A"/>
    <w:rsid w:val="000B3A89"/>
    <w:rsid w:val="000B5E9B"/>
    <w:rsid w:val="000C3743"/>
    <w:rsid w:val="000D3F35"/>
    <w:rsid w:val="001006A8"/>
    <w:rsid w:val="00103196"/>
    <w:rsid w:val="0012375F"/>
    <w:rsid w:val="00152679"/>
    <w:rsid w:val="001652B5"/>
    <w:rsid w:val="00173DE8"/>
    <w:rsid w:val="001B61AC"/>
    <w:rsid w:val="001E3A6D"/>
    <w:rsid w:val="00201C1F"/>
    <w:rsid w:val="00222F97"/>
    <w:rsid w:val="002415EE"/>
    <w:rsid w:val="00245D61"/>
    <w:rsid w:val="00374753"/>
    <w:rsid w:val="003D3A0A"/>
    <w:rsid w:val="003F3D29"/>
    <w:rsid w:val="00443AE6"/>
    <w:rsid w:val="00462FC8"/>
    <w:rsid w:val="004724CB"/>
    <w:rsid w:val="004734C5"/>
    <w:rsid w:val="004E75F7"/>
    <w:rsid w:val="005179E4"/>
    <w:rsid w:val="005614A8"/>
    <w:rsid w:val="00575CAF"/>
    <w:rsid w:val="005979F0"/>
    <w:rsid w:val="005B58F3"/>
    <w:rsid w:val="005F2671"/>
    <w:rsid w:val="00613119"/>
    <w:rsid w:val="0065662B"/>
    <w:rsid w:val="006575B8"/>
    <w:rsid w:val="00677884"/>
    <w:rsid w:val="00697844"/>
    <w:rsid w:val="006B3BD0"/>
    <w:rsid w:val="006E3980"/>
    <w:rsid w:val="006F3DB9"/>
    <w:rsid w:val="00737F56"/>
    <w:rsid w:val="007455D3"/>
    <w:rsid w:val="00745642"/>
    <w:rsid w:val="007574C5"/>
    <w:rsid w:val="00787C45"/>
    <w:rsid w:val="0079668A"/>
    <w:rsid w:val="007D2F63"/>
    <w:rsid w:val="007D6943"/>
    <w:rsid w:val="007E6B14"/>
    <w:rsid w:val="007E716C"/>
    <w:rsid w:val="008B2D7F"/>
    <w:rsid w:val="008E2BA1"/>
    <w:rsid w:val="008E4A4A"/>
    <w:rsid w:val="008F4108"/>
    <w:rsid w:val="008F7ED4"/>
    <w:rsid w:val="009342C3"/>
    <w:rsid w:val="00953BBA"/>
    <w:rsid w:val="00987C58"/>
    <w:rsid w:val="009B4971"/>
    <w:rsid w:val="009D1599"/>
    <w:rsid w:val="009E57B0"/>
    <w:rsid w:val="00A23D4A"/>
    <w:rsid w:val="00A52E02"/>
    <w:rsid w:val="00A80B2E"/>
    <w:rsid w:val="00A90688"/>
    <w:rsid w:val="00AC4638"/>
    <w:rsid w:val="00AD30AE"/>
    <w:rsid w:val="00B07CBC"/>
    <w:rsid w:val="00B12F1F"/>
    <w:rsid w:val="00B35C31"/>
    <w:rsid w:val="00B36CB2"/>
    <w:rsid w:val="00B5759C"/>
    <w:rsid w:val="00BC4092"/>
    <w:rsid w:val="00BC5DF3"/>
    <w:rsid w:val="00BE7232"/>
    <w:rsid w:val="00C1244B"/>
    <w:rsid w:val="00C448C3"/>
    <w:rsid w:val="00C65E4A"/>
    <w:rsid w:val="00C677C9"/>
    <w:rsid w:val="00C858DC"/>
    <w:rsid w:val="00CE7F27"/>
    <w:rsid w:val="00D1130E"/>
    <w:rsid w:val="00D2327F"/>
    <w:rsid w:val="00D440A6"/>
    <w:rsid w:val="00D702CB"/>
    <w:rsid w:val="00D86768"/>
    <w:rsid w:val="00DA5FE1"/>
    <w:rsid w:val="00DB4A95"/>
    <w:rsid w:val="00DF59B0"/>
    <w:rsid w:val="00E1348A"/>
    <w:rsid w:val="00E15F89"/>
    <w:rsid w:val="00E16688"/>
    <w:rsid w:val="00E21E7E"/>
    <w:rsid w:val="00E378E1"/>
    <w:rsid w:val="00E779EC"/>
    <w:rsid w:val="00E86B6C"/>
    <w:rsid w:val="00EA322D"/>
    <w:rsid w:val="00EA67A4"/>
    <w:rsid w:val="00EB03E6"/>
    <w:rsid w:val="00EC79D0"/>
    <w:rsid w:val="00EE5E3D"/>
    <w:rsid w:val="00F35109"/>
    <w:rsid w:val="00F43677"/>
    <w:rsid w:val="00F6752A"/>
    <w:rsid w:val="00F7028A"/>
    <w:rsid w:val="00F9307A"/>
    <w:rsid w:val="00FA462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F35"/>
    <w:pPr>
      <w:spacing w:after="200" w:line="276" w:lineRule="auto"/>
    </w:pPr>
    <w:rPr>
      <w:rFonts w:eastAsiaTheme="minorEastAsia"/>
      <w:lang w:eastAsia="fr-FR"/>
    </w:rPr>
  </w:style>
  <w:style w:type="paragraph" w:styleId="Titre1">
    <w:name w:val="heading 1"/>
    <w:basedOn w:val="Normal"/>
    <w:next w:val="Normal"/>
    <w:link w:val="Titre1Car"/>
    <w:uiPriority w:val="9"/>
    <w:qFormat/>
    <w:rsid w:val="000D3F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D3F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D3F35"/>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D3F35"/>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uiPriority w:val="9"/>
    <w:rsid w:val="000D3F35"/>
    <w:rPr>
      <w:rFonts w:asciiTheme="majorHAnsi" w:eastAsiaTheme="majorEastAsia" w:hAnsiTheme="majorHAnsi" w:cstheme="majorBidi"/>
      <w:b/>
      <w:bCs/>
      <w:color w:val="4F81BD" w:themeColor="accent1"/>
      <w:sz w:val="26"/>
      <w:szCs w:val="26"/>
      <w:lang w:eastAsia="fr-FR"/>
    </w:rPr>
  </w:style>
  <w:style w:type="character" w:customStyle="1" w:styleId="Titre3Car">
    <w:name w:val="Titre 3 Car"/>
    <w:basedOn w:val="Policepardfaut"/>
    <w:link w:val="Titre3"/>
    <w:uiPriority w:val="9"/>
    <w:rsid w:val="000D3F35"/>
    <w:rPr>
      <w:rFonts w:asciiTheme="majorHAnsi" w:eastAsiaTheme="majorEastAsia" w:hAnsiTheme="majorHAnsi" w:cstheme="majorBidi"/>
      <w:b/>
      <w:bCs/>
      <w:color w:val="4F81BD" w:themeColor="accent1"/>
      <w:lang w:eastAsia="fr-FR"/>
    </w:rPr>
  </w:style>
  <w:style w:type="paragraph" w:styleId="Paragraphedeliste">
    <w:name w:val="List Paragraph"/>
    <w:basedOn w:val="Normal"/>
    <w:uiPriority w:val="34"/>
    <w:qFormat/>
    <w:rsid w:val="000D3F35"/>
    <w:pPr>
      <w:ind w:left="720"/>
      <w:contextualSpacing/>
    </w:pPr>
  </w:style>
  <w:style w:type="paragraph" w:styleId="NormalWeb">
    <w:name w:val="Normal (Web)"/>
    <w:basedOn w:val="Normal"/>
    <w:uiPriority w:val="99"/>
    <w:unhideWhenUsed/>
    <w:rsid w:val="000D3F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wrap">
    <w:name w:val="nowrap"/>
    <w:basedOn w:val="Policepardfaut"/>
    <w:rsid w:val="000D3F35"/>
  </w:style>
  <w:style w:type="character" w:styleId="Lienhypertexte">
    <w:name w:val="Hyperlink"/>
    <w:basedOn w:val="Policepardfaut"/>
    <w:uiPriority w:val="99"/>
    <w:unhideWhenUsed/>
    <w:rsid w:val="000D3F35"/>
    <w:rPr>
      <w:color w:val="0000FF"/>
      <w:u w:val="single"/>
    </w:rPr>
  </w:style>
  <w:style w:type="paragraph" w:styleId="Textedebulles">
    <w:name w:val="Balloon Text"/>
    <w:basedOn w:val="Normal"/>
    <w:link w:val="TextedebullesCar"/>
    <w:uiPriority w:val="99"/>
    <w:semiHidden/>
    <w:unhideWhenUsed/>
    <w:rsid w:val="000D3F3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D3F35"/>
    <w:rPr>
      <w:rFonts w:ascii="Tahoma" w:eastAsiaTheme="minorEastAsia" w:hAnsi="Tahoma" w:cs="Tahoma"/>
      <w:sz w:val="16"/>
      <w:szCs w:val="16"/>
      <w:lang w:eastAsia="fr-FR"/>
    </w:rPr>
  </w:style>
  <w:style w:type="character" w:styleId="Textedelespacerserv">
    <w:name w:val="Placeholder Text"/>
    <w:basedOn w:val="Policepardfaut"/>
    <w:uiPriority w:val="99"/>
    <w:semiHidden/>
    <w:rsid w:val="000D3F35"/>
    <w:rPr>
      <w:color w:val="808080"/>
    </w:rPr>
  </w:style>
  <w:style w:type="character" w:customStyle="1" w:styleId="hps">
    <w:name w:val="hps"/>
    <w:basedOn w:val="Policepardfaut"/>
    <w:rsid w:val="000D3F35"/>
  </w:style>
  <w:style w:type="table" w:styleId="Grilledutableau">
    <w:name w:val="Table Grid"/>
    <w:basedOn w:val="TableauNormal"/>
    <w:uiPriority w:val="59"/>
    <w:rsid w:val="000D3F35"/>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0D3F35"/>
    <w:pPr>
      <w:tabs>
        <w:tab w:val="center" w:pos="4536"/>
        <w:tab w:val="right" w:pos="9072"/>
      </w:tabs>
      <w:spacing w:after="0" w:line="240" w:lineRule="auto"/>
    </w:pPr>
  </w:style>
  <w:style w:type="character" w:customStyle="1" w:styleId="En-tteCar">
    <w:name w:val="En-tête Car"/>
    <w:basedOn w:val="Policepardfaut"/>
    <w:link w:val="En-tte"/>
    <w:uiPriority w:val="99"/>
    <w:rsid w:val="000D3F35"/>
    <w:rPr>
      <w:rFonts w:eastAsiaTheme="minorEastAsia"/>
      <w:lang w:eastAsia="fr-FR"/>
    </w:rPr>
  </w:style>
  <w:style w:type="paragraph" w:styleId="Pieddepage">
    <w:name w:val="footer"/>
    <w:basedOn w:val="Normal"/>
    <w:link w:val="PieddepageCar"/>
    <w:uiPriority w:val="99"/>
    <w:unhideWhenUsed/>
    <w:rsid w:val="000D3F3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D3F35"/>
    <w:rPr>
      <w:rFonts w:eastAsiaTheme="minorEastAsia"/>
      <w:lang w:eastAsia="fr-FR"/>
    </w:rPr>
  </w:style>
  <w:style w:type="character" w:customStyle="1" w:styleId="apple-converted-space">
    <w:name w:val="apple-converted-space"/>
    <w:basedOn w:val="Policepardfaut"/>
    <w:rsid w:val="000D3F35"/>
  </w:style>
  <w:style w:type="character" w:customStyle="1" w:styleId="glmot">
    <w:name w:val="gl_mot"/>
    <w:basedOn w:val="Policepardfaut"/>
    <w:rsid w:val="000D3F35"/>
  </w:style>
  <w:style w:type="character" w:customStyle="1" w:styleId="vcard">
    <w:name w:val="vcard"/>
    <w:basedOn w:val="Policepardfaut"/>
    <w:rsid w:val="000D3F35"/>
  </w:style>
  <w:style w:type="paragraph" w:styleId="Sansinterligne">
    <w:name w:val="No Spacing"/>
    <w:uiPriority w:val="1"/>
    <w:qFormat/>
    <w:rsid w:val="000D3F35"/>
    <w:rPr>
      <w:rFonts w:eastAsiaTheme="minorEastAsia"/>
      <w:lang w:eastAsia="fr-FR"/>
    </w:rPr>
  </w:style>
  <w:style w:type="paragraph" w:customStyle="1" w:styleId="Default">
    <w:name w:val="Default"/>
    <w:rsid w:val="000D3F35"/>
    <w:pPr>
      <w:autoSpaceDE w:val="0"/>
      <w:autoSpaceDN w:val="0"/>
      <w:adjustRightInd w:val="0"/>
    </w:pPr>
    <w:rPr>
      <w:rFonts w:ascii="Arial" w:eastAsiaTheme="minorEastAsia" w:hAnsi="Arial" w:cs="Arial"/>
      <w:color w:val="000000"/>
      <w:sz w:val="24"/>
      <w:szCs w:val="24"/>
      <w:lang w:eastAsia="fr-FR"/>
    </w:rPr>
  </w:style>
  <w:style w:type="character" w:customStyle="1" w:styleId="romain">
    <w:name w:val="romain"/>
    <w:basedOn w:val="Policepardfaut"/>
    <w:rsid w:val="000D3F35"/>
  </w:style>
  <w:style w:type="character" w:styleId="lev">
    <w:name w:val="Strong"/>
    <w:basedOn w:val="Policepardfaut"/>
    <w:uiPriority w:val="22"/>
    <w:qFormat/>
    <w:rsid w:val="000D3F35"/>
    <w:rPr>
      <w:b/>
      <w:bCs/>
    </w:rPr>
  </w:style>
  <w:style w:type="paragraph" w:customStyle="1" w:styleId="spip">
    <w:name w:val="spip"/>
    <w:basedOn w:val="Normal"/>
    <w:rsid w:val="000D3F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andard">
    <w:name w:val="Standard"/>
    <w:rsid w:val="000D3F35"/>
    <w:pPr>
      <w:suppressAutoHyphens/>
      <w:autoSpaceDN w:val="0"/>
      <w:bidi/>
      <w:spacing w:after="200" w:line="276" w:lineRule="auto"/>
      <w:jc w:val="right"/>
      <w:textAlignment w:val="baseline"/>
    </w:pPr>
    <w:rPr>
      <w:rFonts w:ascii="Calibri" w:eastAsia="Calibri" w:hAnsi="Calibri" w:cs="Arial"/>
      <w:kern w:val="3"/>
      <w:lang w:val="en-US"/>
    </w:rPr>
  </w:style>
  <w:style w:type="character" w:customStyle="1" w:styleId="x6ygnig0w">
    <w:name w:val="x6ygnig0w"/>
    <w:basedOn w:val="Policepardfaut"/>
    <w:rsid w:val="000D3F3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r.wikipedia.org/wiki/Wilaya_de_Bouira" TargetMode="External"/><Relationship Id="rId13" Type="http://schemas.openxmlformats.org/officeDocument/2006/relationships/hyperlink" Target="http://fr.wikipedia.org/wiki/Wilaya_de_Djelfa" TargetMode="External"/><Relationship Id="rId18" Type="http://schemas.openxmlformats.org/officeDocument/2006/relationships/hyperlink" Target="http://fr.wikipedia.org/wiki/Bou_Sa%C3%A2da"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chart" Target="charts/chart4.xml"/><Relationship Id="rId7" Type="http://schemas.openxmlformats.org/officeDocument/2006/relationships/chart" Target="charts/chart1.xml"/><Relationship Id="rId12" Type="http://schemas.openxmlformats.org/officeDocument/2006/relationships/hyperlink" Target="http://fr.wikipedia.org/wiki/Wilaya_de_M%C3%A9d%C3%A9a" TargetMode="External"/><Relationship Id="rId17" Type="http://schemas.openxmlformats.org/officeDocument/2006/relationships/hyperlink" Target="http://fr.wikipedia.org/wiki/M%27Sila" TargetMode="External"/><Relationship Id="rId25"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hyperlink" Target="http://fr.wikipedia.org/wiki/Agriculture" TargetMode="External"/><Relationship Id="rId20"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fr.wikipedia.org/wiki/Wilaya_de_S%C3%A9tif" TargetMode="External"/><Relationship Id="rId24" Type="http://schemas.openxmlformats.org/officeDocument/2006/relationships/chart" Target="charts/chart7.xml"/><Relationship Id="rId5" Type="http://schemas.openxmlformats.org/officeDocument/2006/relationships/footnotes" Target="footnotes.xml"/><Relationship Id="rId15" Type="http://schemas.openxmlformats.org/officeDocument/2006/relationships/hyperlink" Target="http://fr.wikipedia.org/wiki/Steppe" TargetMode="External"/><Relationship Id="rId23" Type="http://schemas.openxmlformats.org/officeDocument/2006/relationships/chart" Target="charts/chart6.xml"/><Relationship Id="rId28" Type="http://schemas.openxmlformats.org/officeDocument/2006/relationships/theme" Target="theme/theme1.xml"/><Relationship Id="rId10" Type="http://schemas.openxmlformats.org/officeDocument/2006/relationships/hyperlink" Target="http://fr.wikipedia.org/wiki/Wilaya_de_Batna" TargetMode="External"/><Relationship Id="rId19"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hyperlink" Target="http://fr.wikipedia.org/wiki/Wilaya_de_Bordj-Bou-Arreridj" TargetMode="External"/><Relationship Id="rId14" Type="http://schemas.openxmlformats.org/officeDocument/2006/relationships/hyperlink" Target="http://fr.wikipedia.org/wiki/Wilaya_de_Biskra" TargetMode="External"/><Relationship Id="rId22" Type="http://schemas.openxmlformats.org/officeDocument/2006/relationships/chart" Target="charts/chart5.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uper\Desktop\prix%20des%20viandes%202004%202014.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uper\Desktop\Trabelssi%20H%20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uper\Desktop\ETUDIANTS\Master%20Trabelsi\Trabelssi%20H%20M.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uper\Desktop\Trabelssi%20H%20M.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uper\Desktop\Trabelssi%20H%20M.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uper\Desktop\ETUDIANTS\Master%20Trabelsi\Trabelssi%20H%20M.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uper\Desktop\ETUDIANTS\Master%20Trabelsi\Trabelssi%20H%20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30"/>
  <c:chart>
    <c:autoTitleDeleted val="1"/>
    <c:plotArea>
      <c:layout>
        <c:manualLayout>
          <c:layoutTarget val="inner"/>
          <c:xMode val="edge"/>
          <c:yMode val="edge"/>
          <c:x val="0.12572463216405239"/>
          <c:y val="9.1180662423975739E-2"/>
          <c:w val="0.85516491688538965"/>
          <c:h val="0.82428340557697022"/>
        </c:manualLayout>
      </c:layout>
      <c:barChart>
        <c:barDir val="col"/>
        <c:grouping val="clustered"/>
        <c:ser>
          <c:idx val="0"/>
          <c:order val="0"/>
          <c:tx>
            <c:strRef>
              <c:f>Feuil1!$B$24</c:f>
              <c:strCache>
                <c:ptCount val="1"/>
                <c:pt idx="0">
                  <c:v>Volaille</c:v>
                </c:pt>
              </c:strCache>
            </c:strRef>
          </c:tx>
          <c:spPr>
            <a:solidFill>
              <a:schemeClr val="accent6">
                <a:lumMod val="75000"/>
              </a:schemeClr>
            </a:solidFill>
          </c:spPr>
          <c:cat>
            <c:numRef>
              <c:f>Feuil1!$A$25:$A$35</c:f>
              <c:numCache>
                <c:formatCode>General</c:formatCode>
                <c:ptCount val="11"/>
                <c:pt idx="0">
                  <c:v>2004</c:v>
                </c:pt>
                <c:pt idx="1">
                  <c:v>2005</c:v>
                </c:pt>
                <c:pt idx="2">
                  <c:v>2006</c:v>
                </c:pt>
                <c:pt idx="3">
                  <c:v>2007</c:v>
                </c:pt>
                <c:pt idx="4">
                  <c:v>2008</c:v>
                </c:pt>
                <c:pt idx="5">
                  <c:v>2009</c:v>
                </c:pt>
                <c:pt idx="6">
                  <c:v>2010</c:v>
                </c:pt>
                <c:pt idx="7">
                  <c:v>2011</c:v>
                </c:pt>
                <c:pt idx="8">
                  <c:v>2012</c:v>
                </c:pt>
                <c:pt idx="9">
                  <c:v>2013</c:v>
                </c:pt>
                <c:pt idx="10">
                  <c:v>2014</c:v>
                </c:pt>
              </c:numCache>
            </c:numRef>
          </c:cat>
          <c:val>
            <c:numRef>
              <c:f>Feuil1!$B$25:$B$35</c:f>
              <c:numCache>
                <c:formatCode>General</c:formatCode>
                <c:ptCount val="11"/>
                <c:pt idx="0">
                  <c:v>209.58333333333425</c:v>
                </c:pt>
                <c:pt idx="1">
                  <c:v>236.66666666666652</c:v>
                </c:pt>
                <c:pt idx="2">
                  <c:v>226.66666666666652</c:v>
                </c:pt>
                <c:pt idx="3">
                  <c:v>225</c:v>
                </c:pt>
                <c:pt idx="4">
                  <c:v>245.83333333333425</c:v>
                </c:pt>
                <c:pt idx="5">
                  <c:v>263.33333333333331</c:v>
                </c:pt>
                <c:pt idx="6">
                  <c:v>255</c:v>
                </c:pt>
                <c:pt idx="7">
                  <c:v>287.5</c:v>
                </c:pt>
                <c:pt idx="8">
                  <c:v>331.66666666666708</c:v>
                </c:pt>
                <c:pt idx="9">
                  <c:v>304.75</c:v>
                </c:pt>
                <c:pt idx="10">
                  <c:v>280.14999999999998</c:v>
                </c:pt>
              </c:numCache>
            </c:numRef>
          </c:val>
        </c:ser>
        <c:ser>
          <c:idx val="1"/>
          <c:order val="1"/>
          <c:tx>
            <c:strRef>
              <c:f>Feuil1!$C$24</c:f>
              <c:strCache>
                <c:ptCount val="1"/>
                <c:pt idx="0">
                  <c:v>ovin</c:v>
                </c:pt>
              </c:strCache>
            </c:strRef>
          </c:tx>
          <c:spPr>
            <a:solidFill>
              <a:schemeClr val="bg1">
                <a:lumMod val="85000"/>
              </a:schemeClr>
            </a:solidFill>
            <a:ln>
              <a:solidFill>
                <a:schemeClr val="tx1"/>
              </a:solidFill>
            </a:ln>
          </c:spPr>
          <c:cat>
            <c:numRef>
              <c:f>Feuil1!$A$25:$A$35</c:f>
              <c:numCache>
                <c:formatCode>General</c:formatCode>
                <c:ptCount val="11"/>
                <c:pt idx="0">
                  <c:v>2004</c:v>
                </c:pt>
                <c:pt idx="1">
                  <c:v>2005</c:v>
                </c:pt>
                <c:pt idx="2">
                  <c:v>2006</c:v>
                </c:pt>
                <c:pt idx="3">
                  <c:v>2007</c:v>
                </c:pt>
                <c:pt idx="4">
                  <c:v>2008</c:v>
                </c:pt>
                <c:pt idx="5">
                  <c:v>2009</c:v>
                </c:pt>
                <c:pt idx="6">
                  <c:v>2010</c:v>
                </c:pt>
                <c:pt idx="7">
                  <c:v>2011</c:v>
                </c:pt>
                <c:pt idx="8">
                  <c:v>2012</c:v>
                </c:pt>
                <c:pt idx="9">
                  <c:v>2013</c:v>
                </c:pt>
                <c:pt idx="10">
                  <c:v>2014</c:v>
                </c:pt>
              </c:numCache>
            </c:numRef>
          </c:cat>
          <c:val>
            <c:numRef>
              <c:f>Feuil1!$C$25:$C$35</c:f>
              <c:numCache>
                <c:formatCode>General</c:formatCode>
                <c:ptCount val="11"/>
                <c:pt idx="0">
                  <c:v>667</c:v>
                </c:pt>
                <c:pt idx="1">
                  <c:v>595</c:v>
                </c:pt>
                <c:pt idx="2">
                  <c:v>597</c:v>
                </c:pt>
                <c:pt idx="3">
                  <c:v>573</c:v>
                </c:pt>
                <c:pt idx="4">
                  <c:v>597</c:v>
                </c:pt>
                <c:pt idx="5">
                  <c:v>728</c:v>
                </c:pt>
                <c:pt idx="6">
                  <c:v>743</c:v>
                </c:pt>
                <c:pt idx="7">
                  <c:v>820</c:v>
                </c:pt>
                <c:pt idx="8">
                  <c:v>1050</c:v>
                </c:pt>
                <c:pt idx="9">
                  <c:v>1225</c:v>
                </c:pt>
                <c:pt idx="10">
                  <c:v>1275</c:v>
                </c:pt>
              </c:numCache>
            </c:numRef>
          </c:val>
        </c:ser>
        <c:ser>
          <c:idx val="2"/>
          <c:order val="2"/>
          <c:tx>
            <c:strRef>
              <c:f>Feuil1!$D$24</c:f>
              <c:strCache>
                <c:ptCount val="1"/>
                <c:pt idx="0">
                  <c:v>bovin </c:v>
                </c:pt>
              </c:strCache>
            </c:strRef>
          </c:tx>
          <c:spPr>
            <a:pattFill prst="pct60">
              <a:fgClr>
                <a:schemeClr val="tx1"/>
              </a:fgClr>
              <a:bgClr>
                <a:schemeClr val="bg1"/>
              </a:bgClr>
            </a:pattFill>
          </c:spPr>
          <c:cat>
            <c:numRef>
              <c:f>Feuil1!$A$25:$A$35</c:f>
              <c:numCache>
                <c:formatCode>General</c:formatCode>
                <c:ptCount val="11"/>
                <c:pt idx="0">
                  <c:v>2004</c:v>
                </c:pt>
                <c:pt idx="1">
                  <c:v>2005</c:v>
                </c:pt>
                <c:pt idx="2">
                  <c:v>2006</c:v>
                </c:pt>
                <c:pt idx="3">
                  <c:v>2007</c:v>
                </c:pt>
                <c:pt idx="4">
                  <c:v>2008</c:v>
                </c:pt>
                <c:pt idx="5">
                  <c:v>2009</c:v>
                </c:pt>
                <c:pt idx="6">
                  <c:v>2010</c:v>
                </c:pt>
                <c:pt idx="7">
                  <c:v>2011</c:v>
                </c:pt>
                <c:pt idx="8">
                  <c:v>2012</c:v>
                </c:pt>
                <c:pt idx="9">
                  <c:v>2013</c:v>
                </c:pt>
                <c:pt idx="10">
                  <c:v>2014</c:v>
                </c:pt>
              </c:numCache>
            </c:numRef>
          </c:cat>
          <c:val>
            <c:numRef>
              <c:f>Feuil1!$D$25:$D$35</c:f>
              <c:numCache>
                <c:formatCode>General</c:formatCode>
                <c:ptCount val="11"/>
                <c:pt idx="0">
                  <c:v>563</c:v>
                </c:pt>
                <c:pt idx="1">
                  <c:v>548</c:v>
                </c:pt>
                <c:pt idx="2">
                  <c:v>559</c:v>
                </c:pt>
                <c:pt idx="3">
                  <c:v>550</c:v>
                </c:pt>
                <c:pt idx="4">
                  <c:v>550</c:v>
                </c:pt>
                <c:pt idx="5">
                  <c:v>592</c:v>
                </c:pt>
                <c:pt idx="6">
                  <c:v>650</c:v>
                </c:pt>
                <c:pt idx="7">
                  <c:v>738</c:v>
                </c:pt>
                <c:pt idx="8">
                  <c:v>858</c:v>
                </c:pt>
                <c:pt idx="9">
                  <c:v>900</c:v>
                </c:pt>
                <c:pt idx="10">
                  <c:v>900</c:v>
                </c:pt>
              </c:numCache>
            </c:numRef>
          </c:val>
        </c:ser>
        <c:axId val="88098688"/>
        <c:axId val="94163712"/>
      </c:barChart>
      <c:catAx>
        <c:axId val="88098688"/>
        <c:scaling>
          <c:orientation val="minMax"/>
        </c:scaling>
        <c:axPos val="b"/>
        <c:title>
          <c:tx>
            <c:rich>
              <a:bodyPr/>
              <a:lstStyle/>
              <a:p>
                <a:pPr>
                  <a:defRPr/>
                </a:pPr>
                <a:r>
                  <a:rPr lang="fr-FR"/>
                  <a:t>Années</a:t>
                </a:r>
              </a:p>
            </c:rich>
          </c:tx>
          <c:layout>
            <c:manualLayout>
              <c:xMode val="edge"/>
              <c:yMode val="edge"/>
              <c:x val="0.83962642169728774"/>
              <c:y val="0.91108778069407992"/>
            </c:manualLayout>
          </c:layout>
        </c:title>
        <c:numFmt formatCode="General" sourceLinked="1"/>
        <c:majorTickMark val="none"/>
        <c:tickLblPos val="nextTo"/>
        <c:crossAx val="94163712"/>
        <c:crosses val="autoZero"/>
        <c:auto val="1"/>
        <c:lblAlgn val="ctr"/>
        <c:lblOffset val="100"/>
      </c:catAx>
      <c:valAx>
        <c:axId val="94163712"/>
        <c:scaling>
          <c:orientation val="minMax"/>
          <c:max val="1275"/>
        </c:scaling>
        <c:axPos val="l"/>
        <c:title>
          <c:tx>
            <c:rich>
              <a:bodyPr/>
              <a:lstStyle/>
              <a:p>
                <a:pPr>
                  <a:defRPr/>
                </a:pPr>
                <a:r>
                  <a:rPr lang="fr-FR"/>
                  <a:t>Prix 5DA/Kg)</a:t>
                </a:r>
              </a:p>
            </c:rich>
          </c:tx>
          <c:layout>
            <c:manualLayout>
              <c:xMode val="edge"/>
              <c:yMode val="edge"/>
              <c:x val="0"/>
              <c:y val="0.32588582677165751"/>
            </c:manualLayout>
          </c:layout>
        </c:title>
        <c:numFmt formatCode="General" sourceLinked="1"/>
        <c:tickLblPos val="nextTo"/>
        <c:crossAx val="88098688"/>
        <c:crosses val="autoZero"/>
        <c:crossBetween val="between"/>
      </c:valAx>
    </c:plotArea>
    <c:legend>
      <c:legendPos val="r"/>
      <c:layout>
        <c:manualLayout>
          <c:xMode val="edge"/>
          <c:yMode val="edge"/>
          <c:x val="0.20874735850110285"/>
          <c:y val="0.18680847185768562"/>
          <c:w val="0.48211594431785176"/>
          <c:h val="8.9114537766112598E-2"/>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latin typeface="Times New Roman" pitchFamily="18" charset="0"/>
                <a:cs typeface="Times New Roman" pitchFamily="18" charset="0"/>
              </a:rPr>
              <a:t>graphe</a:t>
            </a:r>
            <a:r>
              <a:rPr lang="en-US" sz="1100" baseline="0">
                <a:latin typeface="Times New Roman" pitchFamily="18" charset="0"/>
                <a:cs typeface="Times New Roman" pitchFamily="18" charset="0"/>
              </a:rPr>
              <a:t> </a:t>
            </a:r>
            <a:r>
              <a:rPr lang="en-US" sz="1100">
                <a:latin typeface="Times New Roman" pitchFamily="18" charset="0"/>
                <a:cs typeface="Times New Roman" pitchFamily="18" charset="0"/>
              </a:rPr>
              <a:t> 2  : Résultat</a:t>
            </a:r>
            <a:r>
              <a:rPr lang="en-US" sz="1100" baseline="0">
                <a:latin typeface="Times New Roman" pitchFamily="18" charset="0"/>
                <a:cs typeface="Times New Roman" pitchFamily="18" charset="0"/>
              </a:rPr>
              <a:t> de l'indicateur viabilité économique </a:t>
            </a:r>
            <a:endParaRPr lang="en-US" sz="1100">
              <a:latin typeface="Times New Roman" pitchFamily="18" charset="0"/>
              <a:cs typeface="Times New Roman" pitchFamily="18" charset="0"/>
            </a:endParaRPr>
          </a:p>
        </c:rich>
      </c:tx>
      <c:layout>
        <c:manualLayout>
          <c:xMode val="edge"/>
          <c:yMode val="edge"/>
          <c:x val="0.16284033245844381"/>
          <c:y val="0"/>
        </c:manualLayout>
      </c:layout>
    </c:title>
    <c:plotArea>
      <c:layout>
        <c:manualLayout>
          <c:layoutTarget val="inner"/>
          <c:xMode val="edge"/>
          <c:yMode val="edge"/>
          <c:x val="0.14824875300214796"/>
          <c:y val="8.2019107886383183E-2"/>
          <c:w val="0.81714372772775656"/>
          <c:h val="0.56848908861433922"/>
        </c:manualLayout>
      </c:layout>
      <c:barChart>
        <c:barDir val="col"/>
        <c:grouping val="clustered"/>
        <c:ser>
          <c:idx val="0"/>
          <c:order val="0"/>
          <c:tx>
            <c:strRef>
              <c:f>Feuil1!$A$5</c:f>
              <c:strCache>
                <c:ptCount val="1"/>
                <c:pt idx="0">
                  <c:v>VE</c:v>
                </c:pt>
              </c:strCache>
            </c:strRef>
          </c:tx>
          <c:dPt>
            <c:idx val="5"/>
            <c:spPr>
              <a:solidFill>
                <a:schemeClr val="tx1">
                  <a:lumMod val="65000"/>
                  <a:lumOff val="35000"/>
                </a:schemeClr>
              </a:solidFill>
            </c:spPr>
          </c:dPt>
          <c:cat>
            <c:multiLvlStrRef>
              <c:f>Feuil1!$B$3:$G$4</c:f>
              <c:multiLvlStrCache>
                <c:ptCount val="6"/>
                <c:lvl>
                  <c:pt idx="5">
                    <c:v>Valeur Max,</c:v>
                  </c:pt>
                </c:lvl>
                <c:lvl>
                  <c:pt idx="0">
                    <c:v>Coq Hodna </c:v>
                  </c:pt>
                  <c:pt idx="1">
                    <c:v>Belhaous </c:v>
                  </c:pt>
                  <c:pt idx="2">
                    <c:v>ORAC </c:v>
                  </c:pt>
                  <c:pt idx="3">
                    <c:v>Frahtia </c:v>
                  </c:pt>
                  <c:pt idx="4">
                    <c:v>Lachache </c:v>
                  </c:pt>
                </c:lvl>
              </c:multiLvlStrCache>
            </c:multiLvlStrRef>
          </c:cat>
          <c:val>
            <c:numRef>
              <c:f>Feuil1!$B$5:$G$5</c:f>
              <c:numCache>
                <c:formatCode>General</c:formatCode>
                <c:ptCount val="6"/>
                <c:pt idx="0">
                  <c:v>6</c:v>
                </c:pt>
                <c:pt idx="1">
                  <c:v>10</c:v>
                </c:pt>
                <c:pt idx="2">
                  <c:v>3</c:v>
                </c:pt>
                <c:pt idx="3">
                  <c:v>6</c:v>
                </c:pt>
                <c:pt idx="4">
                  <c:v>10</c:v>
                </c:pt>
                <c:pt idx="5">
                  <c:v>10</c:v>
                </c:pt>
              </c:numCache>
            </c:numRef>
          </c:val>
        </c:ser>
        <c:axId val="96869760"/>
        <c:axId val="98632832"/>
      </c:barChart>
      <c:catAx>
        <c:axId val="96869760"/>
        <c:scaling>
          <c:orientation val="minMax"/>
        </c:scaling>
        <c:axPos val="b"/>
        <c:majorTickMark val="none"/>
        <c:tickLblPos val="nextTo"/>
        <c:crossAx val="98632832"/>
        <c:crosses val="autoZero"/>
        <c:auto val="1"/>
        <c:lblAlgn val="ctr"/>
        <c:lblOffset val="100"/>
      </c:catAx>
      <c:valAx>
        <c:axId val="98632832"/>
        <c:scaling>
          <c:orientation val="minMax"/>
        </c:scaling>
        <c:axPos val="l"/>
        <c:title>
          <c:tx>
            <c:rich>
              <a:bodyPr/>
              <a:lstStyle/>
              <a:p>
                <a:pPr>
                  <a:defRPr/>
                </a:pPr>
                <a:r>
                  <a:rPr lang="fr-FR"/>
                  <a:t>Score de l'indicateur</a:t>
                </a:r>
              </a:p>
            </c:rich>
          </c:tx>
        </c:title>
        <c:numFmt formatCode="General" sourceLinked="1"/>
        <c:majorTickMark val="none"/>
        <c:tickLblPos val="nextTo"/>
        <c:crossAx val="96869760"/>
        <c:crosses val="autoZero"/>
        <c:crossBetween val="between"/>
      </c:valAx>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plotArea>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r>
              <a:rPr lang="fr-FR" sz="1100">
                <a:latin typeface="Times New Roman" pitchFamily="18" charset="0"/>
                <a:cs typeface="Times New Roman" pitchFamily="18" charset="0"/>
              </a:rPr>
              <a:t>graphe  3 : Résultat</a:t>
            </a:r>
            <a:r>
              <a:rPr lang="fr-FR" sz="1100" baseline="0">
                <a:latin typeface="Times New Roman" pitchFamily="18" charset="0"/>
                <a:cs typeface="Times New Roman" pitchFamily="18" charset="0"/>
              </a:rPr>
              <a:t> de l'indicateur </a:t>
            </a:r>
            <a:r>
              <a:rPr lang="fr-FR" sz="1100" b="1">
                <a:effectLst/>
                <a:latin typeface="Times New Roman" pitchFamily="18" charset="0"/>
                <a:cs typeface="Times New Roman" pitchFamily="18" charset="0"/>
              </a:rPr>
              <a:t>Efficience du processus productif</a:t>
            </a:r>
            <a:endParaRPr lang="fr-FR" sz="1100">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r>
              <a:rPr lang="fr-FR" sz="1100" baseline="0"/>
              <a:t> </a:t>
            </a:r>
            <a:endParaRPr lang="fr-FR" sz="1100"/>
          </a:p>
        </c:rich>
      </c:tx>
      <c:layout>
        <c:manualLayout>
          <c:xMode val="edge"/>
          <c:yMode val="edge"/>
          <c:x val="0.19173988678020726"/>
          <c:y val="0"/>
        </c:manualLayout>
      </c:layout>
    </c:title>
    <c:plotArea>
      <c:layout>
        <c:manualLayout>
          <c:layoutTarget val="inner"/>
          <c:xMode val="edge"/>
          <c:yMode val="edge"/>
          <c:x val="0.11779092820441719"/>
          <c:y val="9.9919718624129031E-2"/>
          <c:w val="0.88220899267661468"/>
          <c:h val="0.71161015265041039"/>
        </c:manualLayout>
      </c:layout>
      <c:barChart>
        <c:barDir val="col"/>
        <c:grouping val="clustered"/>
        <c:ser>
          <c:idx val="0"/>
          <c:order val="0"/>
          <c:tx>
            <c:strRef>
              <c:f>Feuil1!$A$10</c:f>
              <c:strCache>
                <c:ptCount val="1"/>
                <c:pt idx="0">
                  <c:v> Efficience du processus</c:v>
                </c:pt>
              </c:strCache>
            </c:strRef>
          </c:tx>
          <c:dLbls>
            <c:dLbl>
              <c:idx val="5"/>
              <c:showVal val="1"/>
              <c:showSerName val="1"/>
            </c:dLbl>
            <c:delete val="1"/>
          </c:dLbls>
          <c:cat>
            <c:strRef>
              <c:f>Feuil1!$B$9:$G$9</c:f>
              <c:strCache>
                <c:ptCount val="6"/>
                <c:pt idx="0">
                  <c:v>Coq Hodna </c:v>
                </c:pt>
                <c:pt idx="1">
                  <c:v>Belhaous </c:v>
                </c:pt>
                <c:pt idx="2">
                  <c:v>ORAC </c:v>
                </c:pt>
                <c:pt idx="3">
                  <c:v>Frahtia </c:v>
                </c:pt>
                <c:pt idx="4">
                  <c:v>Lachache </c:v>
                </c:pt>
                <c:pt idx="5">
                  <c:v>Valeur Max,</c:v>
                </c:pt>
              </c:strCache>
            </c:strRef>
          </c:cat>
          <c:val>
            <c:numRef>
              <c:f>Feuil1!$B$10:$G$10</c:f>
              <c:numCache>
                <c:formatCode>General</c:formatCode>
                <c:ptCount val="6"/>
              </c:numCache>
            </c:numRef>
          </c:val>
        </c:ser>
        <c:ser>
          <c:idx val="1"/>
          <c:order val="1"/>
          <c:tx>
            <c:strRef>
              <c:f>Feuil1!$A$11</c:f>
              <c:strCache>
                <c:ptCount val="1"/>
              </c:strCache>
            </c:strRef>
          </c:tx>
          <c:spPr>
            <a:solidFill>
              <a:schemeClr val="accent1"/>
            </a:solidFill>
          </c:spPr>
          <c:dPt>
            <c:idx val="5"/>
            <c:spPr>
              <a:solidFill>
                <a:schemeClr val="tx1">
                  <a:lumMod val="50000"/>
                  <a:lumOff val="50000"/>
                </a:schemeClr>
              </a:solidFill>
            </c:spPr>
          </c:dPt>
          <c:cat>
            <c:strRef>
              <c:f>Feuil1!$B$9:$G$9</c:f>
              <c:strCache>
                <c:ptCount val="6"/>
                <c:pt idx="0">
                  <c:v>Coq Hodna </c:v>
                </c:pt>
                <c:pt idx="1">
                  <c:v>Belhaous </c:v>
                </c:pt>
                <c:pt idx="2">
                  <c:v>ORAC </c:v>
                </c:pt>
                <c:pt idx="3">
                  <c:v>Frahtia </c:v>
                </c:pt>
                <c:pt idx="4">
                  <c:v>Lachache </c:v>
                </c:pt>
                <c:pt idx="5">
                  <c:v>Valeur Max,</c:v>
                </c:pt>
              </c:strCache>
            </c:strRef>
          </c:cat>
          <c:val>
            <c:numRef>
              <c:f>Feuil1!$B$11:$G$11</c:f>
              <c:numCache>
                <c:formatCode>General</c:formatCode>
                <c:ptCount val="6"/>
                <c:pt idx="0">
                  <c:v>10</c:v>
                </c:pt>
                <c:pt idx="1">
                  <c:v>2</c:v>
                </c:pt>
                <c:pt idx="2">
                  <c:v>4</c:v>
                </c:pt>
                <c:pt idx="3">
                  <c:v>4</c:v>
                </c:pt>
                <c:pt idx="4">
                  <c:v>6</c:v>
                </c:pt>
                <c:pt idx="5">
                  <c:v>10</c:v>
                </c:pt>
              </c:numCache>
            </c:numRef>
          </c:val>
        </c:ser>
        <c:axId val="98699520"/>
        <c:axId val="98770944"/>
      </c:barChart>
      <c:catAx>
        <c:axId val="98699520"/>
        <c:scaling>
          <c:orientation val="minMax"/>
        </c:scaling>
        <c:axPos val="b"/>
        <c:majorTickMark val="none"/>
        <c:tickLblPos val="nextTo"/>
        <c:crossAx val="98770944"/>
        <c:crosses val="autoZero"/>
        <c:auto val="1"/>
        <c:lblAlgn val="ctr"/>
        <c:lblOffset val="100"/>
      </c:catAx>
      <c:valAx>
        <c:axId val="98770944"/>
        <c:scaling>
          <c:orientation val="minMax"/>
        </c:scaling>
        <c:axPos val="l"/>
        <c:title>
          <c:tx>
            <c:rich>
              <a:bodyPr/>
              <a:lstStyle/>
              <a:p>
                <a:pPr>
                  <a:defRPr/>
                </a:pPr>
                <a:r>
                  <a:rPr lang="fr-FR"/>
                  <a:t>Score</a:t>
                </a:r>
                <a:r>
                  <a:rPr lang="fr-FR" baseline="0"/>
                  <a:t> de durabilité </a:t>
                </a:r>
                <a:endParaRPr lang="fr-FR"/>
              </a:p>
            </c:rich>
          </c:tx>
          <c:layout>
            <c:manualLayout>
              <c:xMode val="edge"/>
              <c:yMode val="edge"/>
              <c:x val="1.1518099102671051E-2"/>
              <c:y val="0.21146666482640741"/>
            </c:manualLayout>
          </c:layout>
        </c:title>
        <c:numFmt formatCode="General" sourceLinked="1"/>
        <c:majorTickMark val="none"/>
        <c:tickLblPos val="nextTo"/>
        <c:crossAx val="98699520"/>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t>graphe 4 : Résultats de l'indicateur rentabilité économique </a:t>
            </a:r>
          </a:p>
        </c:rich>
      </c:tx>
      <c:layout>
        <c:manualLayout>
          <c:xMode val="edge"/>
          <c:yMode val="edge"/>
          <c:x val="0.13771828461355892"/>
          <c:y val="0"/>
        </c:manualLayout>
      </c:layout>
    </c:title>
    <c:plotArea>
      <c:layout>
        <c:manualLayout>
          <c:layoutTarget val="inner"/>
          <c:xMode val="edge"/>
          <c:yMode val="edge"/>
          <c:x val="0.11373550439952967"/>
          <c:y val="7.2285473734222561E-2"/>
          <c:w val="0.88626453781578052"/>
          <c:h val="0.68112809998473178"/>
        </c:manualLayout>
      </c:layout>
      <c:barChart>
        <c:barDir val="col"/>
        <c:grouping val="clustered"/>
        <c:ser>
          <c:idx val="0"/>
          <c:order val="0"/>
          <c:tx>
            <c:strRef>
              <c:f>Feuil1!$A$49</c:f>
              <c:strCache>
                <c:ptCount val="1"/>
                <c:pt idx="0">
                  <c:v>rentabilité </c:v>
                </c:pt>
              </c:strCache>
            </c:strRef>
          </c:tx>
          <c:dPt>
            <c:idx val="5"/>
            <c:spPr>
              <a:solidFill>
                <a:schemeClr val="tx1">
                  <a:lumMod val="65000"/>
                  <a:lumOff val="35000"/>
                </a:schemeClr>
              </a:solidFill>
            </c:spPr>
          </c:dPt>
          <c:cat>
            <c:strRef>
              <c:f>Feuil1!$B$47:$G$48</c:f>
              <c:strCache>
                <c:ptCount val="6"/>
                <c:pt idx="0">
                  <c:v>Coq Hodna </c:v>
                </c:pt>
                <c:pt idx="1">
                  <c:v>Belhaous </c:v>
                </c:pt>
                <c:pt idx="2">
                  <c:v>ORAC </c:v>
                </c:pt>
                <c:pt idx="3">
                  <c:v>Frahtia </c:v>
                </c:pt>
                <c:pt idx="4">
                  <c:v>Lachache </c:v>
                </c:pt>
                <c:pt idx="5">
                  <c:v>Valeur Max.</c:v>
                </c:pt>
              </c:strCache>
            </c:strRef>
          </c:cat>
          <c:val>
            <c:numRef>
              <c:f>Feuil1!$B$49:$G$49</c:f>
              <c:numCache>
                <c:formatCode>General</c:formatCode>
                <c:ptCount val="6"/>
                <c:pt idx="0">
                  <c:v>2</c:v>
                </c:pt>
                <c:pt idx="1">
                  <c:v>1</c:v>
                </c:pt>
                <c:pt idx="2">
                  <c:v>4</c:v>
                </c:pt>
                <c:pt idx="3">
                  <c:v>2</c:v>
                </c:pt>
                <c:pt idx="4">
                  <c:v>6</c:v>
                </c:pt>
                <c:pt idx="5">
                  <c:v>10</c:v>
                </c:pt>
              </c:numCache>
            </c:numRef>
          </c:val>
        </c:ser>
        <c:axId val="98796672"/>
        <c:axId val="98798592"/>
      </c:barChart>
      <c:catAx>
        <c:axId val="98796672"/>
        <c:scaling>
          <c:orientation val="minMax"/>
        </c:scaling>
        <c:axPos val="b"/>
        <c:title>
          <c:tx>
            <c:rich>
              <a:bodyPr/>
              <a:lstStyle/>
              <a:p>
                <a:pPr>
                  <a:defRPr/>
                </a:pPr>
                <a:r>
                  <a:rPr lang="fr-FR"/>
                  <a:t>Exploitation</a:t>
                </a:r>
              </a:p>
            </c:rich>
          </c:tx>
          <c:layout>
            <c:manualLayout>
              <c:xMode val="edge"/>
              <c:yMode val="edge"/>
              <c:x val="0.8014203716260675"/>
              <c:y val="0.91008135755884079"/>
            </c:manualLayout>
          </c:layout>
        </c:title>
        <c:majorTickMark val="none"/>
        <c:tickLblPos val="nextTo"/>
        <c:txPr>
          <a:bodyPr/>
          <a:lstStyle/>
          <a:p>
            <a:pPr>
              <a:defRPr sz="900"/>
            </a:pPr>
            <a:endParaRPr lang="fr-FR"/>
          </a:p>
        </c:txPr>
        <c:crossAx val="98798592"/>
        <c:crosses val="autoZero"/>
        <c:auto val="1"/>
        <c:lblAlgn val="ctr"/>
        <c:lblOffset val="100"/>
      </c:catAx>
      <c:valAx>
        <c:axId val="98798592"/>
        <c:scaling>
          <c:orientation val="minMax"/>
        </c:scaling>
        <c:axPos val="l"/>
        <c:title>
          <c:tx>
            <c:rich>
              <a:bodyPr/>
              <a:lstStyle/>
              <a:p>
                <a:pPr>
                  <a:defRPr sz="900"/>
                </a:pPr>
                <a:r>
                  <a:rPr lang="fr-FR" sz="900"/>
                  <a:t>Score de l'indicateur</a:t>
                </a:r>
              </a:p>
            </c:rich>
          </c:tx>
          <c:layout>
            <c:manualLayout>
              <c:xMode val="edge"/>
              <c:yMode val="edge"/>
              <c:x val="1.0080720892579281E-3"/>
              <c:y val="0.17890374506510887"/>
            </c:manualLayout>
          </c:layout>
        </c:title>
        <c:numFmt formatCode="General" sourceLinked="1"/>
        <c:tickLblPos val="nextTo"/>
        <c:crossAx val="98796672"/>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t>graphe  5 : Résultat de l'indicateur indépendance technique </a:t>
            </a:r>
          </a:p>
        </c:rich>
      </c:tx>
      <c:layout>
        <c:manualLayout>
          <c:xMode val="edge"/>
          <c:yMode val="edge"/>
          <c:x val="0.21572657316397145"/>
          <c:y val="0"/>
        </c:manualLayout>
      </c:layout>
    </c:title>
    <c:plotArea>
      <c:layout>
        <c:manualLayout>
          <c:layoutTarget val="inner"/>
          <c:xMode val="edge"/>
          <c:yMode val="edge"/>
          <c:x val="0.12913493436195869"/>
          <c:y val="8.9924068073767988E-2"/>
          <c:w val="0.84824041415202545"/>
          <c:h val="0.7114340762498923"/>
        </c:manualLayout>
      </c:layout>
      <c:barChart>
        <c:barDir val="col"/>
        <c:grouping val="clustered"/>
        <c:ser>
          <c:idx val="0"/>
          <c:order val="0"/>
          <c:tx>
            <c:strRef>
              <c:f>Feuil1!$A$19</c:f>
              <c:strCache>
                <c:ptCount val="1"/>
                <c:pt idx="0">
                  <c:v>Indépendance technique </c:v>
                </c:pt>
              </c:strCache>
            </c:strRef>
          </c:tx>
          <c:dPt>
            <c:idx val="5"/>
            <c:spPr>
              <a:solidFill>
                <a:schemeClr val="tx1">
                  <a:lumMod val="50000"/>
                  <a:lumOff val="50000"/>
                </a:schemeClr>
              </a:solidFill>
            </c:spPr>
          </c:dPt>
          <c:cat>
            <c:strRef>
              <c:f>Feuil1!$B$17:$G$18</c:f>
              <c:strCache>
                <c:ptCount val="6"/>
                <c:pt idx="0">
                  <c:v>Coq Hodna </c:v>
                </c:pt>
                <c:pt idx="1">
                  <c:v>Belhaous </c:v>
                </c:pt>
                <c:pt idx="2">
                  <c:v>ORAC </c:v>
                </c:pt>
                <c:pt idx="3">
                  <c:v>Frahtia </c:v>
                </c:pt>
                <c:pt idx="4">
                  <c:v>Lachache </c:v>
                </c:pt>
                <c:pt idx="5">
                  <c:v>Valeur Max.</c:v>
                </c:pt>
              </c:strCache>
            </c:strRef>
          </c:cat>
          <c:val>
            <c:numRef>
              <c:f>Feuil1!$B$19:$G$19</c:f>
              <c:numCache>
                <c:formatCode>General</c:formatCode>
                <c:ptCount val="6"/>
                <c:pt idx="0">
                  <c:v>7</c:v>
                </c:pt>
                <c:pt idx="1">
                  <c:v>6</c:v>
                </c:pt>
                <c:pt idx="2">
                  <c:v>6</c:v>
                </c:pt>
                <c:pt idx="3">
                  <c:v>7</c:v>
                </c:pt>
                <c:pt idx="4">
                  <c:v>4</c:v>
                </c:pt>
                <c:pt idx="5">
                  <c:v>10</c:v>
                </c:pt>
              </c:numCache>
            </c:numRef>
          </c:val>
        </c:ser>
        <c:axId val="98827264"/>
        <c:axId val="98898688"/>
      </c:barChart>
      <c:catAx>
        <c:axId val="98827264"/>
        <c:scaling>
          <c:orientation val="minMax"/>
        </c:scaling>
        <c:axPos val="b"/>
        <c:majorTickMark val="none"/>
        <c:tickLblPos val="nextTo"/>
        <c:txPr>
          <a:bodyPr/>
          <a:lstStyle/>
          <a:p>
            <a:pPr>
              <a:defRPr sz="900"/>
            </a:pPr>
            <a:endParaRPr lang="fr-FR"/>
          </a:p>
        </c:txPr>
        <c:crossAx val="98898688"/>
        <c:crosses val="autoZero"/>
        <c:auto val="1"/>
        <c:lblAlgn val="ctr"/>
        <c:lblOffset val="100"/>
      </c:catAx>
      <c:valAx>
        <c:axId val="98898688"/>
        <c:scaling>
          <c:orientation val="minMax"/>
        </c:scaling>
        <c:axPos val="l"/>
        <c:title>
          <c:tx>
            <c:rich>
              <a:bodyPr/>
              <a:lstStyle/>
              <a:p>
                <a:pPr>
                  <a:defRPr sz="900"/>
                </a:pPr>
                <a:r>
                  <a:rPr lang="fr-FR" sz="900"/>
                  <a:t>Score</a:t>
                </a:r>
                <a:r>
                  <a:rPr lang="fr-FR" sz="900" baseline="0"/>
                  <a:t> de l'indicateur</a:t>
                </a:r>
                <a:endParaRPr lang="fr-FR" sz="900"/>
              </a:p>
            </c:rich>
          </c:tx>
        </c:title>
        <c:numFmt formatCode="General" sourceLinked="1"/>
        <c:majorTickMark val="none"/>
        <c:tickLblPos val="nextTo"/>
        <c:crossAx val="98827264"/>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t>graphe  6 : Résultat</a:t>
            </a:r>
            <a:r>
              <a:rPr lang="en-US" sz="1100" baseline="0"/>
              <a:t> de l'indicateur </a:t>
            </a:r>
            <a:r>
              <a:rPr lang="en-US" sz="1100"/>
              <a:t>transmissibilité </a:t>
            </a:r>
          </a:p>
        </c:rich>
      </c:tx>
      <c:layout>
        <c:manualLayout>
          <c:xMode val="edge"/>
          <c:yMode val="edge"/>
          <c:x val="0.17030555555555552"/>
          <c:y val="0"/>
        </c:manualLayout>
      </c:layout>
    </c:title>
    <c:plotArea>
      <c:layout>
        <c:manualLayout>
          <c:layoutTarget val="inner"/>
          <c:xMode val="edge"/>
          <c:yMode val="edge"/>
          <c:x val="0.12214084507042262"/>
          <c:y val="0.12148148811509445"/>
          <c:w val="0.8408221507522825"/>
          <c:h val="0.62401644186297456"/>
        </c:manualLayout>
      </c:layout>
      <c:barChart>
        <c:barDir val="col"/>
        <c:grouping val="clustered"/>
        <c:ser>
          <c:idx val="0"/>
          <c:order val="0"/>
          <c:tx>
            <c:strRef>
              <c:f>Feuil1!$A$23</c:f>
              <c:strCache>
                <c:ptCount val="1"/>
                <c:pt idx="0">
                  <c:v>transmissibilité </c:v>
                </c:pt>
              </c:strCache>
            </c:strRef>
          </c:tx>
          <c:dPt>
            <c:idx val="5"/>
            <c:spPr>
              <a:solidFill>
                <a:schemeClr val="tx1">
                  <a:lumMod val="50000"/>
                  <a:lumOff val="50000"/>
                </a:schemeClr>
              </a:solidFill>
            </c:spPr>
          </c:dPt>
          <c:cat>
            <c:strRef>
              <c:f>Feuil1!$B$21:$G$22</c:f>
              <c:strCache>
                <c:ptCount val="6"/>
                <c:pt idx="0">
                  <c:v>Coq Hodna </c:v>
                </c:pt>
                <c:pt idx="1">
                  <c:v>Belhaous </c:v>
                </c:pt>
                <c:pt idx="2">
                  <c:v>ORAC </c:v>
                </c:pt>
                <c:pt idx="3">
                  <c:v>Frahtia </c:v>
                </c:pt>
                <c:pt idx="4">
                  <c:v>Lachache </c:v>
                </c:pt>
                <c:pt idx="5">
                  <c:v>Valeur Max.</c:v>
                </c:pt>
              </c:strCache>
            </c:strRef>
          </c:cat>
          <c:val>
            <c:numRef>
              <c:f>Feuil1!$B$23:$G$23</c:f>
              <c:numCache>
                <c:formatCode>General</c:formatCode>
                <c:ptCount val="6"/>
                <c:pt idx="0">
                  <c:v>10</c:v>
                </c:pt>
                <c:pt idx="1">
                  <c:v>10</c:v>
                </c:pt>
                <c:pt idx="2">
                  <c:v>0</c:v>
                </c:pt>
                <c:pt idx="3">
                  <c:v>10</c:v>
                </c:pt>
                <c:pt idx="4">
                  <c:v>7</c:v>
                </c:pt>
                <c:pt idx="5">
                  <c:v>10</c:v>
                </c:pt>
              </c:numCache>
            </c:numRef>
          </c:val>
        </c:ser>
        <c:axId val="98905472"/>
        <c:axId val="98940032"/>
      </c:barChart>
      <c:catAx>
        <c:axId val="98905472"/>
        <c:scaling>
          <c:orientation val="minMax"/>
        </c:scaling>
        <c:axPos val="b"/>
        <c:majorTickMark val="none"/>
        <c:tickLblPos val="nextTo"/>
        <c:crossAx val="98940032"/>
        <c:crosses val="autoZero"/>
        <c:auto val="1"/>
        <c:lblAlgn val="ctr"/>
        <c:lblOffset val="100"/>
      </c:catAx>
      <c:valAx>
        <c:axId val="98940032"/>
        <c:scaling>
          <c:orientation val="minMax"/>
        </c:scaling>
        <c:axPos val="l"/>
        <c:title>
          <c:tx>
            <c:rich>
              <a:bodyPr/>
              <a:lstStyle/>
              <a:p>
                <a:pPr>
                  <a:defRPr/>
                </a:pPr>
                <a:r>
                  <a:rPr lang="fr-FR"/>
                  <a:t>Score de l'indicateur</a:t>
                </a:r>
              </a:p>
            </c:rich>
          </c:tx>
          <c:layout>
            <c:manualLayout>
              <c:xMode val="edge"/>
              <c:yMode val="edge"/>
              <c:x val="5.5555555555555558E-3"/>
              <c:y val="0.25761774569845441"/>
            </c:manualLayout>
          </c:layout>
        </c:title>
        <c:numFmt formatCode="General" sourceLinked="1"/>
        <c:majorTickMark val="none"/>
        <c:tickLblPos val="nextTo"/>
        <c:crossAx val="98905472"/>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t>graphe  7 : Résultats de l'indicateur autonomie financière</a:t>
            </a:r>
          </a:p>
        </c:rich>
      </c:tx>
      <c:layout>
        <c:manualLayout>
          <c:xMode val="edge"/>
          <c:yMode val="edge"/>
          <c:x val="0.18007550643481782"/>
          <c:y val="0"/>
        </c:manualLayout>
      </c:layout>
    </c:title>
    <c:plotArea>
      <c:layout>
        <c:manualLayout>
          <c:layoutTarget val="inner"/>
          <c:xMode val="edge"/>
          <c:yMode val="edge"/>
          <c:x val="0.16047443379355303"/>
          <c:y val="9.4353128407373726E-2"/>
          <c:w val="0.80206405676772852"/>
          <c:h val="0.6670196195691549"/>
        </c:manualLayout>
      </c:layout>
      <c:barChart>
        <c:barDir val="col"/>
        <c:grouping val="clustered"/>
        <c:ser>
          <c:idx val="0"/>
          <c:order val="0"/>
          <c:tx>
            <c:strRef>
              <c:f>Feuil1!$A$59</c:f>
              <c:strCache>
                <c:ptCount val="1"/>
                <c:pt idx="0">
                  <c:v>autonomie</c:v>
                </c:pt>
              </c:strCache>
            </c:strRef>
          </c:tx>
          <c:cat>
            <c:strRef>
              <c:f>Feuil1!$B$57:$G$58</c:f>
              <c:strCache>
                <c:ptCount val="6"/>
                <c:pt idx="0">
                  <c:v>Coq Hodna </c:v>
                </c:pt>
                <c:pt idx="1">
                  <c:v>Belhaous </c:v>
                </c:pt>
                <c:pt idx="2">
                  <c:v>ORAC </c:v>
                </c:pt>
                <c:pt idx="3">
                  <c:v>Frahtia </c:v>
                </c:pt>
                <c:pt idx="4">
                  <c:v>Lachache </c:v>
                </c:pt>
                <c:pt idx="5">
                  <c:v>Valeur Max.</c:v>
                </c:pt>
              </c:strCache>
            </c:strRef>
          </c:cat>
          <c:val>
            <c:numRef>
              <c:f>Feuil1!$B$59:$G$59</c:f>
              <c:numCache>
                <c:formatCode>General</c:formatCode>
                <c:ptCount val="6"/>
                <c:pt idx="0">
                  <c:v>10</c:v>
                </c:pt>
                <c:pt idx="1">
                  <c:v>10</c:v>
                </c:pt>
                <c:pt idx="2">
                  <c:v>0</c:v>
                </c:pt>
                <c:pt idx="3">
                  <c:v>0</c:v>
                </c:pt>
                <c:pt idx="4">
                  <c:v>10</c:v>
                </c:pt>
                <c:pt idx="5">
                  <c:v>10</c:v>
                </c:pt>
              </c:numCache>
            </c:numRef>
          </c:val>
        </c:ser>
        <c:axId val="98895744"/>
        <c:axId val="101789696"/>
      </c:barChart>
      <c:catAx>
        <c:axId val="98895744"/>
        <c:scaling>
          <c:orientation val="minMax"/>
        </c:scaling>
        <c:axPos val="b"/>
        <c:title>
          <c:tx>
            <c:rich>
              <a:bodyPr/>
              <a:lstStyle/>
              <a:p>
                <a:pPr>
                  <a:defRPr/>
                </a:pPr>
                <a:r>
                  <a:rPr lang="fr-FR"/>
                  <a:t>Exploitation</a:t>
                </a:r>
              </a:p>
            </c:rich>
          </c:tx>
          <c:layout>
            <c:manualLayout>
              <c:xMode val="edge"/>
              <c:yMode val="edge"/>
              <c:x val="0.80639398513499416"/>
              <c:y val="0.92007356116970851"/>
            </c:manualLayout>
          </c:layout>
        </c:title>
        <c:majorTickMark val="none"/>
        <c:tickLblPos val="nextTo"/>
        <c:txPr>
          <a:bodyPr/>
          <a:lstStyle/>
          <a:p>
            <a:pPr>
              <a:defRPr sz="900"/>
            </a:pPr>
            <a:endParaRPr lang="fr-FR"/>
          </a:p>
        </c:txPr>
        <c:crossAx val="101789696"/>
        <c:crosses val="autoZero"/>
        <c:auto val="1"/>
        <c:lblAlgn val="ctr"/>
        <c:lblOffset val="100"/>
      </c:catAx>
      <c:valAx>
        <c:axId val="101789696"/>
        <c:scaling>
          <c:orientation val="minMax"/>
        </c:scaling>
        <c:axPos val="l"/>
        <c:title>
          <c:tx>
            <c:rich>
              <a:bodyPr/>
              <a:lstStyle/>
              <a:p>
                <a:pPr>
                  <a:defRPr/>
                </a:pPr>
                <a:r>
                  <a:rPr lang="fr-FR"/>
                  <a:t>Valeur de l'indicateur</a:t>
                </a:r>
              </a:p>
            </c:rich>
          </c:tx>
          <c:layout>
            <c:manualLayout>
              <c:xMode val="edge"/>
              <c:yMode val="edge"/>
              <c:x val="1.7027958835781024E-2"/>
              <c:y val="0.24174264144011151"/>
            </c:manualLayout>
          </c:layout>
        </c:title>
        <c:numFmt formatCode="General" sourceLinked="1"/>
        <c:tickLblPos val="nextTo"/>
        <c:crossAx val="98895744"/>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200"/>
            </a:pPr>
            <a:r>
              <a:rPr lang="fr-FR" sz="1200"/>
              <a:t>graphe  8 : Durabilité moyenne</a:t>
            </a:r>
            <a:r>
              <a:rPr lang="fr-FR" sz="1200" baseline="0"/>
              <a:t> des exploitations avicoles</a:t>
            </a:r>
            <a:endParaRPr lang="fr-FR" sz="1200"/>
          </a:p>
        </c:rich>
      </c:tx>
    </c:title>
    <c:plotArea>
      <c:layout/>
      <c:radarChart>
        <c:radarStyle val="marker"/>
        <c:ser>
          <c:idx val="0"/>
          <c:order val="0"/>
          <c:tx>
            <c:strRef>
              <c:f>Feuil1!$B$61</c:f>
              <c:strCache>
                <c:ptCount val="1"/>
                <c:pt idx="0">
                  <c:v>Durabilité Moy</c:v>
                </c:pt>
              </c:strCache>
            </c:strRef>
          </c:tx>
          <c:cat>
            <c:strRef>
              <c:f>Feuil1!$A$62:$A$71</c:f>
              <c:strCache>
                <c:ptCount val="10"/>
                <c:pt idx="0">
                  <c:v>Viabilité économique </c:v>
                </c:pt>
                <c:pt idx="1">
                  <c:v>Efficience </c:v>
                </c:pt>
                <c:pt idx="2">
                  <c:v>Rentabilité </c:v>
                </c:pt>
                <c:pt idx="3">
                  <c:v>Efficacité de MO</c:v>
                </c:pt>
                <c:pt idx="4">
                  <c:v>Indépendance T</c:v>
                </c:pt>
                <c:pt idx="5">
                  <c:v>Sensibilité aux aides</c:v>
                </c:pt>
                <c:pt idx="6">
                  <c:v>Transmissibilité </c:v>
                </c:pt>
                <c:pt idx="7">
                  <c:v>Autonomie financière </c:v>
                </c:pt>
                <c:pt idx="8">
                  <c:v>Polyvalence de l'outil</c:v>
                </c:pt>
                <c:pt idx="9">
                  <c:v>Taux de spécialisation</c:v>
                </c:pt>
              </c:strCache>
            </c:strRef>
          </c:cat>
          <c:val>
            <c:numRef>
              <c:f>Feuil1!$B$62:$B$71</c:f>
              <c:numCache>
                <c:formatCode>General</c:formatCode>
                <c:ptCount val="10"/>
                <c:pt idx="0">
                  <c:v>8</c:v>
                </c:pt>
                <c:pt idx="1">
                  <c:v>5.2</c:v>
                </c:pt>
                <c:pt idx="2">
                  <c:v>3</c:v>
                </c:pt>
                <c:pt idx="3">
                  <c:v>8</c:v>
                </c:pt>
                <c:pt idx="4">
                  <c:v>6</c:v>
                </c:pt>
                <c:pt idx="5">
                  <c:v>4</c:v>
                </c:pt>
                <c:pt idx="6">
                  <c:v>7.4</c:v>
                </c:pt>
                <c:pt idx="7">
                  <c:v>6</c:v>
                </c:pt>
                <c:pt idx="8">
                  <c:v>7.2</c:v>
                </c:pt>
                <c:pt idx="9">
                  <c:v>0.8</c:v>
                </c:pt>
              </c:numCache>
            </c:numRef>
          </c:val>
        </c:ser>
        <c:ser>
          <c:idx val="1"/>
          <c:order val="1"/>
          <c:tx>
            <c:strRef>
              <c:f>Feuil1!$C$61</c:f>
              <c:strCache>
                <c:ptCount val="1"/>
                <c:pt idx="0">
                  <c:v>V.  Max</c:v>
                </c:pt>
              </c:strCache>
            </c:strRef>
          </c:tx>
          <c:cat>
            <c:strRef>
              <c:f>Feuil1!$A$62:$A$71</c:f>
              <c:strCache>
                <c:ptCount val="10"/>
                <c:pt idx="0">
                  <c:v>Viabilité économique </c:v>
                </c:pt>
                <c:pt idx="1">
                  <c:v>Efficience </c:v>
                </c:pt>
                <c:pt idx="2">
                  <c:v>Rentabilité </c:v>
                </c:pt>
                <c:pt idx="3">
                  <c:v>Efficacité de MO</c:v>
                </c:pt>
                <c:pt idx="4">
                  <c:v>Indépendance T</c:v>
                </c:pt>
                <c:pt idx="5">
                  <c:v>Sensibilité aux aides</c:v>
                </c:pt>
                <c:pt idx="6">
                  <c:v>Transmissibilité </c:v>
                </c:pt>
                <c:pt idx="7">
                  <c:v>Autonomie financière </c:v>
                </c:pt>
                <c:pt idx="8">
                  <c:v>Polyvalence de l'outil</c:v>
                </c:pt>
                <c:pt idx="9">
                  <c:v>Taux de spécialisation</c:v>
                </c:pt>
              </c:strCache>
            </c:strRef>
          </c:cat>
          <c:val>
            <c:numRef>
              <c:f>Feuil1!$C$62:$C$71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axId val="101800960"/>
        <c:axId val="101802752"/>
      </c:radarChart>
      <c:catAx>
        <c:axId val="101800960"/>
        <c:scaling>
          <c:orientation val="minMax"/>
        </c:scaling>
        <c:axPos val="b"/>
        <c:majorGridlines/>
        <c:majorTickMark val="none"/>
        <c:tickLblPos val="nextTo"/>
        <c:spPr>
          <a:ln w="9525">
            <a:noFill/>
          </a:ln>
        </c:spPr>
        <c:crossAx val="101802752"/>
        <c:crosses val="autoZero"/>
        <c:auto val="1"/>
        <c:lblAlgn val="ctr"/>
        <c:lblOffset val="100"/>
      </c:catAx>
      <c:valAx>
        <c:axId val="101802752"/>
        <c:scaling>
          <c:orientation val="minMax"/>
        </c:scaling>
        <c:axPos val="l"/>
        <c:majorGridlines/>
        <c:numFmt formatCode="General" sourceLinked="1"/>
        <c:majorTickMark val="none"/>
        <c:tickLblPos val="nextTo"/>
        <c:crossAx val="101800960"/>
        <c:crosses val="autoZero"/>
        <c:crossBetween val="between"/>
      </c:valAx>
    </c:plotArea>
    <c:legend>
      <c:legendPos val="r"/>
    </c:legend>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0.1652</cdr:x>
      <cdr:y>0.66102</cdr:y>
    </cdr:from>
    <cdr:to>
      <cdr:x>0.87871</cdr:x>
      <cdr:y>0.83051</cdr:y>
    </cdr:to>
    <cdr:sp macro="" textlink="">
      <cdr:nvSpPr>
        <cdr:cNvPr id="2" name="Rectangle 1"/>
        <cdr:cNvSpPr/>
      </cdr:nvSpPr>
      <cdr:spPr>
        <a:xfrm xmlns:a="http://schemas.openxmlformats.org/drawingml/2006/main">
          <a:off x="735336" y="1550511"/>
          <a:ext cx="3175984" cy="397562"/>
        </a:xfrm>
        <a:prstGeom xmlns:a="http://schemas.openxmlformats.org/drawingml/2006/main" prst="rect">
          <a:avLst/>
        </a:prstGeom>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fr-FR">
              <a:solidFill>
                <a:sysClr val="windowText" lastClr="000000"/>
              </a:solidFill>
            </a:rPr>
            <a:t>coq</a:t>
          </a:r>
          <a:r>
            <a:rPr lang="fr-FR" baseline="0">
              <a:solidFill>
                <a:sysClr val="windowText" lastClr="000000"/>
              </a:solidFill>
            </a:rPr>
            <a:t> </a:t>
          </a:r>
        </a:p>
        <a:p xmlns:a="http://schemas.openxmlformats.org/drawingml/2006/main">
          <a:r>
            <a:rPr lang="fr-FR" baseline="0">
              <a:solidFill>
                <a:sysClr val="windowText" lastClr="000000"/>
              </a:solidFill>
            </a:rPr>
            <a:t>hodna      belhaous      ORAC           Frahtia     lachache </a:t>
          </a:r>
          <a:endParaRPr lang="fr-FR">
            <a:solidFill>
              <a:sysClr val="windowText" lastClr="000000"/>
            </a:solidFill>
          </a:endParaRP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627</TotalTime>
  <Pages>70</Pages>
  <Words>15174</Words>
  <Characters>83460</Characters>
  <Application>Microsoft Office Word</Application>
  <DocSecurity>0</DocSecurity>
  <Lines>695</Lines>
  <Paragraphs>196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98438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PCS</dc:creator>
  <cp:lastModifiedBy>PCS</cp:lastModifiedBy>
  <cp:revision>37</cp:revision>
  <cp:lastPrinted>2015-06-17T08:16:00Z</cp:lastPrinted>
  <dcterms:created xsi:type="dcterms:W3CDTF">2015-06-15T17:45:00Z</dcterms:created>
  <dcterms:modified xsi:type="dcterms:W3CDTF">2015-09-20T09:56:00Z</dcterms:modified>
</cp:coreProperties>
</file>