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4949" w:rsidRPr="00520B4F" w:rsidRDefault="00654949" w:rsidP="008229B3">
      <w:pPr>
        <w:pStyle w:val="Default"/>
        <w:numPr>
          <w:ilvl w:val="0"/>
          <w:numId w:val="1"/>
        </w:numPr>
        <w:spacing w:line="360" w:lineRule="auto"/>
        <w:jc w:val="both"/>
        <w:rPr>
          <w:b/>
          <w:bCs/>
          <w:lang w:val="fr-FR"/>
        </w:rPr>
      </w:pPr>
      <w:r w:rsidRPr="00520B4F">
        <w:rPr>
          <w:b/>
          <w:bCs/>
          <w:i/>
          <w:iCs/>
          <w:color w:val="000000" w:themeColor="text1"/>
          <w:lang w:val="fr-FR"/>
        </w:rPr>
        <w:t xml:space="preserve">CHAPITRE </w:t>
      </w:r>
      <w:r w:rsidRPr="009D57E5">
        <w:rPr>
          <w:b/>
          <w:bCs/>
          <w:color w:val="000000" w:themeColor="text1"/>
          <w:lang w:val="fr-FR"/>
        </w:rPr>
        <w:t>II:</w:t>
      </w:r>
      <w:r w:rsidR="008229B3" w:rsidRPr="00520B4F">
        <w:rPr>
          <w:lang w:val="fr-FR"/>
        </w:rPr>
        <w:t xml:space="preserve"> </w:t>
      </w:r>
      <w:r w:rsidR="008229B3" w:rsidRPr="00520B4F">
        <w:rPr>
          <w:b/>
          <w:bCs/>
          <w:lang w:val="fr-FR"/>
        </w:rPr>
        <w:t>Les Procédés De Traitement Des</w:t>
      </w:r>
      <w:r w:rsidRPr="00520B4F">
        <w:rPr>
          <w:b/>
          <w:bCs/>
          <w:lang w:val="fr-FR"/>
        </w:rPr>
        <w:t xml:space="preserve"> </w:t>
      </w:r>
      <w:r w:rsidR="008229B3" w:rsidRPr="00520B4F">
        <w:rPr>
          <w:b/>
          <w:bCs/>
          <w:lang w:val="fr-FR"/>
        </w:rPr>
        <w:t>Rejets Textiles</w:t>
      </w:r>
    </w:p>
    <w:p w:rsidR="00654949" w:rsidRPr="00520B4F" w:rsidRDefault="00654949" w:rsidP="00654949">
      <w:pPr>
        <w:autoSpaceDE w:val="0"/>
        <w:autoSpaceDN w:val="0"/>
        <w:bidi w:val="0"/>
        <w:adjustRightInd w:val="0"/>
        <w:spacing w:after="0" w:line="360" w:lineRule="auto"/>
        <w:jc w:val="both"/>
        <w:rPr>
          <w:rFonts w:ascii="Times New Roman" w:hAnsi="Times New Roman" w:cs="Times New Roman"/>
          <w:b/>
          <w:bCs/>
          <w:sz w:val="24"/>
          <w:szCs w:val="24"/>
          <w:lang w:val="fr-FR"/>
        </w:rPr>
      </w:pPr>
      <w:r w:rsidRPr="00520B4F">
        <w:rPr>
          <w:rFonts w:ascii="Times New Roman" w:hAnsi="Times New Roman" w:cs="Times New Roman"/>
          <w:b/>
          <w:bCs/>
          <w:sz w:val="24"/>
          <w:szCs w:val="24"/>
          <w:lang w:val="fr-FR"/>
        </w:rPr>
        <w:t>II.1. Introduction</w:t>
      </w:r>
    </w:p>
    <w:p w:rsidR="00654949" w:rsidRPr="00520B4F" w:rsidRDefault="00654949" w:rsidP="00044231">
      <w:pPr>
        <w:autoSpaceDE w:val="0"/>
        <w:autoSpaceDN w:val="0"/>
        <w:bidi w:val="0"/>
        <w:adjustRightInd w:val="0"/>
        <w:spacing w:after="0" w:line="360" w:lineRule="auto"/>
        <w:jc w:val="both"/>
        <w:rPr>
          <w:rFonts w:ascii="Times New Roman" w:hAnsi="Times New Roman" w:cs="Times New Roman"/>
          <w:b/>
          <w:bCs/>
          <w:sz w:val="24"/>
          <w:szCs w:val="24"/>
          <w:lang w:val="fr-FR"/>
        </w:rPr>
      </w:pPr>
      <w:r w:rsidRPr="00520B4F">
        <w:rPr>
          <w:rFonts w:ascii="Times New Roman" w:hAnsi="Times New Roman" w:cs="Times New Roman"/>
          <w:b/>
          <w:bCs/>
          <w:sz w:val="24"/>
          <w:szCs w:val="24"/>
          <w:lang w:val="fr-FR"/>
        </w:rPr>
        <w:t xml:space="preserve">      </w:t>
      </w:r>
      <w:r w:rsidRPr="00520B4F">
        <w:rPr>
          <w:rFonts w:ascii="Times New Roman" w:hAnsi="Times New Roman" w:cs="Times New Roman"/>
          <w:sz w:val="24"/>
          <w:szCs w:val="24"/>
          <w:lang w:val="fr-FR"/>
        </w:rPr>
        <w:t>Des quantités plus ou moins importantes de colorants sont rejetées dans l'environnement. La réduction voire l’élimination de ces colorants est nécessaire étant donné la toxicité avérée de certains d’entres eux. Des méthodes de traitements existants et opérationnels à l’échelle de laboratoire et industriels incluent des procédés physico-chi</w:t>
      </w:r>
      <w:r w:rsidR="002C0BE2">
        <w:rPr>
          <w:rFonts w:ascii="Times New Roman" w:hAnsi="Times New Roman" w:cs="Times New Roman"/>
          <w:sz w:val="24"/>
          <w:szCs w:val="24"/>
          <w:lang w:val="fr-FR"/>
        </w:rPr>
        <w:t xml:space="preserve">miques (adsorption, membranaire </w:t>
      </w:r>
      <w:r w:rsidRPr="00520B4F">
        <w:rPr>
          <w:rFonts w:ascii="Times New Roman" w:hAnsi="Times New Roman" w:cs="Times New Roman"/>
          <w:sz w:val="24"/>
          <w:szCs w:val="24"/>
          <w:lang w:val="fr-FR"/>
        </w:rPr>
        <w:t>de séparations solide-liquide : précipitation, coagulation, floculation et décantation) chimiques (résine échangeuse d’ions, oxydation par : oxygène, ozone,…) et biologiques (traitement aérobie et anaérobie)</w:t>
      </w:r>
      <w:r w:rsidR="00520B4F" w:rsidRPr="00520B4F">
        <w:rPr>
          <w:rFonts w:ascii="Times New Roman" w:hAnsi="Times New Roman" w:cs="Times New Roman"/>
          <w:b/>
          <w:bCs/>
          <w:sz w:val="24"/>
          <w:szCs w:val="24"/>
          <w:lang w:val="fr-FR"/>
        </w:rPr>
        <w:t xml:space="preserve"> </w:t>
      </w:r>
      <w:r w:rsidR="00520B4F" w:rsidRPr="00520B4F">
        <w:rPr>
          <w:rFonts w:ascii="Times New Roman" w:hAnsi="Times New Roman" w:cs="Times New Roman"/>
          <w:b/>
          <w:bCs/>
          <w:color w:val="FF0000"/>
          <w:sz w:val="24"/>
          <w:szCs w:val="24"/>
          <w:lang w:val="fr-FR"/>
        </w:rPr>
        <w:t>[10</w:t>
      </w:r>
      <w:r w:rsidR="0034668D" w:rsidRPr="00520B4F">
        <w:rPr>
          <w:rFonts w:ascii="Times New Roman" w:hAnsi="Times New Roman" w:cs="Times New Roman"/>
          <w:b/>
          <w:bCs/>
          <w:color w:val="FF0000"/>
          <w:sz w:val="24"/>
          <w:szCs w:val="24"/>
          <w:lang w:val="fr-FR"/>
        </w:rPr>
        <w:t>]</w:t>
      </w:r>
      <w:r w:rsidRPr="00520B4F">
        <w:rPr>
          <w:rFonts w:ascii="Times New Roman" w:hAnsi="Times New Roman" w:cs="Times New Roman"/>
          <w:b/>
          <w:bCs/>
          <w:sz w:val="24"/>
          <w:szCs w:val="24"/>
          <w:lang w:val="fr-FR"/>
        </w:rPr>
        <w:t xml:space="preserve"> </w:t>
      </w:r>
      <w:r w:rsidRPr="00520B4F">
        <w:rPr>
          <w:rFonts w:ascii="Times New Roman" w:hAnsi="Times New Roman" w:cs="Times New Roman"/>
          <w:sz w:val="24"/>
          <w:szCs w:val="24"/>
          <w:lang w:val="fr-FR"/>
        </w:rPr>
        <w:t>Dans les paragraphes suivants, seuls les procédés les plus couramment rencontrés seront abordés succinctement, en prenant soin d’évoquer à la fois leurs intérêts et leurs dysfonctionnements vis-à-vis du traitement des colorants.</w:t>
      </w:r>
    </w:p>
    <w:p w:rsidR="00654949" w:rsidRPr="00520B4F" w:rsidRDefault="00654949" w:rsidP="00654949">
      <w:pPr>
        <w:autoSpaceDE w:val="0"/>
        <w:autoSpaceDN w:val="0"/>
        <w:bidi w:val="0"/>
        <w:adjustRightInd w:val="0"/>
        <w:spacing w:after="0" w:line="360" w:lineRule="auto"/>
        <w:jc w:val="both"/>
        <w:rPr>
          <w:rFonts w:ascii="Times New Roman" w:hAnsi="Times New Roman" w:cs="Times New Roman"/>
          <w:b/>
          <w:bCs/>
          <w:sz w:val="24"/>
          <w:szCs w:val="24"/>
          <w:lang w:val="fr-FR"/>
        </w:rPr>
      </w:pPr>
      <w:r w:rsidRPr="00520B4F">
        <w:rPr>
          <w:rFonts w:ascii="Times New Roman" w:hAnsi="Times New Roman" w:cs="Times New Roman"/>
          <w:b/>
          <w:bCs/>
          <w:sz w:val="24"/>
          <w:szCs w:val="24"/>
          <w:lang w:val="fr-FR"/>
        </w:rPr>
        <w:t>II.2.Traitement biologique</w:t>
      </w:r>
    </w:p>
    <w:p w:rsidR="00654949" w:rsidRPr="00520B4F" w:rsidRDefault="00654949" w:rsidP="00044231">
      <w:pPr>
        <w:autoSpaceDE w:val="0"/>
        <w:autoSpaceDN w:val="0"/>
        <w:bidi w:val="0"/>
        <w:adjustRightInd w:val="0"/>
        <w:spacing w:after="0"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 xml:space="preserve">     La présence dans les eaux ou dans le sol, de polluants organiques a toujours existée. Leur élimination par des microorganismes constitue le moyen biologique que la nature a utilisé pour l’épuration des milieux naturels air, eau, sol. Ces procédés biologiques se produisent selon deux modes : traitements en aérobie ; ils sont effectués en présence de l’oxygène et traitement en anaérobie ; dans ce cas les microorganismes dégradent la matière organique en absence de </w:t>
      </w:r>
      <w:proofErr w:type="gramStart"/>
      <w:r w:rsidRPr="00520B4F">
        <w:rPr>
          <w:rFonts w:ascii="Times New Roman" w:hAnsi="Times New Roman" w:cs="Times New Roman"/>
          <w:sz w:val="24"/>
          <w:szCs w:val="24"/>
          <w:lang w:val="fr-FR"/>
        </w:rPr>
        <w:t xml:space="preserve">l’oxygène </w:t>
      </w:r>
      <w:r w:rsidR="00044231">
        <w:rPr>
          <w:rFonts w:ascii="Times New Roman" w:hAnsi="Times New Roman" w:cs="Times New Roman"/>
          <w:b/>
          <w:bCs/>
          <w:sz w:val="24"/>
          <w:szCs w:val="24"/>
          <w:lang w:val="fr-FR"/>
        </w:rPr>
        <w:t>.</w:t>
      </w:r>
      <w:proofErr w:type="gramEnd"/>
    </w:p>
    <w:p w:rsidR="00654949" w:rsidRPr="00520B4F" w:rsidRDefault="00654949" w:rsidP="00654949">
      <w:pPr>
        <w:autoSpaceDE w:val="0"/>
        <w:autoSpaceDN w:val="0"/>
        <w:bidi w:val="0"/>
        <w:adjustRightInd w:val="0"/>
        <w:spacing w:after="0" w:line="360" w:lineRule="auto"/>
        <w:jc w:val="both"/>
        <w:rPr>
          <w:rFonts w:ascii="Times New Roman" w:hAnsi="Times New Roman" w:cs="Times New Roman"/>
          <w:b/>
          <w:bCs/>
          <w:sz w:val="24"/>
          <w:szCs w:val="24"/>
          <w:lang w:val="fr-FR"/>
        </w:rPr>
      </w:pPr>
      <w:r w:rsidRPr="00520B4F">
        <w:rPr>
          <w:rFonts w:ascii="Times New Roman" w:hAnsi="Times New Roman" w:cs="Times New Roman"/>
          <w:b/>
          <w:bCs/>
          <w:sz w:val="24"/>
          <w:szCs w:val="24"/>
          <w:lang w:val="fr-FR"/>
        </w:rPr>
        <w:t>II.2.1. Traitement aérobie</w:t>
      </w:r>
    </w:p>
    <w:p w:rsidR="00654949" w:rsidRPr="00520B4F" w:rsidRDefault="00654949" w:rsidP="00654949">
      <w:pPr>
        <w:autoSpaceDE w:val="0"/>
        <w:autoSpaceDN w:val="0"/>
        <w:bidi w:val="0"/>
        <w:adjustRightInd w:val="0"/>
        <w:spacing w:after="0"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 xml:space="preserve">       Des réacteurs dits à lits bactériens sont utilisés pour cet effet. Ils sont constitués d’une unité de boue activée où les polluants sont décomposés par des bactéries aérobies et autres microorganismes. Après épuration, la boue est séparée des eaux usées par sédimentation dans un décanteur, une partie est recyclée et le surplus est évacué après pressage ou centrifugation.</w:t>
      </w:r>
    </w:p>
    <w:p w:rsidR="00654949" w:rsidRPr="00520B4F" w:rsidRDefault="00654949" w:rsidP="00044231">
      <w:pPr>
        <w:autoSpaceDE w:val="0"/>
        <w:autoSpaceDN w:val="0"/>
        <w:bidi w:val="0"/>
        <w:adjustRightInd w:val="0"/>
        <w:spacing w:after="0" w:line="360" w:lineRule="auto"/>
        <w:jc w:val="both"/>
        <w:rPr>
          <w:rFonts w:ascii="Times New Roman" w:hAnsi="Times New Roman" w:cs="Times New Roman"/>
          <w:b/>
          <w:bCs/>
          <w:sz w:val="24"/>
          <w:szCs w:val="24"/>
          <w:lang w:val="fr-FR" w:bidi="ar-TN"/>
        </w:rPr>
      </w:pPr>
      <w:r w:rsidRPr="00520B4F">
        <w:rPr>
          <w:rFonts w:ascii="Times New Roman" w:hAnsi="Times New Roman" w:cs="Times New Roman"/>
          <w:sz w:val="24"/>
          <w:szCs w:val="24"/>
          <w:lang w:val="fr-FR"/>
        </w:rPr>
        <w:t xml:space="preserve">Ce procédé est resté longtemps un moyen pour dégrader un grand nombre de polluants organiques. </w:t>
      </w:r>
      <w:r w:rsidR="00520B4F" w:rsidRPr="00520B4F">
        <w:rPr>
          <w:rFonts w:ascii="Times New Roman" w:hAnsi="Times New Roman" w:cs="Times New Roman"/>
          <w:b/>
          <w:bCs/>
          <w:color w:val="FF0000"/>
          <w:sz w:val="24"/>
          <w:szCs w:val="24"/>
          <w:lang w:val="fr-FR"/>
        </w:rPr>
        <w:t>[11</w:t>
      </w:r>
      <w:r w:rsidR="0034668D" w:rsidRPr="00520B4F">
        <w:rPr>
          <w:rFonts w:ascii="Times New Roman" w:hAnsi="Times New Roman" w:cs="Times New Roman"/>
          <w:b/>
          <w:bCs/>
          <w:color w:val="FF0000"/>
          <w:sz w:val="24"/>
          <w:szCs w:val="24"/>
          <w:lang w:val="fr-FR"/>
        </w:rPr>
        <w:t>]</w:t>
      </w:r>
      <w:r w:rsidRPr="00520B4F">
        <w:rPr>
          <w:rFonts w:ascii="Times New Roman" w:hAnsi="Times New Roman" w:cs="Times New Roman"/>
          <w:sz w:val="24"/>
          <w:szCs w:val="24"/>
          <w:lang w:val="fr-FR"/>
        </w:rPr>
        <w:t>Il s’est avéré efficace pour une certaine catégorie de rejets textiles Notons cependant que des colorants tels que les azoïques, les colorants acides et les colorants réactifs se sont révélés persistants à ce mode de traitement La décoloration observée dans ces cas est attribuée à l’adsorption de ces polluants sur la boue activée et non à leur dégradation</w:t>
      </w:r>
      <w:r w:rsidRPr="00520B4F">
        <w:rPr>
          <w:rFonts w:ascii="Times New Roman" w:hAnsi="Times New Roman" w:cs="Times New Roman"/>
          <w:sz w:val="24"/>
          <w:szCs w:val="24"/>
          <w:lang w:val="fr-FR" w:bidi="ar-TN"/>
        </w:rPr>
        <w:t>.</w:t>
      </w:r>
    </w:p>
    <w:p w:rsidR="00654949" w:rsidRPr="00520B4F" w:rsidRDefault="00654949" w:rsidP="00654949">
      <w:pPr>
        <w:autoSpaceDE w:val="0"/>
        <w:autoSpaceDN w:val="0"/>
        <w:bidi w:val="0"/>
        <w:adjustRightInd w:val="0"/>
        <w:spacing w:after="0" w:line="360" w:lineRule="auto"/>
        <w:jc w:val="both"/>
        <w:rPr>
          <w:rFonts w:ascii="Times New Roman" w:hAnsi="Times New Roman" w:cs="Times New Roman"/>
          <w:b/>
          <w:bCs/>
          <w:sz w:val="24"/>
          <w:szCs w:val="24"/>
          <w:lang w:val="fr-FR" w:bidi="ar-TN"/>
        </w:rPr>
      </w:pPr>
      <w:r w:rsidRPr="00520B4F">
        <w:rPr>
          <w:rFonts w:ascii="Times New Roman" w:hAnsi="Times New Roman" w:cs="Times New Roman"/>
          <w:b/>
          <w:bCs/>
          <w:sz w:val="24"/>
          <w:szCs w:val="24"/>
          <w:lang w:val="fr-FR" w:bidi="ar-TN"/>
        </w:rPr>
        <w:t>II.2.2.Traitement anaérobie</w:t>
      </w:r>
    </w:p>
    <w:p w:rsidR="00654949" w:rsidRPr="00520B4F" w:rsidRDefault="00654949" w:rsidP="00044231">
      <w:pPr>
        <w:autoSpaceDE w:val="0"/>
        <w:autoSpaceDN w:val="0"/>
        <w:bidi w:val="0"/>
        <w:adjustRightInd w:val="0"/>
        <w:spacing w:after="0"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bidi="ar-TN"/>
        </w:rPr>
        <w:t xml:space="preserve">      En absence de l’oxygène, la digestion anaérobie des composés organiques conduit à la formation du dioxyde de carbone, du méthane et de l’eau. Ce procédé présente </w:t>
      </w:r>
      <w:r w:rsidRPr="00520B4F">
        <w:rPr>
          <w:rFonts w:ascii="Times New Roman" w:hAnsi="Times New Roman" w:cs="Times New Roman"/>
          <w:sz w:val="24"/>
          <w:szCs w:val="24"/>
          <w:lang w:val="fr-FR" w:bidi="ar-TN"/>
        </w:rPr>
        <w:lastRenderedPageBreak/>
        <w:t xml:space="preserve">une efficacité importante dans le traitement des effluents très chargés caractérisés par une DCO relativement élevée. </w:t>
      </w:r>
      <w:r w:rsidR="00520B4F" w:rsidRPr="00520B4F">
        <w:rPr>
          <w:rFonts w:ascii="Times New Roman" w:hAnsi="Times New Roman" w:cs="Times New Roman"/>
          <w:b/>
          <w:bCs/>
          <w:color w:val="FF0000"/>
          <w:sz w:val="24"/>
          <w:szCs w:val="24"/>
          <w:lang w:val="fr-FR"/>
        </w:rPr>
        <w:t>[12</w:t>
      </w:r>
      <w:r w:rsidR="0034668D" w:rsidRPr="00520B4F">
        <w:rPr>
          <w:rFonts w:ascii="Times New Roman" w:hAnsi="Times New Roman" w:cs="Times New Roman"/>
          <w:b/>
          <w:bCs/>
          <w:color w:val="FF0000"/>
          <w:sz w:val="24"/>
          <w:szCs w:val="24"/>
          <w:lang w:val="fr-FR"/>
        </w:rPr>
        <w:t>]</w:t>
      </w:r>
      <w:r w:rsidRPr="00520B4F">
        <w:rPr>
          <w:rFonts w:ascii="Times New Roman" w:hAnsi="Times New Roman" w:cs="Times New Roman"/>
          <w:sz w:val="24"/>
          <w:szCs w:val="24"/>
          <w:lang w:val="fr-FR" w:bidi="ar-TN"/>
        </w:rPr>
        <w:t>Ce procédé utilisé dans les stations d’épuration des eaux permet de produire des quantités importantes en méthane. Ce dernier est utilisé comme source d’énergie notamment pour le chauffage ou pour l’éclairage. Des études ont montré que la réduction voire la disparition de la couleur n’est pas accompagnée</w:t>
      </w:r>
      <w:r w:rsidRPr="00520B4F">
        <w:rPr>
          <w:rFonts w:ascii="Times New Roman" w:hAnsi="Times New Roman" w:cs="Times New Roman"/>
          <w:sz w:val="24"/>
          <w:szCs w:val="24"/>
          <w:lang w:val="fr-FR"/>
        </w:rPr>
        <w:t xml:space="preserve"> de la minéralisation des colorants. La formation de composés intermédiaires plus toxiques, notamment des amines a été signalée dans la littérature ont estimé la réduction de coloration par les procédés biologiques à seulement 10-20 %. Cette constatation laisse présager d’autres techniques qui permettraient d’abaisser le degré de réfractabilité de la charge polluante en association avec les méthodes biologiques.</w:t>
      </w:r>
    </w:p>
    <w:p w:rsidR="00654949" w:rsidRPr="00520B4F" w:rsidRDefault="00654949" w:rsidP="00654949">
      <w:pPr>
        <w:autoSpaceDE w:val="0"/>
        <w:autoSpaceDN w:val="0"/>
        <w:bidi w:val="0"/>
        <w:adjustRightInd w:val="0"/>
        <w:spacing w:after="0" w:line="360" w:lineRule="auto"/>
        <w:jc w:val="both"/>
        <w:rPr>
          <w:rFonts w:ascii="Times New Roman" w:hAnsi="Times New Roman" w:cs="Times New Roman"/>
          <w:b/>
          <w:bCs/>
          <w:sz w:val="24"/>
          <w:szCs w:val="24"/>
          <w:lang w:val="fr-FR"/>
        </w:rPr>
      </w:pPr>
      <w:r w:rsidRPr="00520B4F">
        <w:rPr>
          <w:rFonts w:ascii="Times New Roman" w:hAnsi="Times New Roman" w:cs="Times New Roman"/>
          <w:b/>
          <w:bCs/>
          <w:sz w:val="24"/>
          <w:szCs w:val="24"/>
          <w:lang w:val="fr-FR"/>
        </w:rPr>
        <w:t>II.3.Traitements physico-chimiques</w:t>
      </w:r>
    </w:p>
    <w:p w:rsidR="00654949" w:rsidRPr="00520B4F" w:rsidRDefault="00654949" w:rsidP="00654949">
      <w:pPr>
        <w:autoSpaceDE w:val="0"/>
        <w:autoSpaceDN w:val="0"/>
        <w:bidi w:val="0"/>
        <w:adjustRightInd w:val="0"/>
        <w:spacing w:after="0" w:line="360" w:lineRule="auto"/>
        <w:jc w:val="both"/>
        <w:rPr>
          <w:rFonts w:ascii="Times New Roman" w:hAnsi="Times New Roman" w:cs="Times New Roman"/>
          <w:b/>
          <w:bCs/>
          <w:sz w:val="24"/>
          <w:szCs w:val="24"/>
          <w:lang w:val="fr-FR"/>
        </w:rPr>
      </w:pPr>
      <w:r w:rsidRPr="00520B4F">
        <w:rPr>
          <w:rFonts w:ascii="Times New Roman" w:hAnsi="Times New Roman" w:cs="Times New Roman"/>
          <w:b/>
          <w:bCs/>
          <w:sz w:val="24"/>
          <w:szCs w:val="24"/>
          <w:lang w:val="fr-FR"/>
        </w:rPr>
        <w:t>II.3.1.Coagulation/floculation</w:t>
      </w:r>
    </w:p>
    <w:p w:rsidR="00654949" w:rsidRPr="00520B4F" w:rsidRDefault="00654949" w:rsidP="00044231">
      <w:pPr>
        <w:autoSpaceDE w:val="0"/>
        <w:autoSpaceDN w:val="0"/>
        <w:bidi w:val="0"/>
        <w:adjustRightInd w:val="0"/>
        <w:spacing w:after="0"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 xml:space="preserve">      Sous le terme de coagulation–floculation, on entend tous les processus physicochimiques par lesquels des particules colloïdales ou des solides en fine suspension sont transformés par des coagulants/floculants chimiques en espèces plus visibles et séparables (les flocs). Les flocs formés sont ensuite séparés par décantation et filtration puis évacués. </w:t>
      </w:r>
      <w:r w:rsidR="00520B4F" w:rsidRPr="00520B4F">
        <w:rPr>
          <w:rFonts w:ascii="Times New Roman" w:hAnsi="Times New Roman" w:cs="Times New Roman"/>
          <w:b/>
          <w:bCs/>
          <w:color w:val="FF0000"/>
          <w:sz w:val="24"/>
          <w:szCs w:val="24"/>
          <w:lang w:val="fr-FR"/>
        </w:rPr>
        <w:t>[13</w:t>
      </w:r>
      <w:r w:rsidR="0034668D" w:rsidRPr="00520B4F">
        <w:rPr>
          <w:rFonts w:ascii="Times New Roman" w:hAnsi="Times New Roman" w:cs="Times New Roman"/>
          <w:b/>
          <w:bCs/>
          <w:color w:val="FF0000"/>
          <w:sz w:val="24"/>
          <w:szCs w:val="24"/>
          <w:lang w:val="fr-FR"/>
        </w:rPr>
        <w:t>]</w:t>
      </w:r>
      <w:r w:rsidRPr="00520B4F">
        <w:rPr>
          <w:rFonts w:ascii="Times New Roman" w:hAnsi="Times New Roman" w:cs="Times New Roman"/>
          <w:sz w:val="24"/>
          <w:szCs w:val="24"/>
          <w:lang w:val="fr-FR"/>
        </w:rPr>
        <w:t xml:space="preserve">Les coagulants inorganiques tels que l’alun donnent les résultats les plus satisfaisants pour la décoloration des effluents textiles contenant des colorants dispersés, de cuve et soufrés, mais sont totalement inefficaces pour les colorants réactifs, azoïques, acides et basiques Par ailleurs, la coagulation–floculation ne peut être utilisée pour les colorants fortement solubles dans l’eau. D’importantes quantités de boue sont formées avec ce procédé : leur régénération ou réutilisation reste la seule issue mais demande des investissements </w:t>
      </w:r>
      <w:proofErr w:type="gramStart"/>
      <w:r w:rsidRPr="00520B4F">
        <w:rPr>
          <w:rFonts w:ascii="Times New Roman" w:hAnsi="Times New Roman" w:cs="Times New Roman"/>
          <w:sz w:val="24"/>
          <w:szCs w:val="24"/>
          <w:lang w:val="fr-FR"/>
        </w:rPr>
        <w:t xml:space="preserve">supplémentaires </w:t>
      </w:r>
      <w:r w:rsidR="00044231">
        <w:rPr>
          <w:rFonts w:ascii="Times New Roman" w:hAnsi="Times New Roman" w:cs="Times New Roman"/>
          <w:b/>
          <w:bCs/>
          <w:sz w:val="24"/>
          <w:szCs w:val="24"/>
          <w:lang w:val="fr-FR"/>
        </w:rPr>
        <w:t>.</w:t>
      </w:r>
      <w:proofErr w:type="gramEnd"/>
    </w:p>
    <w:p w:rsidR="00654949" w:rsidRPr="00520B4F" w:rsidRDefault="00654949" w:rsidP="00654949">
      <w:pPr>
        <w:autoSpaceDE w:val="0"/>
        <w:autoSpaceDN w:val="0"/>
        <w:bidi w:val="0"/>
        <w:adjustRightInd w:val="0"/>
        <w:spacing w:after="0" w:line="360" w:lineRule="auto"/>
        <w:jc w:val="both"/>
        <w:rPr>
          <w:rFonts w:ascii="Times New Roman" w:hAnsi="Times New Roman" w:cs="Times New Roman"/>
          <w:sz w:val="24"/>
          <w:szCs w:val="24"/>
          <w:lang w:val="fr-FR"/>
        </w:rPr>
      </w:pPr>
      <w:r w:rsidRPr="00520B4F">
        <w:rPr>
          <w:rFonts w:ascii="Times New Roman" w:hAnsi="Times New Roman" w:cs="Times New Roman"/>
          <w:b/>
          <w:bCs/>
          <w:sz w:val="24"/>
          <w:szCs w:val="24"/>
          <w:lang w:val="fr-FR"/>
        </w:rPr>
        <w:t>II.3.2.Adsorption sur charbon actif</w:t>
      </w:r>
    </w:p>
    <w:p w:rsidR="00654949" w:rsidRPr="00520B4F" w:rsidRDefault="00654949" w:rsidP="00044231">
      <w:pPr>
        <w:autoSpaceDE w:val="0"/>
        <w:autoSpaceDN w:val="0"/>
        <w:bidi w:val="0"/>
        <w:adjustRightInd w:val="0"/>
        <w:spacing w:after="0"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 xml:space="preserve">       Le charbon actif ou d'autres matériaux adsorbants peuvent être utilisés pour éliminer plusieurs colorants des eaux usées. Le charbon actif, est l’adsorbant le plus communément utilisé pour la réduction de la couleur (à cause de sa capacité d'adsorption élevée), est capable d'adsorber la plupart des colorants Toutefois, cette technique ne résout pas le problème, elle ne fait que déplacer la pollution de l'état liquide à l'état solide. De plus, ces techniques, non destructives, nécessitent des opérations postérieures onéreuses de régénération et de post traitement des déchets solides </w:t>
      </w:r>
      <w:r w:rsidR="00520B4F" w:rsidRPr="00520B4F">
        <w:rPr>
          <w:rFonts w:ascii="Times New Roman" w:hAnsi="Times New Roman" w:cs="Times New Roman"/>
          <w:b/>
          <w:bCs/>
          <w:color w:val="FF0000"/>
          <w:sz w:val="24"/>
          <w:szCs w:val="24"/>
          <w:lang w:val="fr-FR"/>
        </w:rPr>
        <w:t>[14</w:t>
      </w:r>
      <w:r w:rsidR="0034668D" w:rsidRPr="00520B4F">
        <w:rPr>
          <w:rFonts w:ascii="Times New Roman" w:hAnsi="Times New Roman" w:cs="Times New Roman"/>
          <w:b/>
          <w:bCs/>
          <w:color w:val="FF0000"/>
          <w:sz w:val="24"/>
          <w:szCs w:val="24"/>
          <w:lang w:val="fr-FR"/>
        </w:rPr>
        <w:t>]</w:t>
      </w:r>
      <w:r w:rsidRPr="00520B4F">
        <w:rPr>
          <w:rFonts w:ascii="Times New Roman" w:hAnsi="Times New Roman" w:cs="Times New Roman"/>
          <w:sz w:val="24"/>
          <w:szCs w:val="24"/>
          <w:lang w:val="fr-FR"/>
        </w:rPr>
        <w:t xml:space="preserve">Il est prévu dans le prochain chapitre de présenter d’autres adsorbants dont l’application est moins onéreuse en l’occurrence les tiges de dattes utilisées dans cette </w:t>
      </w:r>
      <w:r w:rsidRPr="00520B4F">
        <w:rPr>
          <w:rFonts w:ascii="Times New Roman" w:hAnsi="Times New Roman" w:cs="Times New Roman"/>
          <w:sz w:val="24"/>
          <w:szCs w:val="24"/>
          <w:lang w:val="fr-FR"/>
        </w:rPr>
        <w:lastRenderedPageBreak/>
        <w:t>étude entre autres. Une étude bibliographique sur ces biomatériaux ainsi que l’adsorption de colorants seront présentés.</w:t>
      </w:r>
    </w:p>
    <w:p w:rsidR="00654949" w:rsidRPr="00520B4F" w:rsidRDefault="00654949" w:rsidP="00654949">
      <w:pPr>
        <w:autoSpaceDE w:val="0"/>
        <w:autoSpaceDN w:val="0"/>
        <w:bidi w:val="0"/>
        <w:adjustRightInd w:val="0"/>
        <w:spacing w:after="0" w:line="360" w:lineRule="auto"/>
        <w:jc w:val="both"/>
        <w:rPr>
          <w:rFonts w:ascii="Times New Roman" w:hAnsi="Times New Roman" w:cs="Times New Roman"/>
          <w:b/>
          <w:bCs/>
          <w:sz w:val="24"/>
          <w:szCs w:val="24"/>
          <w:lang w:val="fr-FR"/>
        </w:rPr>
      </w:pPr>
      <w:r w:rsidRPr="00520B4F">
        <w:rPr>
          <w:rFonts w:ascii="Times New Roman" w:hAnsi="Times New Roman" w:cs="Times New Roman"/>
          <w:b/>
          <w:bCs/>
          <w:sz w:val="24"/>
          <w:szCs w:val="24"/>
          <w:lang w:val="fr-FR"/>
        </w:rPr>
        <w:t>II.3.3.Filtration sur membrane</w:t>
      </w:r>
    </w:p>
    <w:p w:rsidR="008229B3" w:rsidRPr="00520B4F" w:rsidRDefault="00654949" w:rsidP="00044231">
      <w:pPr>
        <w:autoSpaceDE w:val="0"/>
        <w:autoSpaceDN w:val="0"/>
        <w:bidi w:val="0"/>
        <w:adjustRightInd w:val="0"/>
        <w:spacing w:after="0" w:line="360" w:lineRule="auto"/>
        <w:jc w:val="both"/>
        <w:rPr>
          <w:rFonts w:ascii="Times New Roman" w:hAnsi="Times New Roman" w:cs="Times New Roman"/>
          <w:b/>
          <w:bCs/>
          <w:sz w:val="24"/>
          <w:szCs w:val="24"/>
          <w:lang w:val="fr-FR"/>
        </w:rPr>
      </w:pPr>
      <w:r w:rsidRPr="00520B4F">
        <w:rPr>
          <w:rFonts w:ascii="Times New Roman" w:hAnsi="Times New Roman" w:cs="Times New Roman"/>
          <w:sz w:val="24"/>
          <w:szCs w:val="24"/>
          <w:lang w:val="fr-FR"/>
        </w:rPr>
        <w:t xml:space="preserve">      La filtration sur membrane pilotée par pression hydraulique se décline en microfiltration, ultrafiltration, nanofiltration et osmose inverse. L’effluent passe à travers une membrane semiperméable qui retient en amont les contaminants de taille supérieure au diamètre des pores, pour produire un perméat purifié et un concentrât qui reçoit les impuretés m</w:t>
      </w:r>
      <w:r w:rsidR="002C0BE2">
        <w:rPr>
          <w:rFonts w:ascii="Times New Roman" w:hAnsi="Times New Roman" w:cs="Times New Roman"/>
          <w:sz w:val="24"/>
          <w:szCs w:val="24"/>
          <w:lang w:val="fr-FR"/>
        </w:rPr>
        <w:t>inérales ou organiques. D’après</w:t>
      </w:r>
      <w:r w:rsidR="00044231">
        <w:rPr>
          <w:rFonts w:ascii="Times New Roman" w:hAnsi="Times New Roman" w:cs="Times New Roman"/>
          <w:b/>
          <w:bCs/>
          <w:sz w:val="24"/>
          <w:szCs w:val="24"/>
          <w:lang w:val="fr-FR"/>
        </w:rPr>
        <w:t xml:space="preserve"> </w:t>
      </w:r>
      <w:r w:rsidRPr="00520B4F">
        <w:rPr>
          <w:rFonts w:ascii="Times New Roman" w:hAnsi="Times New Roman" w:cs="Times New Roman"/>
          <w:sz w:val="24"/>
          <w:szCs w:val="24"/>
          <w:lang w:val="fr-FR"/>
        </w:rPr>
        <w:t xml:space="preserve">parmi les quatre types de procédés, la nanofiltration et l'osmose inverse sont les plus adaptés à la réduction partielle de la couleur et des petites molécules organiques, mais </w:t>
      </w:r>
      <w:proofErr w:type="spellStart"/>
      <w:r w:rsidRPr="00520B4F">
        <w:rPr>
          <w:rFonts w:ascii="Times New Roman" w:hAnsi="Times New Roman" w:cs="Times New Roman"/>
          <w:sz w:val="24"/>
          <w:szCs w:val="24"/>
          <w:lang w:val="fr-FR"/>
        </w:rPr>
        <w:t>selonl’osmose</w:t>
      </w:r>
      <w:proofErr w:type="spellEnd"/>
      <w:r w:rsidRPr="00520B4F">
        <w:rPr>
          <w:rFonts w:ascii="Times New Roman" w:hAnsi="Times New Roman" w:cs="Times New Roman"/>
          <w:sz w:val="24"/>
          <w:szCs w:val="24"/>
          <w:lang w:val="fr-FR"/>
        </w:rPr>
        <w:t xml:space="preserve"> inverse reste la plus répandue. La nanofiltration s’applique surtout au traitement des bains de teinture de colorants réactifs en agissant comme un filtre moléculaire tandis que la microfiltration retient les matériaux colloïdaux tels que les colorants dispersés ou de cuve grâce à une "membrane écran"</w:t>
      </w:r>
      <w:r w:rsidR="00044231">
        <w:rPr>
          <w:rFonts w:ascii="Times New Roman" w:hAnsi="Times New Roman" w:cs="Times New Roman"/>
          <w:sz w:val="24"/>
          <w:szCs w:val="24"/>
          <w:lang w:val="fr-FR"/>
        </w:rPr>
        <w:t>.</w:t>
      </w:r>
      <w:r w:rsidRPr="00520B4F">
        <w:rPr>
          <w:rFonts w:ascii="Times New Roman" w:hAnsi="Times New Roman" w:cs="Times New Roman"/>
          <w:sz w:val="24"/>
          <w:szCs w:val="24"/>
          <w:lang w:val="fr-FR"/>
        </w:rPr>
        <w:t xml:space="preserve"> </w:t>
      </w:r>
      <w:r w:rsidR="00520B4F" w:rsidRPr="00520B4F">
        <w:rPr>
          <w:rFonts w:ascii="Times New Roman" w:hAnsi="Times New Roman" w:cs="Times New Roman"/>
          <w:b/>
          <w:bCs/>
          <w:color w:val="FF0000"/>
          <w:sz w:val="24"/>
          <w:szCs w:val="24"/>
          <w:lang w:val="fr-FR"/>
        </w:rPr>
        <w:t>[15</w:t>
      </w:r>
      <w:r w:rsidR="0034668D" w:rsidRPr="00520B4F">
        <w:rPr>
          <w:rFonts w:ascii="Times New Roman" w:hAnsi="Times New Roman" w:cs="Times New Roman"/>
          <w:b/>
          <w:bCs/>
          <w:color w:val="FF0000"/>
          <w:sz w:val="24"/>
          <w:szCs w:val="24"/>
          <w:lang w:val="fr-FR"/>
        </w:rPr>
        <w:t>]</w:t>
      </w:r>
      <w:r w:rsidRPr="00520B4F">
        <w:rPr>
          <w:rFonts w:ascii="Times New Roman" w:hAnsi="Times New Roman" w:cs="Times New Roman"/>
          <w:sz w:val="24"/>
          <w:szCs w:val="24"/>
          <w:lang w:val="fr-FR"/>
        </w:rPr>
        <w:t xml:space="preserve">L'ultrafiltration ne s'applique qu'à la réduction de DCO et des solides en suspension, et ne se montre réellement efficace qu’en combinaison avec la coagulation/floculation </w:t>
      </w:r>
      <w:r w:rsidR="00044231">
        <w:rPr>
          <w:rFonts w:ascii="Times New Roman" w:hAnsi="Times New Roman" w:cs="Times New Roman"/>
          <w:b/>
          <w:bCs/>
          <w:sz w:val="24"/>
          <w:szCs w:val="24"/>
          <w:lang w:val="fr-FR"/>
        </w:rPr>
        <w:t>.</w:t>
      </w:r>
      <w:r w:rsidRPr="00520B4F">
        <w:rPr>
          <w:rFonts w:ascii="Times New Roman" w:hAnsi="Times New Roman" w:cs="Times New Roman"/>
          <w:sz w:val="24"/>
          <w:szCs w:val="24"/>
          <w:lang w:val="fr-FR"/>
        </w:rPr>
        <w:t xml:space="preserve">Actuellement, des recherches sont menées dont le but de mettre en oeuvre des membranes nouvelles à prix abordable. En effet, ces procédés restent très limités dans leurs applications car ils nécessitent des investissements importants à cause en grande partie du prix des matériaux </w:t>
      </w:r>
      <w:proofErr w:type="gramStart"/>
      <w:r w:rsidRPr="00520B4F">
        <w:rPr>
          <w:rFonts w:ascii="Times New Roman" w:hAnsi="Times New Roman" w:cs="Times New Roman"/>
          <w:sz w:val="24"/>
          <w:szCs w:val="24"/>
          <w:lang w:val="fr-FR"/>
        </w:rPr>
        <w:t xml:space="preserve">utilisés </w:t>
      </w:r>
      <w:r w:rsidR="00044231">
        <w:rPr>
          <w:rFonts w:ascii="Times New Roman" w:hAnsi="Times New Roman" w:cs="Times New Roman"/>
          <w:b/>
          <w:bCs/>
          <w:sz w:val="24"/>
          <w:szCs w:val="24"/>
          <w:lang w:val="fr-FR"/>
        </w:rPr>
        <w:t>.</w:t>
      </w:r>
      <w:proofErr w:type="gramEnd"/>
    </w:p>
    <w:p w:rsidR="008229B3" w:rsidRPr="00520B4F" w:rsidRDefault="008229B3" w:rsidP="008229B3">
      <w:pPr>
        <w:autoSpaceDE w:val="0"/>
        <w:autoSpaceDN w:val="0"/>
        <w:bidi w:val="0"/>
        <w:adjustRightInd w:val="0"/>
        <w:spacing w:after="0" w:line="360" w:lineRule="auto"/>
        <w:jc w:val="both"/>
        <w:rPr>
          <w:rFonts w:ascii="Times New Roman" w:hAnsi="Times New Roman" w:cs="Times New Roman"/>
          <w:b/>
          <w:bCs/>
          <w:sz w:val="24"/>
          <w:szCs w:val="24"/>
          <w:lang w:val="fr-FR"/>
        </w:rPr>
      </w:pPr>
    </w:p>
    <w:p w:rsidR="00654949" w:rsidRPr="00520B4F" w:rsidRDefault="00654949" w:rsidP="00044231">
      <w:pPr>
        <w:autoSpaceDE w:val="0"/>
        <w:autoSpaceDN w:val="0"/>
        <w:bidi w:val="0"/>
        <w:adjustRightInd w:val="0"/>
        <w:spacing w:after="0" w:line="360" w:lineRule="auto"/>
        <w:jc w:val="both"/>
        <w:rPr>
          <w:rFonts w:ascii="Times New Roman" w:hAnsi="Times New Roman" w:cs="Times New Roman"/>
          <w:b/>
          <w:bCs/>
          <w:sz w:val="24"/>
          <w:szCs w:val="24"/>
          <w:lang w:val="fr-FR"/>
        </w:rPr>
      </w:pPr>
      <w:r w:rsidRPr="00520B4F">
        <w:rPr>
          <w:rFonts w:ascii="Times New Roman" w:hAnsi="Times New Roman" w:cs="Times New Roman"/>
          <w:b/>
          <w:bCs/>
          <w:sz w:val="24"/>
          <w:szCs w:val="24"/>
          <w:lang w:val="fr-FR"/>
        </w:rPr>
        <w:t>Tableau II</w:t>
      </w:r>
      <w:r w:rsidR="0034668D" w:rsidRPr="00520B4F">
        <w:rPr>
          <w:rFonts w:ascii="Times New Roman" w:hAnsi="Times New Roman" w:cs="Times New Roman"/>
          <w:b/>
          <w:bCs/>
          <w:sz w:val="24"/>
          <w:szCs w:val="24"/>
          <w:lang w:val="fr-FR"/>
        </w:rPr>
        <w:t>-4</w:t>
      </w:r>
      <w:r w:rsidRPr="00520B4F">
        <w:rPr>
          <w:rFonts w:ascii="Times New Roman" w:hAnsi="Times New Roman" w:cs="Times New Roman"/>
          <w:b/>
          <w:bCs/>
          <w:sz w:val="24"/>
          <w:szCs w:val="24"/>
          <w:lang w:val="fr-FR"/>
        </w:rPr>
        <w:t xml:space="preserve">: </w:t>
      </w:r>
      <w:r w:rsidRPr="00520B4F">
        <w:rPr>
          <w:rFonts w:ascii="Times New Roman" w:hAnsi="Times New Roman" w:cs="Times New Roman"/>
          <w:sz w:val="24"/>
          <w:szCs w:val="24"/>
          <w:lang w:val="fr-FR"/>
        </w:rPr>
        <w:t xml:space="preserve">Principaux avantages et inconvénients des techniques de traitements des colorants </w:t>
      </w:r>
      <w:r w:rsidRPr="00520B4F">
        <w:rPr>
          <w:rFonts w:ascii="Times New Roman" w:hAnsi="Times New Roman" w:cs="Times New Roman"/>
          <w:b/>
          <w:bCs/>
          <w:sz w:val="24"/>
          <w:szCs w:val="24"/>
          <w:lang w:val="fr-FR"/>
        </w:rPr>
        <w:t>(</w:t>
      </w:r>
      <w:proofErr w:type="spellStart"/>
      <w:r w:rsidRPr="00520B4F">
        <w:rPr>
          <w:rFonts w:ascii="Times New Roman" w:hAnsi="Times New Roman" w:cs="Times New Roman"/>
          <w:b/>
          <w:bCs/>
          <w:sz w:val="24"/>
          <w:szCs w:val="24"/>
          <w:lang w:val="fr-FR"/>
        </w:rPr>
        <w:t>Zawlotski</w:t>
      </w:r>
      <w:proofErr w:type="spellEnd"/>
      <w:r w:rsidRPr="00520B4F">
        <w:rPr>
          <w:rFonts w:ascii="Times New Roman" w:hAnsi="Times New Roman" w:cs="Times New Roman"/>
          <w:b/>
          <w:bCs/>
          <w:sz w:val="24"/>
          <w:szCs w:val="24"/>
          <w:lang w:val="fr-FR"/>
        </w:rPr>
        <w:t xml:space="preserve"> et al, 2004)</w:t>
      </w:r>
      <w:r w:rsidRPr="00520B4F">
        <w:rPr>
          <w:rFonts w:ascii="Times New Roman" w:hAnsi="Times New Roman" w:cs="Times New Roman"/>
          <w:sz w:val="24"/>
          <w:szCs w:val="24"/>
          <w:lang w:val="fr-FR"/>
        </w:rPr>
        <w:t>.</w:t>
      </w:r>
    </w:p>
    <w:tbl>
      <w:tblPr>
        <w:tblStyle w:val="Grilledutableau"/>
        <w:tblpPr w:leftFromText="180" w:rightFromText="180" w:vertAnchor="text" w:horzAnchor="margin" w:tblpY="114"/>
        <w:tblW w:w="9464" w:type="dxa"/>
        <w:tblLook w:val="04A0" w:firstRow="1" w:lastRow="0" w:firstColumn="1" w:lastColumn="0" w:noHBand="0" w:noVBand="1"/>
      </w:tblPr>
      <w:tblGrid>
        <w:gridCol w:w="2130"/>
        <w:gridCol w:w="2130"/>
        <w:gridCol w:w="2131"/>
        <w:gridCol w:w="3073"/>
      </w:tblGrid>
      <w:tr w:rsidR="00654949" w:rsidRPr="00520B4F" w:rsidTr="005840AD">
        <w:trPr>
          <w:trHeight w:val="553"/>
        </w:trPr>
        <w:tc>
          <w:tcPr>
            <w:tcW w:w="2130" w:type="dxa"/>
          </w:tcPr>
          <w:p w:rsidR="00654949" w:rsidRPr="00520B4F" w:rsidRDefault="00654949" w:rsidP="005840AD">
            <w:pPr>
              <w:autoSpaceDE w:val="0"/>
              <w:autoSpaceDN w:val="0"/>
              <w:bidi w:val="0"/>
              <w:adjustRightInd w:val="0"/>
              <w:spacing w:line="360" w:lineRule="auto"/>
              <w:jc w:val="both"/>
              <w:rPr>
                <w:rFonts w:ascii="Times New Roman" w:hAnsi="Times New Roman" w:cs="Times New Roman"/>
                <w:b/>
                <w:bCs/>
                <w:sz w:val="24"/>
                <w:szCs w:val="24"/>
                <w:lang w:val="fr-FR"/>
              </w:rPr>
            </w:pPr>
            <w:r w:rsidRPr="00520B4F">
              <w:rPr>
                <w:rFonts w:ascii="Times New Roman" w:hAnsi="Times New Roman" w:cs="Times New Roman"/>
                <w:b/>
                <w:bCs/>
                <w:sz w:val="24"/>
                <w:szCs w:val="24"/>
              </w:rPr>
              <w:t>Technologie</w:t>
            </w:r>
          </w:p>
        </w:tc>
        <w:tc>
          <w:tcPr>
            <w:tcW w:w="2130" w:type="dxa"/>
          </w:tcPr>
          <w:p w:rsidR="00654949" w:rsidRPr="00520B4F" w:rsidRDefault="00654949" w:rsidP="005840AD">
            <w:pPr>
              <w:autoSpaceDE w:val="0"/>
              <w:autoSpaceDN w:val="0"/>
              <w:bidi w:val="0"/>
              <w:adjustRightInd w:val="0"/>
              <w:spacing w:line="360" w:lineRule="auto"/>
              <w:jc w:val="both"/>
              <w:rPr>
                <w:rFonts w:ascii="Times New Roman" w:hAnsi="Times New Roman" w:cs="Times New Roman"/>
                <w:b/>
                <w:bCs/>
                <w:sz w:val="24"/>
                <w:szCs w:val="24"/>
              </w:rPr>
            </w:pPr>
            <w:r w:rsidRPr="00520B4F">
              <w:rPr>
                <w:rFonts w:ascii="Times New Roman" w:hAnsi="Times New Roman" w:cs="Times New Roman"/>
                <w:b/>
                <w:bCs/>
                <w:sz w:val="24"/>
                <w:szCs w:val="24"/>
              </w:rPr>
              <w:t>Exemples</w:t>
            </w:r>
          </w:p>
        </w:tc>
        <w:tc>
          <w:tcPr>
            <w:tcW w:w="2131" w:type="dxa"/>
          </w:tcPr>
          <w:p w:rsidR="00654949" w:rsidRPr="00520B4F" w:rsidRDefault="00654949" w:rsidP="005840AD">
            <w:pPr>
              <w:autoSpaceDE w:val="0"/>
              <w:autoSpaceDN w:val="0"/>
              <w:bidi w:val="0"/>
              <w:adjustRightInd w:val="0"/>
              <w:spacing w:line="360" w:lineRule="auto"/>
              <w:jc w:val="both"/>
              <w:rPr>
                <w:rFonts w:ascii="Times New Roman" w:hAnsi="Times New Roman" w:cs="Times New Roman"/>
                <w:b/>
                <w:bCs/>
                <w:sz w:val="24"/>
                <w:szCs w:val="24"/>
                <w:lang w:val="fr-FR"/>
              </w:rPr>
            </w:pPr>
            <w:r w:rsidRPr="00520B4F">
              <w:rPr>
                <w:rFonts w:ascii="Times New Roman" w:hAnsi="Times New Roman" w:cs="Times New Roman"/>
                <w:b/>
                <w:bCs/>
                <w:sz w:val="24"/>
                <w:szCs w:val="24"/>
                <w:lang w:val="fr-FR"/>
              </w:rPr>
              <w:t>Avantages</w:t>
            </w:r>
          </w:p>
        </w:tc>
        <w:tc>
          <w:tcPr>
            <w:tcW w:w="3073" w:type="dxa"/>
          </w:tcPr>
          <w:p w:rsidR="00654949" w:rsidRPr="00520B4F" w:rsidRDefault="00654949" w:rsidP="005840AD">
            <w:pPr>
              <w:autoSpaceDE w:val="0"/>
              <w:autoSpaceDN w:val="0"/>
              <w:bidi w:val="0"/>
              <w:adjustRightInd w:val="0"/>
              <w:spacing w:line="360" w:lineRule="auto"/>
              <w:jc w:val="both"/>
              <w:rPr>
                <w:rFonts w:ascii="Times New Roman" w:hAnsi="Times New Roman" w:cs="Times New Roman"/>
                <w:b/>
                <w:bCs/>
                <w:sz w:val="24"/>
                <w:szCs w:val="24"/>
                <w:lang w:val="fr-FR"/>
              </w:rPr>
            </w:pPr>
            <w:r w:rsidRPr="00520B4F">
              <w:rPr>
                <w:rFonts w:ascii="Times New Roman" w:hAnsi="Times New Roman" w:cs="Times New Roman"/>
                <w:b/>
                <w:bCs/>
                <w:sz w:val="24"/>
                <w:szCs w:val="24"/>
              </w:rPr>
              <w:t>Inconvénients</w:t>
            </w:r>
          </w:p>
        </w:tc>
      </w:tr>
      <w:tr w:rsidR="00654949" w:rsidRPr="00044231" w:rsidTr="005840AD">
        <w:trPr>
          <w:trHeight w:val="2695"/>
        </w:trPr>
        <w:tc>
          <w:tcPr>
            <w:tcW w:w="2130" w:type="dxa"/>
          </w:tcPr>
          <w:p w:rsidR="00654949" w:rsidRPr="00520B4F" w:rsidRDefault="00654949" w:rsidP="005840AD">
            <w:pPr>
              <w:autoSpaceDE w:val="0"/>
              <w:autoSpaceDN w:val="0"/>
              <w:bidi w:val="0"/>
              <w:adjustRightInd w:val="0"/>
              <w:spacing w:line="360" w:lineRule="auto"/>
              <w:jc w:val="both"/>
              <w:rPr>
                <w:rFonts w:ascii="Times New Roman" w:hAnsi="Times New Roman" w:cs="Times New Roman"/>
                <w:b/>
                <w:bCs/>
                <w:sz w:val="24"/>
                <w:szCs w:val="24"/>
              </w:rPr>
            </w:pPr>
            <w:r w:rsidRPr="00520B4F">
              <w:rPr>
                <w:rFonts w:ascii="Times New Roman" w:hAnsi="Times New Roman" w:cs="Times New Roman"/>
                <w:b/>
                <w:bCs/>
                <w:sz w:val="24"/>
                <w:szCs w:val="24"/>
              </w:rPr>
              <w:t xml:space="preserve">    Coagulation/</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b/>
                <w:bCs/>
                <w:sz w:val="24"/>
                <w:szCs w:val="24"/>
                <w:lang w:val="fr-FR"/>
              </w:rPr>
            </w:pPr>
            <w:r w:rsidRPr="00520B4F">
              <w:rPr>
                <w:rFonts w:ascii="Times New Roman" w:hAnsi="Times New Roman" w:cs="Times New Roman"/>
                <w:b/>
                <w:bCs/>
                <w:sz w:val="24"/>
                <w:szCs w:val="24"/>
              </w:rPr>
              <w:t>Floculation</w:t>
            </w:r>
          </w:p>
        </w:tc>
        <w:tc>
          <w:tcPr>
            <w:tcW w:w="2130" w:type="dxa"/>
          </w:tcPr>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Chaux,</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FeCl3,</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b/>
                <w:bCs/>
                <w:sz w:val="24"/>
                <w:szCs w:val="24"/>
                <w:lang w:val="fr-FR"/>
              </w:rPr>
            </w:pPr>
            <w:r w:rsidRPr="00520B4F">
              <w:rPr>
                <w:rFonts w:ascii="Times New Roman" w:hAnsi="Times New Roman" w:cs="Times New Roman"/>
                <w:sz w:val="24"/>
                <w:szCs w:val="24"/>
                <w:lang w:val="fr-FR"/>
              </w:rPr>
              <w:t>polyélectrolyte</w:t>
            </w:r>
          </w:p>
        </w:tc>
        <w:tc>
          <w:tcPr>
            <w:tcW w:w="2131" w:type="dxa"/>
          </w:tcPr>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-Equipement simple</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-Décoloration relativement rapide</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b/>
                <w:bCs/>
                <w:sz w:val="24"/>
                <w:szCs w:val="24"/>
                <w:lang w:val="fr-FR"/>
              </w:rPr>
            </w:pPr>
            <w:r w:rsidRPr="00520B4F">
              <w:rPr>
                <w:rFonts w:ascii="Times New Roman" w:hAnsi="Times New Roman" w:cs="Times New Roman"/>
                <w:sz w:val="24"/>
                <w:szCs w:val="24"/>
                <w:lang w:val="fr-FR"/>
              </w:rPr>
              <w:t>-Réduction significative de la DCO</w:t>
            </w:r>
          </w:p>
        </w:tc>
        <w:tc>
          <w:tcPr>
            <w:tcW w:w="3073" w:type="dxa"/>
          </w:tcPr>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-Formation de boues</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-Adjonction de produits</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chimiques nécessaires</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-Fonctionnement onéreux</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-Coagulants non réutilisables</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-Réduction spécifique de la</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couleur</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-Peu d’informations sur la</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b/>
                <w:bCs/>
                <w:sz w:val="24"/>
                <w:szCs w:val="24"/>
                <w:lang w:val="fr-FR"/>
              </w:rPr>
            </w:pPr>
            <w:r w:rsidRPr="00520B4F">
              <w:rPr>
                <w:rFonts w:ascii="Times New Roman" w:hAnsi="Times New Roman" w:cs="Times New Roman"/>
                <w:sz w:val="24"/>
                <w:szCs w:val="24"/>
                <w:lang w:val="fr-FR"/>
              </w:rPr>
              <w:t>réduction de DBO et DCO</w:t>
            </w:r>
          </w:p>
        </w:tc>
      </w:tr>
      <w:tr w:rsidR="00654949" w:rsidRPr="00044231" w:rsidTr="005840AD">
        <w:trPr>
          <w:trHeight w:val="3235"/>
        </w:trPr>
        <w:tc>
          <w:tcPr>
            <w:tcW w:w="2130" w:type="dxa"/>
          </w:tcPr>
          <w:p w:rsidR="00654949" w:rsidRPr="00520B4F" w:rsidRDefault="00654949" w:rsidP="005840AD">
            <w:pPr>
              <w:autoSpaceDE w:val="0"/>
              <w:autoSpaceDN w:val="0"/>
              <w:bidi w:val="0"/>
              <w:adjustRightInd w:val="0"/>
              <w:spacing w:line="360" w:lineRule="auto"/>
              <w:jc w:val="both"/>
              <w:rPr>
                <w:rFonts w:ascii="Times New Roman" w:hAnsi="Times New Roman" w:cs="Times New Roman"/>
                <w:b/>
                <w:bCs/>
                <w:sz w:val="24"/>
                <w:szCs w:val="24"/>
              </w:rPr>
            </w:pPr>
            <w:r w:rsidRPr="00520B4F">
              <w:rPr>
                <w:rFonts w:ascii="Times New Roman" w:hAnsi="Times New Roman" w:cs="Times New Roman"/>
                <w:b/>
                <w:bCs/>
                <w:sz w:val="24"/>
                <w:szCs w:val="24"/>
              </w:rPr>
              <w:lastRenderedPageBreak/>
              <w:t>Filtration</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b/>
                <w:bCs/>
                <w:sz w:val="24"/>
                <w:szCs w:val="24"/>
              </w:rPr>
            </w:pPr>
            <w:r w:rsidRPr="00520B4F">
              <w:rPr>
                <w:rFonts w:ascii="Times New Roman" w:hAnsi="Times New Roman" w:cs="Times New Roman"/>
                <w:b/>
                <w:bCs/>
                <w:sz w:val="24"/>
                <w:szCs w:val="24"/>
              </w:rPr>
              <w:t>sur</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b/>
                <w:bCs/>
                <w:sz w:val="24"/>
                <w:szCs w:val="24"/>
                <w:lang w:val="fr-FR"/>
              </w:rPr>
            </w:pPr>
            <w:r w:rsidRPr="00520B4F">
              <w:rPr>
                <w:rFonts w:ascii="Times New Roman" w:hAnsi="Times New Roman" w:cs="Times New Roman"/>
                <w:b/>
                <w:bCs/>
                <w:sz w:val="24"/>
                <w:szCs w:val="24"/>
              </w:rPr>
              <w:t>membranes</w:t>
            </w:r>
          </w:p>
        </w:tc>
        <w:tc>
          <w:tcPr>
            <w:tcW w:w="2130" w:type="dxa"/>
          </w:tcPr>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Osmose</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inverse,</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Nanofiltration,</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Microfiltration,</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b/>
                <w:bCs/>
                <w:sz w:val="24"/>
                <w:szCs w:val="24"/>
                <w:lang w:val="fr-FR"/>
              </w:rPr>
            </w:pPr>
            <w:r w:rsidRPr="00520B4F">
              <w:rPr>
                <w:rFonts w:ascii="Times New Roman" w:hAnsi="Times New Roman" w:cs="Times New Roman"/>
                <w:sz w:val="24"/>
                <w:szCs w:val="24"/>
                <w:lang w:val="fr-FR"/>
              </w:rPr>
              <w:t>Ultrafiltration.</w:t>
            </w:r>
          </w:p>
        </w:tc>
        <w:tc>
          <w:tcPr>
            <w:tcW w:w="2131" w:type="dxa"/>
          </w:tcPr>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-Utilisation simple et rapide</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-Pas d’addition de produits chimiques</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-Faible consommation</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énergétique</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-Réduction de la couleur</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b/>
                <w:bCs/>
                <w:sz w:val="24"/>
                <w:szCs w:val="24"/>
                <w:lang w:val="fr-FR"/>
              </w:rPr>
            </w:pPr>
            <w:r w:rsidRPr="00520B4F">
              <w:rPr>
                <w:rFonts w:ascii="Times New Roman" w:hAnsi="Times New Roman" w:cs="Times New Roman"/>
                <w:sz w:val="24"/>
                <w:szCs w:val="24"/>
                <w:lang w:val="fr-FR"/>
              </w:rPr>
              <w:t>-Grands volumes traités</w:t>
            </w:r>
          </w:p>
        </w:tc>
        <w:tc>
          <w:tcPr>
            <w:tcW w:w="3073" w:type="dxa"/>
          </w:tcPr>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-Investissement important</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-Sélectif</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-Encrassement rapide des</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membranes</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sz w:val="24"/>
                <w:szCs w:val="24"/>
                <w:lang w:val="fr-FR"/>
              </w:rPr>
            </w:pPr>
            <w:r w:rsidRPr="00520B4F">
              <w:rPr>
                <w:rFonts w:ascii="Times New Roman" w:hAnsi="Times New Roman" w:cs="Times New Roman"/>
                <w:sz w:val="24"/>
                <w:szCs w:val="24"/>
                <w:lang w:val="fr-FR"/>
              </w:rPr>
              <w:t>-Pré et post traitement</w:t>
            </w:r>
          </w:p>
          <w:p w:rsidR="00654949" w:rsidRPr="00520B4F" w:rsidRDefault="00654949" w:rsidP="005840AD">
            <w:pPr>
              <w:autoSpaceDE w:val="0"/>
              <w:autoSpaceDN w:val="0"/>
              <w:bidi w:val="0"/>
              <w:adjustRightInd w:val="0"/>
              <w:spacing w:line="360" w:lineRule="auto"/>
              <w:jc w:val="both"/>
              <w:rPr>
                <w:rFonts w:ascii="Times New Roman" w:hAnsi="Times New Roman" w:cs="Times New Roman"/>
                <w:b/>
                <w:bCs/>
                <w:sz w:val="24"/>
                <w:szCs w:val="24"/>
                <w:lang w:val="fr-FR"/>
              </w:rPr>
            </w:pPr>
            <w:r w:rsidRPr="00520B4F">
              <w:rPr>
                <w:rFonts w:ascii="Times New Roman" w:hAnsi="Times New Roman" w:cs="Times New Roman"/>
                <w:sz w:val="24"/>
                <w:szCs w:val="24"/>
                <w:lang w:val="fr-FR"/>
              </w:rPr>
              <w:t>Nécessaires</w:t>
            </w:r>
          </w:p>
        </w:tc>
      </w:tr>
    </w:tbl>
    <w:p w:rsidR="00654949" w:rsidRPr="00520B4F" w:rsidRDefault="00654949" w:rsidP="00654949">
      <w:pPr>
        <w:pStyle w:val="Default"/>
        <w:spacing w:line="360" w:lineRule="auto"/>
        <w:jc w:val="both"/>
        <w:rPr>
          <w:b/>
          <w:bCs/>
          <w:lang w:val="fr-FR"/>
        </w:rPr>
      </w:pPr>
    </w:p>
    <w:p w:rsidR="00654949" w:rsidRPr="00520B4F" w:rsidRDefault="00654949" w:rsidP="00654949">
      <w:pPr>
        <w:pStyle w:val="Default"/>
        <w:spacing w:line="360" w:lineRule="auto"/>
        <w:jc w:val="both"/>
        <w:rPr>
          <w:lang w:val="fr-FR"/>
        </w:rPr>
      </w:pPr>
      <w:r w:rsidRPr="00520B4F">
        <w:rPr>
          <w:b/>
          <w:bCs/>
          <w:lang w:val="fr-FR"/>
        </w:rPr>
        <w:t xml:space="preserve">II.4. Traitement chimique </w:t>
      </w:r>
    </w:p>
    <w:p w:rsidR="00654949" w:rsidRPr="00B01F92" w:rsidRDefault="00654949" w:rsidP="00B01F92">
      <w:pPr>
        <w:spacing w:line="360" w:lineRule="auto"/>
        <w:jc w:val="both"/>
        <w:rPr>
          <w:rFonts w:asciiTheme="majorBidi" w:hAnsiTheme="majorBidi" w:cstheme="majorBidi"/>
          <w:sz w:val="24"/>
          <w:szCs w:val="24"/>
          <w:lang w:val="fr-FR" w:bidi="ar-DZ"/>
        </w:rPr>
      </w:pPr>
      <w:r w:rsidRPr="005840AD">
        <w:rPr>
          <w:rFonts w:asciiTheme="majorBidi" w:hAnsiTheme="majorBidi" w:cstheme="majorBidi"/>
          <w:sz w:val="24"/>
          <w:szCs w:val="24"/>
          <w:lang w:val="fr-FR"/>
        </w:rPr>
        <w:t xml:space="preserve">     Les techniques d’oxydation chimiques sont généralement appliquées quand les procédés biologiques sont inefficaces. Elles peuvent être ainsi utilisées pour les procédés biologiques en étapes de prétraitement afin de diminuer la charge polluante. L’oxydation chimique est également appliquée pour le </w:t>
      </w:r>
      <w:r w:rsidRPr="005840AD">
        <w:rPr>
          <w:rFonts w:asciiTheme="majorBidi" w:hAnsiTheme="majorBidi" w:cstheme="majorBidi"/>
          <w:sz w:val="24"/>
          <w:szCs w:val="24"/>
          <w:lang w:val="fr-FR" w:bidi="ar-TN"/>
        </w:rPr>
        <w:t xml:space="preserve">traitement des organiques dangereux présents en faibles concentrations et des effluents chargés de constituants résistants aux méthodes de biodégradation. Le peroxyde d’hydrogène </w:t>
      </w:r>
      <w:r w:rsidR="005840AD" w:rsidRPr="005840AD">
        <w:rPr>
          <w:rFonts w:asciiTheme="majorBidi" w:hAnsiTheme="majorBidi" w:cstheme="majorBidi"/>
          <w:sz w:val="24"/>
          <w:szCs w:val="24"/>
          <w:lang w:val="fr-FR" w:bidi="ar-DZ"/>
        </w:rPr>
        <w:t>H</w:t>
      </w:r>
      <w:r w:rsidR="005840AD" w:rsidRPr="005840AD">
        <w:rPr>
          <w:rFonts w:asciiTheme="majorBidi" w:hAnsiTheme="majorBidi" w:cstheme="majorBidi"/>
          <w:sz w:val="24"/>
          <w:szCs w:val="24"/>
          <w:vertAlign w:val="subscript"/>
          <w:lang w:val="fr-FR" w:bidi="ar-DZ"/>
        </w:rPr>
        <w:t>2</w:t>
      </w:r>
      <w:r w:rsidR="005840AD" w:rsidRPr="005840AD">
        <w:rPr>
          <w:rFonts w:asciiTheme="majorBidi" w:hAnsiTheme="majorBidi" w:cstheme="majorBidi"/>
          <w:sz w:val="24"/>
          <w:szCs w:val="24"/>
          <w:lang w:val="fr-FR" w:bidi="ar-DZ"/>
        </w:rPr>
        <w:t>O</w:t>
      </w:r>
      <w:r w:rsidR="005840AD" w:rsidRPr="005840AD">
        <w:rPr>
          <w:rFonts w:asciiTheme="majorBidi" w:hAnsiTheme="majorBidi" w:cstheme="majorBidi"/>
          <w:sz w:val="24"/>
          <w:szCs w:val="24"/>
          <w:vertAlign w:val="subscript"/>
          <w:lang w:val="fr-FR" w:bidi="ar-DZ"/>
        </w:rPr>
        <w:t>2</w:t>
      </w:r>
      <w:r w:rsidR="00B01F92">
        <w:rPr>
          <w:rFonts w:asciiTheme="majorBidi" w:hAnsiTheme="majorBidi" w:cstheme="majorBidi"/>
          <w:sz w:val="24"/>
          <w:szCs w:val="24"/>
          <w:vertAlign w:val="subscript"/>
          <w:lang w:val="fr-FR" w:bidi="ar-DZ"/>
        </w:rPr>
        <w:t xml:space="preserve">                        </w:t>
      </w:r>
      <w:r w:rsidR="005840AD" w:rsidRPr="005840AD">
        <w:rPr>
          <w:rFonts w:asciiTheme="majorBidi" w:hAnsiTheme="majorBidi" w:cstheme="majorBidi"/>
          <w:sz w:val="24"/>
          <w:szCs w:val="24"/>
          <w:vertAlign w:val="subscript"/>
          <w:lang w:val="fr-FR" w:bidi="ar-DZ"/>
        </w:rPr>
        <w:t xml:space="preserve"> </w:t>
      </w:r>
      <w:proofErr w:type="gramStart"/>
      <w:r w:rsidR="005840AD" w:rsidRPr="005840AD">
        <w:rPr>
          <w:rFonts w:asciiTheme="majorBidi" w:hAnsiTheme="majorBidi" w:cstheme="majorBidi"/>
          <w:sz w:val="24"/>
          <w:szCs w:val="24"/>
          <w:lang w:val="fr-FR" w:bidi="ar-TN"/>
        </w:rPr>
        <w:t>;</w:t>
      </w:r>
      <w:r w:rsidRPr="005840AD">
        <w:rPr>
          <w:rFonts w:asciiTheme="majorBidi" w:hAnsiTheme="majorBidi" w:cstheme="majorBidi"/>
          <w:sz w:val="24"/>
          <w:szCs w:val="24"/>
          <w:lang w:val="fr-FR" w:bidi="ar-TN"/>
        </w:rPr>
        <w:t>le</w:t>
      </w:r>
      <w:proofErr w:type="gramEnd"/>
      <w:r w:rsidRPr="005840AD">
        <w:rPr>
          <w:rFonts w:asciiTheme="majorBidi" w:hAnsiTheme="majorBidi" w:cstheme="majorBidi"/>
          <w:sz w:val="24"/>
          <w:szCs w:val="24"/>
          <w:lang w:val="fr-FR" w:bidi="ar-TN"/>
        </w:rPr>
        <w:t xml:space="preserve"> Cl</w:t>
      </w:r>
      <w:r w:rsidR="002C0BE2" w:rsidRPr="005840AD">
        <w:rPr>
          <w:rFonts w:asciiTheme="majorBidi" w:hAnsiTheme="majorBidi" w:cstheme="majorBidi"/>
          <w:sz w:val="24"/>
          <w:szCs w:val="24"/>
          <w:vertAlign w:val="subscript"/>
          <w:lang w:val="fr-FR" w:bidi="ar-TN"/>
        </w:rPr>
        <w:t>2</w:t>
      </w:r>
      <w:r w:rsidRPr="005840AD">
        <w:rPr>
          <w:rFonts w:asciiTheme="majorBidi" w:hAnsiTheme="majorBidi" w:cstheme="majorBidi"/>
          <w:sz w:val="24"/>
          <w:szCs w:val="24"/>
          <w:lang w:val="fr-FR" w:bidi="ar-TN"/>
        </w:rPr>
        <w:t xml:space="preserve"> et</w:t>
      </w:r>
      <w:r w:rsidR="002C0BE2" w:rsidRPr="005840AD">
        <w:rPr>
          <w:rFonts w:asciiTheme="majorBidi" w:hAnsiTheme="majorBidi" w:cstheme="majorBidi"/>
          <w:sz w:val="24"/>
          <w:szCs w:val="24"/>
          <w:lang w:val="fr-FR" w:bidi="ar-TN"/>
        </w:rPr>
        <w:t xml:space="preserve"> O</w:t>
      </w:r>
      <w:r w:rsidR="002C0BE2" w:rsidRPr="005840AD">
        <w:rPr>
          <w:rFonts w:asciiTheme="majorBidi" w:hAnsiTheme="majorBidi" w:cstheme="majorBidi"/>
          <w:sz w:val="24"/>
          <w:szCs w:val="24"/>
          <w:vertAlign w:val="subscript"/>
          <w:lang w:val="fr-FR" w:bidi="ar-TN"/>
        </w:rPr>
        <w:t>3</w:t>
      </w:r>
      <w:r w:rsidRPr="005840AD">
        <w:rPr>
          <w:rFonts w:asciiTheme="majorBidi" w:hAnsiTheme="majorBidi" w:cstheme="majorBidi"/>
          <w:sz w:val="24"/>
          <w:szCs w:val="24"/>
          <w:lang w:val="fr-FR" w:bidi="ar-TN"/>
        </w:rPr>
        <w:t xml:space="preserve"> sont les réactifs</w:t>
      </w:r>
      <w:r w:rsidRPr="005840AD">
        <w:rPr>
          <w:rFonts w:asciiTheme="majorBidi" w:hAnsiTheme="majorBidi" w:cstheme="majorBidi"/>
          <w:sz w:val="24"/>
          <w:szCs w:val="24"/>
          <w:lang w:val="fr-FR"/>
        </w:rPr>
        <w:t xml:space="preserve"> les plus souvent utilisés pour ce type de traitement. Le </w:t>
      </w:r>
      <w:r w:rsidR="00B01F92" w:rsidRPr="00D008B8">
        <w:rPr>
          <w:rFonts w:asciiTheme="majorBidi" w:hAnsiTheme="majorBidi" w:cstheme="majorBidi"/>
          <w:sz w:val="24"/>
          <w:szCs w:val="24"/>
          <w:lang w:val="fr-FR" w:bidi="ar-DZ"/>
        </w:rPr>
        <w:t>H</w:t>
      </w:r>
      <w:r w:rsidR="00B01F92" w:rsidRPr="00D008B8">
        <w:rPr>
          <w:rFonts w:asciiTheme="majorBidi" w:hAnsiTheme="majorBidi" w:cstheme="majorBidi"/>
          <w:sz w:val="24"/>
          <w:szCs w:val="24"/>
          <w:vertAlign w:val="subscript"/>
          <w:lang w:val="fr-FR" w:bidi="ar-DZ"/>
        </w:rPr>
        <w:t>2</w:t>
      </w:r>
      <w:r w:rsidR="00B01F92" w:rsidRPr="00D008B8">
        <w:rPr>
          <w:rFonts w:asciiTheme="majorBidi" w:hAnsiTheme="majorBidi" w:cstheme="majorBidi"/>
          <w:sz w:val="24"/>
          <w:szCs w:val="24"/>
          <w:lang w:val="fr-FR" w:bidi="ar-DZ"/>
        </w:rPr>
        <w:t>O</w:t>
      </w:r>
      <w:r w:rsidR="00B01F92" w:rsidRPr="00D008B8">
        <w:rPr>
          <w:rFonts w:asciiTheme="majorBidi" w:hAnsiTheme="majorBidi" w:cstheme="majorBidi"/>
          <w:sz w:val="24"/>
          <w:szCs w:val="24"/>
          <w:vertAlign w:val="subscript"/>
          <w:lang w:val="fr-FR" w:bidi="ar-DZ"/>
        </w:rPr>
        <w:t xml:space="preserve">2 </w:t>
      </w:r>
      <w:r w:rsidR="00B01F92">
        <w:rPr>
          <w:rFonts w:asciiTheme="majorBidi" w:hAnsiTheme="majorBidi" w:cstheme="majorBidi" w:hint="cs"/>
          <w:sz w:val="24"/>
          <w:szCs w:val="24"/>
          <w:vertAlign w:val="subscript"/>
          <w:rtl/>
          <w:lang w:val="fr-FR" w:bidi="ar-DZ"/>
        </w:rPr>
        <w:t xml:space="preserve"> </w:t>
      </w:r>
      <w:r w:rsidRPr="005840AD">
        <w:rPr>
          <w:rFonts w:asciiTheme="majorBidi" w:hAnsiTheme="majorBidi" w:cstheme="majorBidi"/>
          <w:sz w:val="24"/>
          <w:szCs w:val="24"/>
          <w:lang w:val="fr-FR"/>
        </w:rPr>
        <w:t xml:space="preserve">est un oxydant moyennement fort et son application pour le traitement des polluants organiques </w:t>
      </w:r>
      <w:r w:rsidRPr="00B01F92">
        <w:rPr>
          <w:rFonts w:asciiTheme="majorBidi" w:hAnsiTheme="majorBidi" w:cstheme="majorBidi"/>
          <w:sz w:val="24"/>
          <w:szCs w:val="24"/>
          <w:lang w:val="fr-FR"/>
        </w:rPr>
        <w:t xml:space="preserve">et inorganiques est bien établie </w:t>
      </w:r>
      <w:r w:rsidR="00044231" w:rsidRPr="00B01F92">
        <w:rPr>
          <w:rFonts w:asciiTheme="majorBidi" w:hAnsiTheme="majorBidi" w:cstheme="majorBidi"/>
          <w:sz w:val="24"/>
          <w:szCs w:val="24"/>
          <w:lang w:val="fr-FR"/>
        </w:rPr>
        <w:t>.</w:t>
      </w:r>
      <w:r w:rsidRPr="00B01F92">
        <w:rPr>
          <w:rFonts w:asciiTheme="majorBidi" w:hAnsiTheme="majorBidi" w:cstheme="majorBidi"/>
          <w:sz w:val="24"/>
          <w:szCs w:val="24"/>
          <w:lang w:val="fr-FR"/>
        </w:rPr>
        <w:t>Mais l’oxydation par</w:t>
      </w:r>
      <w:r w:rsidR="005840AD" w:rsidRPr="00B01F92">
        <w:rPr>
          <w:rFonts w:asciiTheme="majorBidi" w:hAnsiTheme="majorBidi" w:cstheme="majorBidi"/>
          <w:sz w:val="24"/>
          <w:szCs w:val="24"/>
          <w:lang w:val="fr-FR" w:bidi="ar-DZ"/>
        </w:rPr>
        <w:t xml:space="preserve"> H</w:t>
      </w:r>
      <w:r w:rsidR="005840AD" w:rsidRPr="00B01F92">
        <w:rPr>
          <w:rFonts w:asciiTheme="majorBidi" w:hAnsiTheme="majorBidi" w:cstheme="majorBidi"/>
          <w:sz w:val="24"/>
          <w:szCs w:val="24"/>
          <w:vertAlign w:val="subscript"/>
          <w:lang w:val="fr-FR" w:bidi="ar-DZ"/>
        </w:rPr>
        <w:t>2</w:t>
      </w:r>
      <w:r w:rsidR="005840AD" w:rsidRPr="00B01F92">
        <w:rPr>
          <w:rFonts w:asciiTheme="majorBidi" w:hAnsiTheme="majorBidi" w:cstheme="majorBidi"/>
          <w:sz w:val="24"/>
          <w:szCs w:val="24"/>
          <w:lang w:val="fr-FR" w:bidi="ar-DZ"/>
        </w:rPr>
        <w:t>O</w:t>
      </w:r>
      <w:r w:rsidR="005840AD" w:rsidRPr="00B01F92">
        <w:rPr>
          <w:rFonts w:asciiTheme="majorBidi" w:hAnsiTheme="majorBidi" w:cstheme="majorBidi"/>
          <w:sz w:val="24"/>
          <w:szCs w:val="24"/>
          <w:vertAlign w:val="subscript"/>
          <w:lang w:val="fr-FR" w:bidi="ar-DZ"/>
        </w:rPr>
        <w:t>2</w:t>
      </w:r>
      <w:r w:rsidR="00B01F92">
        <w:rPr>
          <w:rFonts w:asciiTheme="majorBidi" w:hAnsiTheme="majorBidi" w:cstheme="majorBidi"/>
          <w:sz w:val="24"/>
          <w:szCs w:val="24"/>
          <w:vertAlign w:val="subscript"/>
          <w:lang w:val="fr-FR" w:bidi="ar-DZ"/>
        </w:rPr>
        <w:t xml:space="preserve">         </w:t>
      </w:r>
      <w:r w:rsidR="005840AD" w:rsidRPr="00B01F92">
        <w:rPr>
          <w:rFonts w:asciiTheme="majorBidi" w:hAnsiTheme="majorBidi" w:cstheme="majorBidi"/>
          <w:sz w:val="24"/>
          <w:szCs w:val="24"/>
          <w:vertAlign w:val="subscript"/>
          <w:lang w:val="fr-FR" w:bidi="ar-DZ"/>
        </w:rPr>
        <w:t xml:space="preserve"> </w:t>
      </w:r>
      <w:r w:rsidRPr="00B01F92">
        <w:rPr>
          <w:rFonts w:asciiTheme="majorBidi" w:hAnsiTheme="majorBidi" w:cstheme="majorBidi"/>
          <w:sz w:val="24"/>
          <w:szCs w:val="24"/>
          <w:lang w:val="fr-FR"/>
        </w:rPr>
        <w:t xml:space="preserve">n’est pas suffisamment efficace pour de fortes concentrations en colorant. </w:t>
      </w:r>
      <w:proofErr w:type="gramStart"/>
      <w:r w:rsidRPr="00B01F92">
        <w:rPr>
          <w:rFonts w:asciiTheme="majorBidi" w:hAnsiTheme="majorBidi" w:cstheme="majorBidi"/>
          <w:sz w:val="24"/>
          <w:szCs w:val="24"/>
          <w:lang w:val="fr-FR"/>
        </w:rPr>
        <w:t>ont</w:t>
      </w:r>
      <w:proofErr w:type="gramEnd"/>
      <w:r w:rsidRPr="00B01F92">
        <w:rPr>
          <w:rFonts w:asciiTheme="majorBidi" w:hAnsiTheme="majorBidi" w:cstheme="majorBidi"/>
          <w:sz w:val="24"/>
          <w:szCs w:val="24"/>
          <w:lang w:val="fr-FR"/>
        </w:rPr>
        <w:t xml:space="preserve"> proposé de traiter les colorants azoïques par hypochlorure de sodium. Cependant,</w:t>
      </w:r>
      <w:r w:rsidR="0034668D" w:rsidRPr="00B01F92">
        <w:rPr>
          <w:rFonts w:asciiTheme="majorBidi" w:hAnsiTheme="majorBidi" w:cstheme="majorBidi"/>
          <w:b/>
          <w:bCs/>
          <w:color w:val="FF0000"/>
          <w:sz w:val="24"/>
          <w:szCs w:val="24"/>
          <w:lang w:val="fr-FR"/>
        </w:rPr>
        <w:t xml:space="preserve"> </w:t>
      </w:r>
      <w:r w:rsidR="00520B4F" w:rsidRPr="00B01F92">
        <w:rPr>
          <w:rFonts w:asciiTheme="majorBidi" w:hAnsiTheme="majorBidi" w:cstheme="majorBidi"/>
          <w:b/>
          <w:bCs/>
          <w:color w:val="FF0000"/>
          <w:sz w:val="24"/>
          <w:szCs w:val="24"/>
          <w:lang w:val="fr-FR"/>
        </w:rPr>
        <w:t>[16</w:t>
      </w:r>
      <w:r w:rsidR="0034668D" w:rsidRPr="00B01F92">
        <w:rPr>
          <w:rFonts w:asciiTheme="majorBidi" w:hAnsiTheme="majorBidi" w:cstheme="majorBidi"/>
          <w:b/>
          <w:bCs/>
          <w:color w:val="FF0000"/>
          <w:sz w:val="24"/>
          <w:szCs w:val="24"/>
          <w:lang w:val="fr-FR"/>
        </w:rPr>
        <w:t>]</w:t>
      </w:r>
      <w:r w:rsidRPr="00B01F92">
        <w:rPr>
          <w:rFonts w:asciiTheme="majorBidi" w:hAnsiTheme="majorBidi" w:cstheme="majorBidi"/>
          <w:sz w:val="24"/>
          <w:szCs w:val="24"/>
          <w:lang w:val="fr-FR"/>
        </w:rPr>
        <w:t xml:space="preserve"> si la molécule initiale est détruite, les halogènes sont susceptibles de former des trihalométhanes comme sous-produits de dégradation les</w:t>
      </w:r>
      <w:r w:rsidR="002C0BE2" w:rsidRPr="00B01F92">
        <w:rPr>
          <w:rFonts w:asciiTheme="majorBidi" w:hAnsiTheme="majorBidi" w:cstheme="majorBidi"/>
          <w:sz w:val="24"/>
          <w:szCs w:val="24"/>
          <w:lang w:val="fr-FR"/>
        </w:rPr>
        <w:t>quels sont cancérigènes pour l’h</w:t>
      </w:r>
      <w:r w:rsidRPr="00B01F92">
        <w:rPr>
          <w:rFonts w:asciiTheme="majorBidi" w:hAnsiTheme="majorBidi" w:cstheme="majorBidi"/>
          <w:sz w:val="24"/>
          <w:szCs w:val="24"/>
          <w:lang w:val="fr-FR"/>
        </w:rPr>
        <w:t>omme.</w:t>
      </w:r>
      <w:r w:rsidRPr="005840AD">
        <w:rPr>
          <w:rFonts w:asciiTheme="majorBidi" w:hAnsiTheme="majorBidi" w:cstheme="majorBidi"/>
          <w:lang w:val="fr-FR"/>
        </w:rPr>
        <w:t xml:space="preserve"> </w:t>
      </w:r>
      <w:r w:rsidR="00B01F92">
        <w:rPr>
          <w:rFonts w:asciiTheme="majorBidi" w:hAnsiTheme="majorBidi" w:cstheme="majorBidi"/>
          <w:lang w:val="fr-FR"/>
        </w:rPr>
        <w:t xml:space="preserve">                                                                                                                           </w:t>
      </w:r>
    </w:p>
    <w:p w:rsidR="00654949" w:rsidRPr="00520B4F" w:rsidRDefault="00654949" w:rsidP="00B01F92">
      <w:pPr>
        <w:autoSpaceDE w:val="0"/>
        <w:autoSpaceDN w:val="0"/>
        <w:bidi w:val="0"/>
        <w:adjustRightInd w:val="0"/>
        <w:spacing w:after="0" w:line="360" w:lineRule="auto"/>
        <w:jc w:val="both"/>
        <w:rPr>
          <w:rFonts w:ascii="Times New Roman" w:hAnsi="Times New Roman" w:cs="Times New Roman"/>
          <w:b/>
          <w:bCs/>
          <w:sz w:val="24"/>
          <w:szCs w:val="24"/>
          <w:lang w:val="fr-FR"/>
        </w:rPr>
      </w:pPr>
    </w:p>
    <w:p w:rsidR="00654949" w:rsidRPr="00520B4F" w:rsidRDefault="00654949" w:rsidP="00C25133">
      <w:pPr>
        <w:pStyle w:val="Default"/>
        <w:spacing w:line="360" w:lineRule="auto"/>
        <w:jc w:val="both"/>
        <w:rPr>
          <w:lang w:val="fr-FR"/>
        </w:rPr>
      </w:pPr>
      <w:r w:rsidRPr="00520B4F">
        <w:rPr>
          <w:b/>
          <w:bCs/>
          <w:lang w:val="fr-FR"/>
        </w:rPr>
        <w:t>II.</w:t>
      </w:r>
      <w:r w:rsidR="008229B3" w:rsidRPr="00520B4F">
        <w:rPr>
          <w:b/>
          <w:bCs/>
          <w:lang w:val="fr-FR"/>
        </w:rPr>
        <w:t>5.</w:t>
      </w:r>
      <w:r w:rsidRPr="00520B4F">
        <w:rPr>
          <w:b/>
          <w:bCs/>
          <w:lang w:val="fr-FR"/>
        </w:rPr>
        <w:t>Optimisation de la Coagulation </w:t>
      </w:r>
    </w:p>
    <w:p w:rsidR="00654949" w:rsidRPr="00520B4F" w:rsidRDefault="00654949" w:rsidP="00C25133">
      <w:pPr>
        <w:pStyle w:val="Default"/>
        <w:spacing w:line="360" w:lineRule="auto"/>
        <w:jc w:val="both"/>
        <w:rPr>
          <w:lang w:val="fr-FR"/>
        </w:rPr>
      </w:pPr>
      <w:r w:rsidRPr="00520B4F">
        <w:rPr>
          <w:lang w:val="fr-FR"/>
        </w:rPr>
        <w:t xml:space="preserve">    Lors de la coagulation, il faut chercher :           </w:t>
      </w:r>
    </w:p>
    <w:p w:rsidR="00654949" w:rsidRPr="00520B4F" w:rsidRDefault="00654949" w:rsidP="00C25133">
      <w:pPr>
        <w:pStyle w:val="Default"/>
        <w:spacing w:line="360" w:lineRule="auto"/>
        <w:jc w:val="both"/>
        <w:rPr>
          <w:lang w:val="fr-FR"/>
        </w:rPr>
      </w:pPr>
      <w:r w:rsidRPr="00520B4F">
        <w:rPr>
          <w:lang w:val="fr-FR"/>
        </w:rPr>
        <w:t>- La maximisation de la déstabilisation des particules et des colloïdes organiques pour faciliter leur agglomération et leur enlèvement subséquent, par un procédé de séparation solide-liquide;</w:t>
      </w:r>
    </w:p>
    <w:p w:rsidR="00654949" w:rsidRPr="00520B4F" w:rsidRDefault="00654949" w:rsidP="00C25133">
      <w:pPr>
        <w:pStyle w:val="Default"/>
        <w:spacing w:line="360" w:lineRule="auto"/>
        <w:jc w:val="both"/>
        <w:rPr>
          <w:lang w:val="fr-FR"/>
        </w:rPr>
      </w:pPr>
      <w:r w:rsidRPr="00520B4F">
        <w:rPr>
          <w:b/>
          <w:bCs/>
          <w:lang w:val="fr-FR"/>
        </w:rPr>
        <w:lastRenderedPageBreak/>
        <w:t>-</w:t>
      </w:r>
      <w:r w:rsidRPr="00520B4F">
        <w:rPr>
          <w:lang w:val="fr-FR"/>
        </w:rPr>
        <w:t xml:space="preserve"> La minimisation de la concentration en coagulant résiduel;</w:t>
      </w:r>
    </w:p>
    <w:p w:rsidR="00654949" w:rsidRPr="00520B4F" w:rsidRDefault="00654949" w:rsidP="00C25133">
      <w:pPr>
        <w:pStyle w:val="Default"/>
        <w:spacing w:line="360" w:lineRule="auto"/>
        <w:jc w:val="both"/>
        <w:rPr>
          <w:lang w:val="fr-FR"/>
        </w:rPr>
      </w:pPr>
      <w:r w:rsidRPr="00520B4F">
        <w:rPr>
          <w:lang w:val="fr-FR"/>
        </w:rPr>
        <w:t>- La minimisation de la production des boues;</w:t>
      </w:r>
    </w:p>
    <w:p w:rsidR="00654949" w:rsidRPr="00520B4F" w:rsidRDefault="00654949" w:rsidP="00C25133">
      <w:pPr>
        <w:pStyle w:val="Default"/>
        <w:spacing w:line="360" w:lineRule="auto"/>
        <w:jc w:val="both"/>
        <w:rPr>
          <w:lang w:val="fr-FR"/>
        </w:rPr>
      </w:pPr>
      <w:r w:rsidRPr="00520B4F">
        <w:rPr>
          <w:lang w:val="fr-FR"/>
        </w:rPr>
        <w:t>- La minimisation des coûts d’opération.</w:t>
      </w:r>
    </w:p>
    <w:p w:rsidR="00654949" w:rsidRPr="00520B4F" w:rsidRDefault="00654949" w:rsidP="00044231">
      <w:pPr>
        <w:autoSpaceDE w:val="0"/>
        <w:autoSpaceDN w:val="0"/>
        <w:bidi w:val="0"/>
        <w:adjustRightInd w:val="0"/>
        <w:spacing w:after="0" w:line="360" w:lineRule="auto"/>
        <w:jc w:val="both"/>
        <w:rPr>
          <w:rFonts w:ascii="Times New Roman" w:hAnsi="Times New Roman" w:cs="Times New Roman"/>
          <w:b/>
          <w:bCs/>
          <w:sz w:val="24"/>
          <w:szCs w:val="24"/>
          <w:lang w:val="fr-FR"/>
        </w:rPr>
      </w:pPr>
      <w:r w:rsidRPr="00520B4F">
        <w:rPr>
          <w:rFonts w:ascii="Times New Roman" w:hAnsi="Times New Roman" w:cs="Times New Roman"/>
          <w:sz w:val="24"/>
          <w:szCs w:val="24"/>
          <w:lang w:val="fr-FR"/>
        </w:rPr>
        <w:t xml:space="preserve">La coagulation optimale correspond au dosage de coagulant et au pH qui assurent l’atteinte de tous ces objectifs </w:t>
      </w:r>
    </w:p>
    <w:p w:rsidR="00654949" w:rsidRPr="00520B4F" w:rsidRDefault="00654949" w:rsidP="00C25133">
      <w:pPr>
        <w:pStyle w:val="Default"/>
        <w:spacing w:line="360" w:lineRule="auto"/>
        <w:ind w:right="-36"/>
        <w:jc w:val="both"/>
        <w:rPr>
          <w:b/>
          <w:bCs/>
          <w:lang w:val="fr-FR"/>
        </w:rPr>
      </w:pPr>
    </w:p>
    <w:p w:rsidR="00654949" w:rsidRPr="00520B4F" w:rsidRDefault="00654949" w:rsidP="00C25133">
      <w:pPr>
        <w:pStyle w:val="Default"/>
        <w:spacing w:line="360" w:lineRule="auto"/>
        <w:ind w:right="-36"/>
        <w:jc w:val="both"/>
        <w:rPr>
          <w:lang w:val="fr-FR"/>
        </w:rPr>
      </w:pPr>
      <w:r w:rsidRPr="00520B4F">
        <w:rPr>
          <w:b/>
          <w:bCs/>
          <w:lang w:val="fr-FR"/>
        </w:rPr>
        <w:t>II.</w:t>
      </w:r>
      <w:r w:rsidR="008229B3" w:rsidRPr="00520B4F">
        <w:rPr>
          <w:b/>
          <w:bCs/>
          <w:lang w:val="fr-FR"/>
        </w:rPr>
        <w:t xml:space="preserve">6. </w:t>
      </w:r>
      <w:r w:rsidRPr="00520B4F">
        <w:rPr>
          <w:b/>
          <w:bCs/>
          <w:lang w:val="fr-FR"/>
        </w:rPr>
        <w:t xml:space="preserve">Coagulants usuels : </w:t>
      </w:r>
    </w:p>
    <w:p w:rsidR="00654949" w:rsidRPr="00520B4F" w:rsidRDefault="00654949" w:rsidP="00654949">
      <w:pPr>
        <w:pStyle w:val="Default"/>
        <w:spacing w:line="360" w:lineRule="auto"/>
        <w:ind w:right="-36"/>
        <w:jc w:val="both"/>
        <w:rPr>
          <w:lang w:val="fr-FR"/>
        </w:rPr>
      </w:pPr>
      <w:r w:rsidRPr="00520B4F">
        <w:rPr>
          <w:lang w:val="fr-FR"/>
        </w:rPr>
        <w:t xml:space="preserve">Les coagulants usuels sont : </w:t>
      </w:r>
    </w:p>
    <w:p w:rsidR="00654949" w:rsidRPr="00520B4F" w:rsidRDefault="00654949" w:rsidP="00C25133">
      <w:pPr>
        <w:pStyle w:val="Default"/>
        <w:spacing w:line="360" w:lineRule="auto"/>
        <w:ind w:firstLine="707"/>
        <w:jc w:val="both"/>
        <w:rPr>
          <w:lang w:val="fr-FR"/>
        </w:rPr>
      </w:pPr>
      <w:r w:rsidRPr="00520B4F">
        <w:rPr>
          <w:lang w:val="fr-FR"/>
        </w:rPr>
        <w:t xml:space="preserve">- </w:t>
      </w:r>
      <w:r w:rsidRPr="00520B4F">
        <w:rPr>
          <w:b/>
          <w:bCs/>
          <w:lang w:val="fr-FR"/>
        </w:rPr>
        <w:t xml:space="preserve">Sulfate d’aluminium hydraté (appelé communément alun): </w:t>
      </w:r>
      <w:r w:rsidRPr="00520B4F">
        <w:rPr>
          <w:lang w:val="fr-FR"/>
        </w:rPr>
        <w:t>Al</w:t>
      </w:r>
      <w:r w:rsidRPr="00520B4F">
        <w:rPr>
          <w:position w:val="-8"/>
          <w:vertAlign w:val="subscript"/>
          <w:lang w:val="fr-FR"/>
        </w:rPr>
        <w:t>2</w:t>
      </w:r>
      <w:r w:rsidRPr="00520B4F">
        <w:rPr>
          <w:lang w:val="fr-FR"/>
        </w:rPr>
        <w:t>(SO</w:t>
      </w:r>
      <w:r w:rsidRPr="00520B4F">
        <w:rPr>
          <w:position w:val="-8"/>
          <w:vertAlign w:val="subscript"/>
          <w:lang w:val="fr-FR"/>
        </w:rPr>
        <w:t>4</w:t>
      </w:r>
      <w:r w:rsidRPr="00520B4F">
        <w:rPr>
          <w:lang w:val="fr-FR"/>
        </w:rPr>
        <w:t>)</w:t>
      </w:r>
      <w:r w:rsidRPr="00520B4F">
        <w:rPr>
          <w:position w:val="-8"/>
          <w:vertAlign w:val="subscript"/>
          <w:lang w:val="fr-FR"/>
        </w:rPr>
        <w:t xml:space="preserve">3 </w:t>
      </w:r>
      <w:r w:rsidRPr="00520B4F">
        <w:rPr>
          <w:lang w:val="fr-FR"/>
        </w:rPr>
        <w:t>•14H</w:t>
      </w:r>
      <w:r w:rsidRPr="00520B4F">
        <w:rPr>
          <w:position w:val="-8"/>
          <w:vertAlign w:val="subscript"/>
          <w:lang w:val="fr-FR"/>
        </w:rPr>
        <w:t>2</w:t>
      </w:r>
      <w:r w:rsidRPr="00520B4F">
        <w:rPr>
          <w:lang w:val="fr-FR"/>
        </w:rPr>
        <w:t>O; dosages moyens 15 à 40 mg/l, chaque ppm d’alun produit 0,26 ppm de Al(OH</w:t>
      </w:r>
      <w:r w:rsidR="00520B4F" w:rsidRPr="00520B4F">
        <w:rPr>
          <w:lang w:val="fr-FR"/>
        </w:rPr>
        <w:t>)</w:t>
      </w:r>
      <w:r w:rsidR="00520B4F" w:rsidRPr="00520B4F">
        <w:rPr>
          <w:position w:val="-8"/>
          <w:vertAlign w:val="subscript"/>
          <w:lang w:val="fr-FR"/>
        </w:rPr>
        <w:t xml:space="preserve"> 3</w:t>
      </w:r>
      <w:r w:rsidRPr="00520B4F">
        <w:rPr>
          <w:position w:val="-8"/>
          <w:vertAlign w:val="subscript"/>
          <w:lang w:val="fr-FR"/>
        </w:rPr>
        <w:t xml:space="preserve"> </w:t>
      </w:r>
      <w:r w:rsidRPr="00520B4F">
        <w:rPr>
          <w:lang w:val="fr-FR"/>
        </w:rPr>
        <w:t xml:space="preserve">et consomme 0,5 ppm d’alcalinité; </w:t>
      </w:r>
    </w:p>
    <w:p w:rsidR="00654949" w:rsidRPr="00520B4F" w:rsidRDefault="00654949" w:rsidP="00C25133">
      <w:pPr>
        <w:pStyle w:val="Default"/>
        <w:spacing w:line="360" w:lineRule="auto"/>
        <w:ind w:firstLine="707"/>
        <w:jc w:val="both"/>
        <w:rPr>
          <w:lang w:val="fr-FR"/>
        </w:rPr>
      </w:pPr>
      <w:r w:rsidRPr="00520B4F">
        <w:rPr>
          <w:lang w:val="fr-FR"/>
        </w:rPr>
        <w:t xml:space="preserve">- </w:t>
      </w:r>
      <w:r w:rsidRPr="00520B4F">
        <w:rPr>
          <w:b/>
          <w:bCs/>
          <w:lang w:val="fr-FR"/>
        </w:rPr>
        <w:t xml:space="preserve">Chlorure ferrique: </w:t>
      </w:r>
      <w:r w:rsidRPr="00520B4F">
        <w:rPr>
          <w:lang w:val="fr-FR"/>
        </w:rPr>
        <w:t>FeCl</w:t>
      </w:r>
      <w:r w:rsidRPr="00520B4F">
        <w:rPr>
          <w:position w:val="-8"/>
          <w:vertAlign w:val="subscript"/>
          <w:lang w:val="fr-FR"/>
        </w:rPr>
        <w:t>3</w:t>
      </w:r>
      <w:r w:rsidRPr="00520B4F">
        <w:rPr>
          <w:lang w:val="fr-FR"/>
        </w:rPr>
        <w:t>; moins sensible que l’alun au contrôle du pH, et meilleur dans le traitement de la couleur; chaque ppm de FeCl</w:t>
      </w:r>
      <w:r w:rsidRPr="00520B4F">
        <w:rPr>
          <w:position w:val="-8"/>
          <w:vertAlign w:val="subscript"/>
          <w:lang w:val="fr-FR"/>
        </w:rPr>
        <w:t xml:space="preserve">3 </w:t>
      </w:r>
      <w:r w:rsidRPr="00520B4F">
        <w:rPr>
          <w:lang w:val="fr-FR"/>
        </w:rPr>
        <w:t>produit 0,66 ppm de Fe(OH)</w:t>
      </w:r>
      <w:r w:rsidRPr="00520B4F">
        <w:rPr>
          <w:position w:val="-8"/>
          <w:vertAlign w:val="subscript"/>
          <w:lang w:val="fr-FR"/>
        </w:rPr>
        <w:t xml:space="preserve"> 3 </w:t>
      </w:r>
      <w:r w:rsidRPr="00520B4F">
        <w:rPr>
          <w:lang w:val="fr-FR"/>
        </w:rPr>
        <w:t xml:space="preserve">et consomme 0,9 ppm d’alcalinité; </w:t>
      </w:r>
    </w:p>
    <w:p w:rsidR="00654949" w:rsidRPr="00520B4F" w:rsidRDefault="00654949" w:rsidP="00C25133">
      <w:pPr>
        <w:pStyle w:val="Default"/>
        <w:spacing w:line="360" w:lineRule="auto"/>
        <w:ind w:firstLine="707"/>
        <w:jc w:val="both"/>
      </w:pPr>
      <w:r w:rsidRPr="00520B4F">
        <w:t>- Poly-</w:t>
      </w:r>
      <w:proofErr w:type="spellStart"/>
      <w:r w:rsidRPr="00520B4F">
        <w:t>alumino</w:t>
      </w:r>
      <w:proofErr w:type="spellEnd"/>
      <w:r w:rsidRPr="00520B4F">
        <w:t>-</w:t>
      </w:r>
      <w:proofErr w:type="spellStart"/>
      <w:r w:rsidRPr="00520B4F">
        <w:t>silice</w:t>
      </w:r>
      <w:proofErr w:type="spellEnd"/>
      <w:r w:rsidRPr="00520B4F">
        <w:t xml:space="preserve">-sulfate (PASS): </w:t>
      </w:r>
      <w:proofErr w:type="spellStart"/>
      <w:r w:rsidR="00520B4F" w:rsidRPr="00520B4F">
        <w:t>Ala</w:t>
      </w:r>
      <w:proofErr w:type="spellEnd"/>
      <w:r w:rsidR="00520B4F" w:rsidRPr="00520B4F">
        <w:t xml:space="preserve"> (</w:t>
      </w:r>
      <w:r w:rsidRPr="00520B4F">
        <w:t>OH</w:t>
      </w:r>
      <w:proofErr w:type="gramStart"/>
      <w:r w:rsidRPr="00520B4F">
        <w:t>)</w:t>
      </w:r>
      <w:r w:rsidRPr="00520B4F">
        <w:rPr>
          <w:position w:val="-8"/>
          <w:vertAlign w:val="subscript"/>
        </w:rPr>
        <w:t>b</w:t>
      </w:r>
      <w:proofErr w:type="gramEnd"/>
      <w:r w:rsidRPr="00520B4F">
        <w:t>(SO</w:t>
      </w:r>
      <w:r w:rsidRPr="00520B4F">
        <w:rPr>
          <w:position w:val="-8"/>
          <w:vertAlign w:val="subscript"/>
        </w:rPr>
        <w:t>4</w:t>
      </w:r>
      <w:r w:rsidRPr="00520B4F">
        <w:t>)</w:t>
      </w:r>
      <w:r w:rsidRPr="00520B4F">
        <w:rPr>
          <w:position w:val="-8"/>
          <w:vertAlign w:val="subscript"/>
        </w:rPr>
        <w:t>c</w:t>
      </w:r>
      <w:r w:rsidRPr="00520B4F">
        <w:t>(</w:t>
      </w:r>
      <w:proofErr w:type="spellStart"/>
      <w:r w:rsidRPr="00520B4F">
        <w:t>SiO</w:t>
      </w:r>
      <w:proofErr w:type="spellEnd"/>
      <w:r w:rsidRPr="00520B4F">
        <w:rPr>
          <w:position w:val="-8"/>
          <w:vertAlign w:val="subscript"/>
        </w:rPr>
        <w:t>x</w:t>
      </w:r>
      <w:r w:rsidRPr="00520B4F">
        <w:t>)</w:t>
      </w:r>
      <w:r w:rsidRPr="00520B4F">
        <w:rPr>
          <w:position w:val="-8"/>
          <w:vertAlign w:val="subscript"/>
        </w:rPr>
        <w:t>d</w:t>
      </w:r>
      <w:r w:rsidRPr="00520B4F">
        <w:t xml:space="preserve">; </w:t>
      </w:r>
    </w:p>
    <w:p w:rsidR="00654949" w:rsidRPr="00520B4F" w:rsidRDefault="00654949" w:rsidP="00C25133">
      <w:pPr>
        <w:pStyle w:val="Default"/>
        <w:spacing w:line="360" w:lineRule="auto"/>
        <w:ind w:firstLine="707"/>
        <w:jc w:val="both"/>
        <w:rPr>
          <w:lang w:val="fr-FR"/>
        </w:rPr>
      </w:pPr>
      <w:r w:rsidRPr="00520B4F">
        <w:rPr>
          <w:lang w:val="fr-FR"/>
        </w:rPr>
        <w:t>- Aluminate de sodium: NaAlO</w:t>
      </w:r>
      <w:r w:rsidRPr="00520B4F">
        <w:rPr>
          <w:position w:val="-8"/>
          <w:vertAlign w:val="subscript"/>
          <w:lang w:val="fr-FR"/>
        </w:rPr>
        <w:t xml:space="preserve">2 </w:t>
      </w:r>
    </w:p>
    <w:p w:rsidR="008229B3" w:rsidRPr="00520B4F" w:rsidRDefault="008229B3" w:rsidP="00044231">
      <w:pPr>
        <w:pStyle w:val="Default"/>
        <w:spacing w:line="360" w:lineRule="auto"/>
        <w:jc w:val="both"/>
        <w:rPr>
          <w:lang w:val="fr-FR"/>
        </w:rPr>
      </w:pPr>
    </w:p>
    <w:p w:rsidR="008229B3" w:rsidRPr="00520B4F" w:rsidRDefault="008229B3" w:rsidP="00C25133">
      <w:pPr>
        <w:pStyle w:val="Default"/>
        <w:spacing w:line="360" w:lineRule="auto"/>
        <w:ind w:firstLine="707"/>
        <w:jc w:val="both"/>
        <w:rPr>
          <w:lang w:val="fr-FR"/>
        </w:rPr>
      </w:pPr>
    </w:p>
    <w:p w:rsidR="00654949" w:rsidRPr="00520B4F" w:rsidRDefault="00654949" w:rsidP="008229B3">
      <w:pPr>
        <w:pStyle w:val="Default"/>
        <w:spacing w:line="360" w:lineRule="auto"/>
        <w:ind w:left="118" w:right="73"/>
        <w:jc w:val="both"/>
        <w:rPr>
          <w:lang w:val="fr-FR"/>
        </w:rPr>
      </w:pPr>
      <w:r w:rsidRPr="00520B4F">
        <w:rPr>
          <w:b/>
          <w:bCs/>
          <w:lang w:val="fr-FR"/>
        </w:rPr>
        <w:t>II.</w:t>
      </w:r>
      <w:r w:rsidR="008229B3" w:rsidRPr="00520B4F">
        <w:rPr>
          <w:b/>
          <w:bCs/>
          <w:lang w:val="fr-FR"/>
        </w:rPr>
        <w:t>7</w:t>
      </w:r>
      <w:r w:rsidRPr="00520B4F">
        <w:rPr>
          <w:b/>
          <w:bCs/>
          <w:lang w:val="fr-FR"/>
        </w:rPr>
        <w:t xml:space="preserve">. Mécanismes de déstabilisation des suspensions colloïdales par la coagulation : </w:t>
      </w:r>
    </w:p>
    <w:p w:rsidR="00654949" w:rsidRPr="00520B4F" w:rsidRDefault="00654949" w:rsidP="00044231">
      <w:pPr>
        <w:pStyle w:val="Default"/>
        <w:spacing w:line="360" w:lineRule="auto"/>
        <w:ind w:left="117" w:right="72"/>
        <w:jc w:val="both"/>
        <w:rPr>
          <w:lang w:val="fr-FR"/>
        </w:rPr>
      </w:pPr>
      <w:r w:rsidRPr="00520B4F">
        <w:rPr>
          <w:lang w:val="fr-FR"/>
        </w:rPr>
        <w:t xml:space="preserve">Les colloïdes sont, comme souligné précédemment, chargés négativement. </w:t>
      </w:r>
      <w:r w:rsidR="00520B4F" w:rsidRPr="00520B4F">
        <w:rPr>
          <w:b/>
          <w:bCs/>
          <w:color w:val="FF0000"/>
          <w:lang w:val="fr-FR"/>
        </w:rPr>
        <w:t>[17</w:t>
      </w:r>
      <w:r w:rsidR="009D57E5" w:rsidRPr="00520B4F">
        <w:rPr>
          <w:b/>
          <w:bCs/>
          <w:color w:val="FF0000"/>
          <w:lang w:val="fr-FR"/>
        </w:rPr>
        <w:t>]</w:t>
      </w:r>
      <w:r w:rsidR="009D57E5" w:rsidRPr="00520B4F">
        <w:rPr>
          <w:lang w:val="fr-FR"/>
        </w:rPr>
        <w:t xml:space="preserve"> Etant</w:t>
      </w:r>
      <w:r w:rsidRPr="00520B4F">
        <w:rPr>
          <w:lang w:val="fr-FR"/>
        </w:rPr>
        <w:t xml:space="preserve"> de même signe, deux particules colloïdales se repoussent. Elles sont soumises à deux types de force de direction opposée : </w:t>
      </w:r>
    </w:p>
    <w:p w:rsidR="00654949" w:rsidRPr="00520B4F" w:rsidRDefault="00654949" w:rsidP="00C25133">
      <w:pPr>
        <w:pStyle w:val="Default"/>
        <w:spacing w:line="360" w:lineRule="auto"/>
        <w:jc w:val="both"/>
        <w:rPr>
          <w:lang w:val="fr-FR"/>
        </w:rPr>
      </w:pPr>
      <w:r w:rsidRPr="00520B4F">
        <w:rPr>
          <w:lang w:val="fr-FR"/>
        </w:rPr>
        <w:t xml:space="preserve">- </w:t>
      </w:r>
      <w:r w:rsidRPr="00520B4F">
        <w:rPr>
          <w:b/>
          <w:bCs/>
          <w:lang w:val="fr-FR"/>
        </w:rPr>
        <w:t xml:space="preserve">Force d’attraction gravitationnelle de van der Vaals (FA), </w:t>
      </w:r>
      <w:r w:rsidRPr="00520B4F">
        <w:rPr>
          <w:lang w:val="fr-FR"/>
        </w:rPr>
        <w:t xml:space="preserve">liée à la surface spécifique et à la masse des colloïdes ainsi qu’à la nature du milieu. </w:t>
      </w:r>
    </w:p>
    <w:p w:rsidR="00654949" w:rsidRPr="00520B4F" w:rsidRDefault="00654949" w:rsidP="00C25133">
      <w:pPr>
        <w:pStyle w:val="Default"/>
        <w:spacing w:line="360" w:lineRule="auto"/>
        <w:jc w:val="both"/>
        <w:rPr>
          <w:lang w:val="fr-FR"/>
        </w:rPr>
      </w:pPr>
      <w:r w:rsidRPr="00520B4F">
        <w:rPr>
          <w:lang w:val="fr-FR"/>
        </w:rPr>
        <w:t xml:space="preserve">- </w:t>
      </w:r>
      <w:r w:rsidRPr="00520B4F">
        <w:rPr>
          <w:b/>
          <w:bCs/>
          <w:lang w:val="fr-FR"/>
        </w:rPr>
        <w:t xml:space="preserve">Force de répulsion électrostatique (FR), </w:t>
      </w:r>
      <w:r w:rsidRPr="00520B4F">
        <w:rPr>
          <w:lang w:val="fr-FR"/>
        </w:rPr>
        <w:t xml:space="preserve">liée aux charges superficielles des colloïdes </w:t>
      </w:r>
      <w:r w:rsidR="002C0BE2">
        <w:rPr>
          <w:lang w:val="fr-FR"/>
        </w:rPr>
        <w:t>et donc à leur potentiel zêta (P</w:t>
      </w:r>
      <w:r w:rsidRPr="00520B4F">
        <w:rPr>
          <w:lang w:val="fr-FR"/>
        </w:rPr>
        <w:t xml:space="preserve">Z). </w:t>
      </w:r>
    </w:p>
    <w:p w:rsidR="00654949" w:rsidRPr="00520B4F" w:rsidRDefault="00654949" w:rsidP="00654949">
      <w:pPr>
        <w:pStyle w:val="Default"/>
        <w:spacing w:line="360" w:lineRule="auto"/>
        <w:jc w:val="both"/>
        <w:rPr>
          <w:lang w:val="fr-FR"/>
        </w:rPr>
      </w:pPr>
    </w:p>
    <w:p w:rsidR="00654949" w:rsidRPr="00520B4F" w:rsidRDefault="00654949" w:rsidP="00654949">
      <w:pPr>
        <w:pStyle w:val="Default"/>
        <w:spacing w:line="360" w:lineRule="auto"/>
        <w:ind w:firstLine="426"/>
        <w:jc w:val="both"/>
        <w:rPr>
          <w:lang w:val="fr-FR"/>
        </w:rPr>
      </w:pPr>
      <w:r w:rsidRPr="00520B4F">
        <w:rPr>
          <w:lang w:val="fr-FR"/>
        </w:rPr>
        <w:t xml:space="preserve">Si FA &gt; FR, l’agrégation se produit </w:t>
      </w:r>
    </w:p>
    <w:p w:rsidR="00654949" w:rsidRPr="00520B4F" w:rsidRDefault="00654949" w:rsidP="00654949">
      <w:pPr>
        <w:pStyle w:val="Default"/>
        <w:spacing w:line="360" w:lineRule="auto"/>
        <w:ind w:firstLine="426"/>
        <w:jc w:val="both"/>
        <w:rPr>
          <w:lang w:val="fr-FR"/>
        </w:rPr>
      </w:pPr>
      <w:r w:rsidRPr="00520B4F">
        <w:rPr>
          <w:lang w:val="fr-FR"/>
        </w:rPr>
        <w:t xml:space="preserve">Si FR &gt; FA, il y a principalement la répulsion entre les particules colloïdales </w:t>
      </w:r>
    </w:p>
    <w:p w:rsidR="00654949" w:rsidRPr="00520B4F" w:rsidRDefault="00654949" w:rsidP="002C0BE2">
      <w:pPr>
        <w:autoSpaceDE w:val="0"/>
        <w:autoSpaceDN w:val="0"/>
        <w:bidi w:val="0"/>
        <w:adjustRightInd w:val="0"/>
        <w:spacing w:after="0" w:line="360" w:lineRule="auto"/>
        <w:jc w:val="both"/>
        <w:rPr>
          <w:rFonts w:ascii="Times New Roman" w:hAnsi="Times New Roman" w:cs="Times New Roman"/>
          <w:b/>
          <w:bCs/>
          <w:sz w:val="24"/>
          <w:szCs w:val="24"/>
          <w:lang w:val="fr-FR"/>
        </w:rPr>
      </w:pPr>
      <w:r w:rsidRPr="00520B4F">
        <w:rPr>
          <w:rFonts w:ascii="Times New Roman" w:hAnsi="Times New Roman" w:cs="Times New Roman"/>
          <w:sz w:val="24"/>
          <w:szCs w:val="24"/>
          <w:lang w:val="fr-FR"/>
        </w:rPr>
        <w:lastRenderedPageBreak/>
        <w:t>L’énergie totale d’interaction (E) entre les particules colloïdales est la somme de l’énergie répulsive ER due au potentiel électrique et l’énergie attractive EA (figure</w:t>
      </w:r>
      <w:r w:rsidR="002C0BE2" w:rsidRPr="00520B4F">
        <w:rPr>
          <w:rFonts w:ascii="Times New Roman" w:hAnsi="Times New Roman" w:cs="Times New Roman"/>
          <w:sz w:val="24"/>
          <w:szCs w:val="24"/>
          <w:lang w:val="fr-FR"/>
        </w:rPr>
        <w:t xml:space="preserve"> </w:t>
      </w:r>
      <w:r w:rsidR="002C0BE2" w:rsidRPr="002C0BE2">
        <w:rPr>
          <w:rFonts w:ascii="Times New Roman" w:hAnsi="Times New Roman" w:cs="Times New Roman"/>
          <w:sz w:val="24"/>
          <w:szCs w:val="24"/>
          <w:lang w:val="fr-FR"/>
        </w:rPr>
        <w:t>II-1</w:t>
      </w:r>
      <w:r w:rsidRPr="00520B4F">
        <w:rPr>
          <w:rFonts w:ascii="Times New Roman" w:hAnsi="Times New Roman" w:cs="Times New Roman"/>
          <w:sz w:val="24"/>
          <w:szCs w:val="24"/>
          <w:lang w:val="fr-FR"/>
        </w:rPr>
        <w:t>). E et F sont des grandeurs proportionnelles.</w:t>
      </w:r>
    </w:p>
    <w:p w:rsidR="0034668D" w:rsidRPr="00520B4F" w:rsidRDefault="0034668D" w:rsidP="0034668D">
      <w:pPr>
        <w:autoSpaceDE w:val="0"/>
        <w:autoSpaceDN w:val="0"/>
        <w:bidi w:val="0"/>
        <w:adjustRightInd w:val="0"/>
        <w:spacing w:after="0" w:line="360" w:lineRule="auto"/>
        <w:jc w:val="both"/>
        <w:rPr>
          <w:rFonts w:ascii="Times New Roman" w:hAnsi="Times New Roman" w:cs="Times New Roman"/>
          <w:b/>
          <w:bCs/>
          <w:sz w:val="24"/>
          <w:szCs w:val="24"/>
          <w:lang w:val="fr-FR"/>
        </w:rPr>
      </w:pPr>
    </w:p>
    <w:p w:rsidR="00654949" w:rsidRPr="002C0BE2" w:rsidRDefault="00654949" w:rsidP="00654949">
      <w:pPr>
        <w:autoSpaceDE w:val="0"/>
        <w:autoSpaceDN w:val="0"/>
        <w:bidi w:val="0"/>
        <w:adjustRightInd w:val="0"/>
        <w:spacing w:after="0" w:line="360" w:lineRule="auto"/>
        <w:jc w:val="both"/>
        <w:rPr>
          <w:rFonts w:ascii="Times New Roman" w:hAnsi="Times New Roman" w:cs="Times New Roman"/>
          <w:b/>
          <w:bCs/>
          <w:sz w:val="24"/>
          <w:szCs w:val="24"/>
          <w:lang w:val="fr-FR"/>
        </w:rPr>
      </w:pPr>
      <w:r w:rsidRPr="00520B4F">
        <w:rPr>
          <w:rFonts w:ascii="Times New Roman" w:hAnsi="Times New Roman" w:cs="Times New Roman"/>
          <w:b/>
          <w:bCs/>
          <w:sz w:val="24"/>
          <w:szCs w:val="24"/>
          <w:lang w:val="fr-FR"/>
        </w:rPr>
        <w:t xml:space="preserve">Figure II-1 : </w:t>
      </w:r>
      <w:r w:rsidRPr="002C0BE2">
        <w:rPr>
          <w:rFonts w:ascii="Times New Roman" w:hAnsi="Times New Roman" w:cs="Times New Roman"/>
          <w:sz w:val="24"/>
          <w:szCs w:val="24"/>
          <w:lang w:val="fr-FR"/>
        </w:rPr>
        <w:t>Energie d’interaction entre deux particules lipophiles en fonction de la distance depuis la surface de la particule (Bensadok, 2007).</w:t>
      </w:r>
    </w:p>
    <w:p w:rsidR="00654949" w:rsidRPr="002C0BE2" w:rsidRDefault="00654949" w:rsidP="00654949">
      <w:pPr>
        <w:autoSpaceDE w:val="0"/>
        <w:autoSpaceDN w:val="0"/>
        <w:bidi w:val="0"/>
        <w:adjustRightInd w:val="0"/>
        <w:spacing w:after="0" w:line="360" w:lineRule="auto"/>
        <w:jc w:val="both"/>
        <w:rPr>
          <w:rFonts w:ascii="Times New Roman" w:hAnsi="Times New Roman" w:cs="Times New Roman"/>
          <w:b/>
          <w:bCs/>
          <w:sz w:val="24"/>
          <w:szCs w:val="24"/>
          <w:lang w:val="fr-FR"/>
        </w:rPr>
      </w:pPr>
    </w:p>
    <w:p w:rsidR="00654949" w:rsidRPr="00520B4F" w:rsidRDefault="00654949" w:rsidP="00654949">
      <w:pPr>
        <w:autoSpaceDE w:val="0"/>
        <w:autoSpaceDN w:val="0"/>
        <w:bidi w:val="0"/>
        <w:adjustRightInd w:val="0"/>
        <w:spacing w:after="0" w:line="360" w:lineRule="auto"/>
        <w:jc w:val="both"/>
        <w:rPr>
          <w:rFonts w:ascii="Times New Roman" w:hAnsi="Times New Roman" w:cs="Times New Roman"/>
          <w:b/>
          <w:bCs/>
          <w:sz w:val="24"/>
          <w:szCs w:val="24"/>
          <w:lang w:val="fr-FR"/>
        </w:rPr>
      </w:pPr>
      <w:r w:rsidRPr="00520B4F">
        <w:rPr>
          <w:rFonts w:ascii="Times New Roman" w:hAnsi="Times New Roman" w:cs="Times New Roman"/>
          <w:b/>
          <w:bCs/>
          <w:noProof/>
          <w:sz w:val="24"/>
          <w:szCs w:val="24"/>
        </w:rPr>
        <w:drawing>
          <wp:inline distT="0" distB="0" distL="0" distR="0">
            <wp:extent cx="5090833" cy="2805953"/>
            <wp:effectExtent l="19050" t="0" r="0" b="0"/>
            <wp:docPr id="4"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srcRect/>
                    <a:stretch>
                      <a:fillRect/>
                    </a:stretch>
                  </pic:blipFill>
                  <pic:spPr bwMode="auto">
                    <a:xfrm>
                      <a:off x="0" y="0"/>
                      <a:ext cx="5092065" cy="2806632"/>
                    </a:xfrm>
                    <a:prstGeom prst="rect">
                      <a:avLst/>
                    </a:prstGeom>
                    <a:noFill/>
                    <a:ln w="9525">
                      <a:noFill/>
                      <a:miter lim="800000"/>
                      <a:headEnd/>
                      <a:tailEnd/>
                    </a:ln>
                  </pic:spPr>
                </pic:pic>
              </a:graphicData>
            </a:graphic>
          </wp:inline>
        </w:drawing>
      </w:r>
    </w:p>
    <w:p w:rsidR="00654949" w:rsidRPr="00520B4F" w:rsidRDefault="0034668D" w:rsidP="00654949">
      <w:pPr>
        <w:autoSpaceDE w:val="0"/>
        <w:autoSpaceDN w:val="0"/>
        <w:bidi w:val="0"/>
        <w:adjustRightInd w:val="0"/>
        <w:spacing w:after="0" w:line="360" w:lineRule="auto"/>
        <w:jc w:val="both"/>
        <w:rPr>
          <w:rFonts w:ascii="Times New Roman" w:hAnsi="Times New Roman" w:cs="Times New Roman"/>
          <w:b/>
          <w:bCs/>
          <w:sz w:val="24"/>
          <w:szCs w:val="24"/>
          <w:lang w:val="fr-FR"/>
        </w:rPr>
      </w:pPr>
      <w:r w:rsidRPr="00520B4F">
        <w:rPr>
          <w:rFonts w:ascii="Times New Roman" w:hAnsi="Times New Roman" w:cs="Times New Roman"/>
          <w:b/>
          <w:bCs/>
          <w:sz w:val="24"/>
          <w:szCs w:val="24"/>
          <w:lang w:val="fr-FR"/>
        </w:rPr>
        <w:t>II.8</w:t>
      </w:r>
      <w:r w:rsidR="00654949" w:rsidRPr="00520B4F">
        <w:rPr>
          <w:rFonts w:ascii="Times New Roman" w:hAnsi="Times New Roman" w:cs="Times New Roman"/>
          <w:b/>
          <w:bCs/>
          <w:sz w:val="24"/>
          <w:szCs w:val="24"/>
          <w:lang w:val="fr-FR"/>
        </w:rPr>
        <w:t xml:space="preserve">. Les étapes de l’agitation : </w:t>
      </w:r>
    </w:p>
    <w:p w:rsidR="00654949" w:rsidRPr="00520B4F" w:rsidRDefault="00654949" w:rsidP="00044231">
      <w:pPr>
        <w:pStyle w:val="Default"/>
        <w:spacing w:line="360" w:lineRule="auto"/>
        <w:ind w:firstLine="707"/>
        <w:jc w:val="both"/>
        <w:rPr>
          <w:lang w:val="fr-FR"/>
        </w:rPr>
      </w:pPr>
      <w:r w:rsidRPr="00520B4F">
        <w:rPr>
          <w:lang w:val="fr-FR"/>
        </w:rPr>
        <w:t>La coagulation est la déstabilisation des particules colloïdales par addition d’un réactif chimique, le coagulant, qui apporte au milieu des cations multivalents, libres ou liés à une macromolécule organique. Ces cations sont attirés et adsorbés sur la couche de Stern.</w:t>
      </w:r>
      <w:r w:rsidR="0034668D" w:rsidRPr="00520B4F">
        <w:rPr>
          <w:b/>
          <w:bCs/>
          <w:color w:val="FF0000"/>
          <w:lang w:val="fr-FR"/>
        </w:rPr>
        <w:t xml:space="preserve"> </w:t>
      </w:r>
      <w:r w:rsidR="00520B4F" w:rsidRPr="00520B4F">
        <w:rPr>
          <w:b/>
          <w:bCs/>
          <w:color w:val="FF0000"/>
          <w:lang w:val="fr-FR"/>
        </w:rPr>
        <w:t>[18</w:t>
      </w:r>
      <w:r w:rsidR="0034668D" w:rsidRPr="00520B4F">
        <w:rPr>
          <w:b/>
          <w:bCs/>
          <w:color w:val="FF0000"/>
          <w:lang w:val="fr-FR"/>
        </w:rPr>
        <w:t>]</w:t>
      </w:r>
      <w:r w:rsidR="009D57E5" w:rsidRPr="00D43DFC">
        <w:rPr>
          <w:lang w:val="fr-FR" w:bidi="ar-DZ"/>
        </w:rPr>
        <w:t xml:space="preserve"> </w:t>
      </w:r>
      <w:r w:rsidRPr="00520B4F">
        <w:rPr>
          <w:lang w:val="fr-FR"/>
        </w:rPr>
        <w:t xml:space="preserve">Le potentiel zêta s’annule ou avoisine le zéro avec la neutralisation de toutes les charges avoisinantes. Il faudra donc que le coagulant se disperse dans l’eau pour obtenir une répartition homogène avant toute précipitation d’hydroxyde. Cela demande une forte agitation en un temps court ou, en d’autres termes, utiliser un gradient de vitesse très élevé. </w:t>
      </w:r>
    </w:p>
    <w:p w:rsidR="00654949" w:rsidRPr="00520B4F" w:rsidRDefault="00654949" w:rsidP="00654949">
      <w:pPr>
        <w:pStyle w:val="Default"/>
        <w:spacing w:line="360" w:lineRule="auto"/>
        <w:jc w:val="both"/>
        <w:rPr>
          <w:lang w:val="fr-FR"/>
        </w:rPr>
      </w:pPr>
      <w:r w:rsidRPr="00520B4F">
        <w:rPr>
          <w:lang w:val="fr-FR"/>
        </w:rPr>
        <w:t xml:space="preserve">En régime turbulent, le gradient de vitesse est défini par la formule : </w:t>
      </w:r>
    </w:p>
    <w:p w:rsidR="00654949" w:rsidRPr="00520B4F" w:rsidRDefault="00654949" w:rsidP="00654949">
      <w:pPr>
        <w:pStyle w:val="Default"/>
        <w:spacing w:line="360" w:lineRule="auto"/>
        <w:ind w:right="-36"/>
        <w:jc w:val="both"/>
        <w:rPr>
          <w:lang w:val="fr-FR"/>
        </w:rPr>
      </w:pPr>
      <w:r w:rsidRPr="00520B4F">
        <w:rPr>
          <w:lang w:val="fr-FR"/>
        </w:rPr>
        <w:t xml:space="preserve">Avec : </w:t>
      </w:r>
    </w:p>
    <w:p w:rsidR="00654949" w:rsidRPr="00520B4F" w:rsidRDefault="00654949" w:rsidP="00654949">
      <w:pPr>
        <w:pStyle w:val="Default"/>
        <w:spacing w:line="360" w:lineRule="auto"/>
        <w:jc w:val="both"/>
        <w:rPr>
          <w:lang w:val="fr-FR"/>
        </w:rPr>
      </w:pPr>
      <w:r w:rsidRPr="00520B4F">
        <w:rPr>
          <w:b/>
          <w:bCs/>
          <w:lang w:val="fr-FR"/>
        </w:rPr>
        <w:t xml:space="preserve">G = </w:t>
      </w:r>
      <w:r w:rsidRPr="00520B4F">
        <w:rPr>
          <w:lang w:val="fr-FR"/>
        </w:rPr>
        <w:t>Gradient de vitesse moyen (s</w:t>
      </w:r>
      <w:r w:rsidRPr="00520B4F">
        <w:rPr>
          <w:position w:val="8"/>
          <w:vertAlign w:val="superscript"/>
          <w:lang w:val="fr-FR"/>
        </w:rPr>
        <w:t>-1</w:t>
      </w:r>
      <w:r w:rsidRPr="00520B4F">
        <w:rPr>
          <w:lang w:val="fr-FR"/>
        </w:rPr>
        <w:t xml:space="preserve">) </w:t>
      </w:r>
    </w:p>
    <w:p w:rsidR="00654949" w:rsidRPr="00520B4F" w:rsidRDefault="00654949" w:rsidP="00654949">
      <w:pPr>
        <w:pStyle w:val="Default"/>
        <w:spacing w:line="360" w:lineRule="auto"/>
        <w:jc w:val="both"/>
        <w:rPr>
          <w:lang w:val="fr-FR"/>
        </w:rPr>
      </w:pPr>
      <w:r w:rsidRPr="00520B4F">
        <w:rPr>
          <w:b/>
          <w:bCs/>
          <w:lang w:val="fr-FR"/>
        </w:rPr>
        <w:t xml:space="preserve">P = </w:t>
      </w:r>
      <w:r w:rsidRPr="00520B4F">
        <w:rPr>
          <w:lang w:val="fr-FR"/>
        </w:rPr>
        <w:t xml:space="preserve">Puissance mécanique dissipée (W) </w:t>
      </w:r>
    </w:p>
    <w:p w:rsidR="00654949" w:rsidRPr="00520B4F" w:rsidRDefault="00654949" w:rsidP="00654949">
      <w:pPr>
        <w:pStyle w:val="Default"/>
        <w:spacing w:line="360" w:lineRule="auto"/>
        <w:jc w:val="both"/>
        <w:rPr>
          <w:lang w:val="fr-FR"/>
        </w:rPr>
      </w:pPr>
      <w:r w:rsidRPr="00520B4F">
        <w:rPr>
          <w:b/>
          <w:bCs/>
          <w:lang w:val="fr-FR"/>
        </w:rPr>
        <w:t xml:space="preserve">V = </w:t>
      </w:r>
      <w:r w:rsidRPr="00520B4F">
        <w:rPr>
          <w:lang w:val="fr-FR"/>
        </w:rPr>
        <w:t>Volume occupé par le fluide (m</w:t>
      </w:r>
      <w:r w:rsidRPr="00520B4F">
        <w:rPr>
          <w:position w:val="8"/>
          <w:vertAlign w:val="superscript"/>
          <w:lang w:val="fr-FR"/>
        </w:rPr>
        <w:t>3</w:t>
      </w:r>
      <w:r w:rsidRPr="00520B4F">
        <w:rPr>
          <w:lang w:val="fr-FR"/>
        </w:rPr>
        <w:t xml:space="preserve">) </w:t>
      </w:r>
    </w:p>
    <w:p w:rsidR="00654949" w:rsidRPr="00520B4F" w:rsidRDefault="002C0BE2" w:rsidP="00654949">
      <w:pPr>
        <w:pStyle w:val="Default"/>
        <w:spacing w:line="360" w:lineRule="auto"/>
        <w:jc w:val="both"/>
        <w:rPr>
          <w:rFonts w:eastAsia="PMingLiU"/>
          <w:lang w:val="fr-FR"/>
        </w:rPr>
      </w:pPr>
      <w:r w:rsidRPr="0027218D">
        <w:rPr>
          <w:rFonts w:eastAsia="PMingLiU"/>
          <w:sz w:val="28"/>
          <w:szCs w:val="28"/>
          <w:lang w:val="fr-FR"/>
        </w:rPr>
        <w:t>ϱ</w:t>
      </w:r>
      <w:r w:rsidR="00654949" w:rsidRPr="00520B4F">
        <w:rPr>
          <w:rFonts w:eastAsia="PMingLiU"/>
          <w:lang w:val="fr-FR"/>
        </w:rPr>
        <w:t>=Viscosité dynamique (</w:t>
      </w:r>
      <w:proofErr w:type="spellStart"/>
      <w:r w:rsidR="00654949" w:rsidRPr="00520B4F">
        <w:rPr>
          <w:rFonts w:eastAsia="PMingLiU"/>
          <w:lang w:val="fr-FR"/>
        </w:rPr>
        <w:t>Pa.s</w:t>
      </w:r>
      <w:proofErr w:type="spellEnd"/>
      <w:r w:rsidR="00654949" w:rsidRPr="00520B4F">
        <w:rPr>
          <w:rFonts w:eastAsia="PMingLiU"/>
          <w:lang w:val="fr-FR"/>
        </w:rPr>
        <w:t xml:space="preserve">) </w:t>
      </w:r>
    </w:p>
    <w:p w:rsidR="00654949" w:rsidRPr="00520B4F" w:rsidRDefault="00654949" w:rsidP="00654949">
      <w:pPr>
        <w:autoSpaceDE w:val="0"/>
        <w:autoSpaceDN w:val="0"/>
        <w:bidi w:val="0"/>
        <w:adjustRightInd w:val="0"/>
        <w:spacing w:after="0" w:line="360" w:lineRule="auto"/>
        <w:jc w:val="both"/>
        <w:rPr>
          <w:rFonts w:ascii="Times New Roman" w:hAnsi="Times New Roman" w:cs="Times New Roman"/>
          <w:b/>
          <w:bCs/>
          <w:sz w:val="24"/>
          <w:szCs w:val="24"/>
          <w:lang w:val="fr-FR"/>
        </w:rPr>
      </w:pPr>
      <w:r w:rsidRPr="00520B4F">
        <w:rPr>
          <w:rFonts w:ascii="Times New Roman" w:eastAsia="PMingLiU" w:hAnsi="Times New Roman" w:cs="Times New Roman"/>
          <w:sz w:val="24"/>
          <w:szCs w:val="24"/>
          <w:lang w:val="fr-FR"/>
        </w:rPr>
        <w:lastRenderedPageBreak/>
        <w:t>L’agrégation se fait à travers trois phénomènes successifs que sont l’hydrolyse (formation des radicaux hydroxydes métalliques), la coagulation et la</w:t>
      </w:r>
      <w:r w:rsidR="0027218D">
        <w:rPr>
          <w:rFonts w:ascii="Times New Roman" w:eastAsia="PMingLiU" w:hAnsi="Times New Roman" w:cs="Times New Roman"/>
          <w:sz w:val="24"/>
          <w:szCs w:val="24"/>
          <w:lang w:val="fr-FR"/>
        </w:rPr>
        <w:t xml:space="preserve"> floculation (figure</w:t>
      </w:r>
      <w:r w:rsidR="0027218D" w:rsidRPr="0027218D">
        <w:rPr>
          <w:rFonts w:ascii="Times New Roman" w:hAnsi="Times New Roman" w:cs="Times New Roman"/>
          <w:b/>
          <w:bCs/>
          <w:sz w:val="24"/>
          <w:szCs w:val="24"/>
          <w:lang w:val="fr-FR"/>
        </w:rPr>
        <w:t xml:space="preserve"> </w:t>
      </w:r>
      <w:r w:rsidR="0027218D" w:rsidRPr="0027218D">
        <w:rPr>
          <w:rFonts w:ascii="Times New Roman" w:hAnsi="Times New Roman" w:cs="Times New Roman"/>
          <w:sz w:val="24"/>
          <w:szCs w:val="24"/>
          <w:lang w:val="fr-FR"/>
        </w:rPr>
        <w:t>II-</w:t>
      </w:r>
      <w:proofErr w:type="gramStart"/>
      <w:r w:rsidR="0027218D" w:rsidRPr="0027218D">
        <w:rPr>
          <w:rFonts w:ascii="Times New Roman" w:hAnsi="Times New Roman" w:cs="Times New Roman"/>
          <w:sz w:val="24"/>
          <w:szCs w:val="24"/>
          <w:lang w:val="fr-FR"/>
        </w:rPr>
        <w:t>2</w:t>
      </w:r>
      <w:r w:rsidR="0027218D">
        <w:rPr>
          <w:rFonts w:ascii="Times New Roman" w:eastAsia="PMingLiU" w:hAnsi="Times New Roman" w:cs="Times New Roman"/>
          <w:sz w:val="24"/>
          <w:szCs w:val="24"/>
          <w:lang w:val="fr-FR"/>
        </w:rPr>
        <w:t xml:space="preserve"> </w:t>
      </w:r>
      <w:r w:rsidRPr="00520B4F">
        <w:rPr>
          <w:rFonts w:ascii="Times New Roman" w:eastAsia="PMingLiU" w:hAnsi="Times New Roman" w:cs="Times New Roman"/>
          <w:sz w:val="24"/>
          <w:szCs w:val="24"/>
          <w:lang w:val="fr-FR"/>
        </w:rPr>
        <w:t>)</w:t>
      </w:r>
      <w:proofErr w:type="gramEnd"/>
    </w:p>
    <w:p w:rsidR="00654949" w:rsidRPr="00520B4F" w:rsidRDefault="00654949" w:rsidP="00654949">
      <w:pPr>
        <w:autoSpaceDE w:val="0"/>
        <w:autoSpaceDN w:val="0"/>
        <w:bidi w:val="0"/>
        <w:adjustRightInd w:val="0"/>
        <w:spacing w:after="0" w:line="360" w:lineRule="auto"/>
        <w:jc w:val="both"/>
        <w:rPr>
          <w:rFonts w:ascii="Times New Roman" w:hAnsi="Times New Roman" w:cs="Times New Roman"/>
          <w:b/>
          <w:bCs/>
          <w:sz w:val="24"/>
          <w:szCs w:val="24"/>
          <w:lang w:val="fr-FR"/>
        </w:rPr>
      </w:pPr>
    </w:p>
    <w:p w:rsidR="00654949" w:rsidRPr="00520B4F" w:rsidRDefault="00654949" w:rsidP="00654949">
      <w:pPr>
        <w:autoSpaceDE w:val="0"/>
        <w:autoSpaceDN w:val="0"/>
        <w:bidi w:val="0"/>
        <w:adjustRightInd w:val="0"/>
        <w:spacing w:after="0" w:line="360" w:lineRule="auto"/>
        <w:rPr>
          <w:rFonts w:ascii="Times New Roman" w:hAnsi="Times New Roman" w:cs="Times New Roman"/>
          <w:b/>
          <w:bCs/>
          <w:sz w:val="24"/>
          <w:szCs w:val="24"/>
          <w:lang w:val="fr-FR"/>
        </w:rPr>
      </w:pPr>
      <w:r w:rsidRPr="00520B4F">
        <w:rPr>
          <w:rFonts w:ascii="Times New Roman" w:hAnsi="Times New Roman" w:cs="Times New Roman"/>
          <w:b/>
          <w:bCs/>
          <w:sz w:val="24"/>
          <w:szCs w:val="24"/>
          <w:lang w:val="fr-FR"/>
        </w:rPr>
        <w:t>Figure II-2</w:t>
      </w:r>
      <w:r w:rsidRPr="00520B4F">
        <w:rPr>
          <w:rFonts w:ascii="Times New Roman" w:hAnsi="Times New Roman" w:cs="Times New Roman"/>
          <w:sz w:val="24"/>
          <w:szCs w:val="24"/>
          <w:lang w:val="fr-FR"/>
        </w:rPr>
        <w:t xml:space="preserve">: </w:t>
      </w:r>
      <w:r w:rsidRPr="0027218D">
        <w:rPr>
          <w:rFonts w:ascii="Times New Roman" w:hAnsi="Times New Roman" w:cs="Times New Roman"/>
          <w:sz w:val="24"/>
          <w:szCs w:val="24"/>
          <w:lang w:val="fr-FR"/>
        </w:rPr>
        <w:t>Emprisonnement des particules dans les flocs pendant la décantation (FEDALA, 2012)</w:t>
      </w:r>
      <w:r w:rsidRPr="00520B4F">
        <w:rPr>
          <w:rFonts w:ascii="Times New Roman" w:hAnsi="Times New Roman" w:cs="Times New Roman"/>
          <w:sz w:val="24"/>
          <w:szCs w:val="24"/>
          <w:lang w:val="fr-FR"/>
        </w:rPr>
        <w:t xml:space="preserve"> </w:t>
      </w:r>
      <w:r w:rsidRPr="00520B4F">
        <w:rPr>
          <w:rFonts w:ascii="Times New Roman" w:hAnsi="Times New Roman" w:cs="Times New Roman"/>
          <w:b/>
          <w:bCs/>
          <w:noProof/>
          <w:sz w:val="24"/>
          <w:szCs w:val="24"/>
        </w:rPr>
        <w:drawing>
          <wp:inline distT="0" distB="0" distL="0" distR="0">
            <wp:extent cx="5274310" cy="1977105"/>
            <wp:effectExtent l="19050" t="0" r="2540" b="0"/>
            <wp:docPr id="6"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a:off x="0" y="0"/>
                      <a:ext cx="5274310" cy="1977105"/>
                    </a:xfrm>
                    <a:prstGeom prst="rect">
                      <a:avLst/>
                    </a:prstGeom>
                    <a:noFill/>
                    <a:ln w="9525">
                      <a:noFill/>
                      <a:miter lim="800000"/>
                      <a:headEnd/>
                      <a:tailEnd/>
                    </a:ln>
                  </pic:spPr>
                </pic:pic>
              </a:graphicData>
            </a:graphic>
          </wp:inline>
        </w:drawing>
      </w:r>
      <w:r w:rsidRPr="00520B4F">
        <w:rPr>
          <w:rFonts w:ascii="Times New Roman" w:hAnsi="Times New Roman" w:cs="Times New Roman"/>
          <w:b/>
          <w:bCs/>
          <w:sz w:val="24"/>
          <w:szCs w:val="24"/>
          <w:lang w:val="fr-FR"/>
        </w:rPr>
        <w:t xml:space="preserve">       </w:t>
      </w:r>
      <w:r w:rsidR="0034668D" w:rsidRPr="00520B4F">
        <w:rPr>
          <w:rFonts w:ascii="Times New Roman" w:hAnsi="Times New Roman" w:cs="Times New Roman"/>
          <w:b/>
          <w:bCs/>
          <w:sz w:val="24"/>
          <w:szCs w:val="24"/>
          <w:lang w:val="fr-FR"/>
        </w:rPr>
        <w:t xml:space="preserve">II.9. Les </w:t>
      </w:r>
      <w:r w:rsidRPr="00520B4F">
        <w:rPr>
          <w:rFonts w:ascii="Times New Roman" w:hAnsi="Times New Roman" w:cs="Times New Roman"/>
          <w:b/>
          <w:bCs/>
          <w:sz w:val="24"/>
          <w:szCs w:val="24"/>
          <w:lang w:val="fr-FR"/>
        </w:rPr>
        <w:t xml:space="preserve">Applications </w:t>
      </w:r>
    </w:p>
    <w:p w:rsidR="00654949" w:rsidRPr="00520B4F" w:rsidRDefault="00654949" w:rsidP="00044231">
      <w:pPr>
        <w:pStyle w:val="Default"/>
        <w:spacing w:before="2" w:line="360" w:lineRule="auto"/>
        <w:ind w:right="-20"/>
        <w:jc w:val="both"/>
        <w:rPr>
          <w:lang w:val="fr-FR"/>
        </w:rPr>
      </w:pPr>
      <w:r w:rsidRPr="00520B4F">
        <w:rPr>
          <w:lang w:val="fr-FR"/>
        </w:rPr>
        <w:t xml:space="preserve">   Très récemment, plusieurs travaux ont été réalisés sur le traitement des colorants de textile par coagulation (Tan (2000) ; Georgiou (2003) ; Kim (2004) ; Yang (2005)), alors que d’autres ont couplé la coagulation avec les techniques d’oxydation et d’ozonation pour le traitement des rejets textile (Kang (2002) et Selcuk (2005)). Tulay (2002) a étudié le traitement des rejets textiles par coagulation, en utilisant les coagulants Al</w:t>
      </w:r>
      <w:r w:rsidRPr="00520B4F">
        <w:rPr>
          <w:position w:val="-8"/>
          <w:vertAlign w:val="subscript"/>
          <w:lang w:val="fr-FR"/>
        </w:rPr>
        <w:t>2</w:t>
      </w:r>
      <w:r w:rsidRPr="00520B4F">
        <w:rPr>
          <w:lang w:val="fr-FR"/>
        </w:rPr>
        <w:t>(SO</w:t>
      </w:r>
      <w:r w:rsidRPr="00520B4F">
        <w:rPr>
          <w:position w:val="-8"/>
          <w:vertAlign w:val="subscript"/>
          <w:lang w:val="fr-FR"/>
        </w:rPr>
        <w:t>4</w:t>
      </w:r>
      <w:r w:rsidR="005840AD">
        <w:rPr>
          <w:lang w:val="fr-FR"/>
        </w:rPr>
        <w:t>)</w:t>
      </w:r>
      <w:r w:rsidR="005840AD">
        <w:rPr>
          <w:vertAlign w:val="subscript"/>
          <w:lang w:val="fr-FR"/>
        </w:rPr>
        <w:t>3</w:t>
      </w:r>
      <w:r w:rsidRPr="00520B4F">
        <w:rPr>
          <w:lang w:val="fr-FR"/>
        </w:rPr>
        <w:t xml:space="preserve"> </w:t>
      </w:r>
      <w:proofErr w:type="gramStart"/>
      <w:r w:rsidRPr="00520B4F">
        <w:rPr>
          <w:lang w:val="fr-FR"/>
        </w:rPr>
        <w:t>Fe(</w:t>
      </w:r>
      <w:proofErr w:type="gramEnd"/>
      <w:r w:rsidRPr="00520B4F">
        <w:rPr>
          <w:lang w:val="fr-FR"/>
        </w:rPr>
        <w:t>SO</w:t>
      </w:r>
      <w:r w:rsidRPr="00520B4F">
        <w:rPr>
          <w:position w:val="-8"/>
          <w:vertAlign w:val="subscript"/>
          <w:lang w:val="fr-FR"/>
        </w:rPr>
        <w:t>4</w:t>
      </w:r>
      <w:r w:rsidRPr="00520B4F">
        <w:rPr>
          <w:lang w:val="fr-FR"/>
        </w:rPr>
        <w:t xml:space="preserve"> et FeCl</w:t>
      </w:r>
      <w:r w:rsidRPr="00520B4F">
        <w:rPr>
          <w:position w:val="-8"/>
          <w:vertAlign w:val="subscript"/>
          <w:lang w:val="fr-FR"/>
        </w:rPr>
        <w:t xml:space="preserve">3 </w:t>
      </w:r>
      <w:r w:rsidRPr="00520B4F">
        <w:rPr>
          <w:lang w:val="fr-FR"/>
        </w:rPr>
        <w:t xml:space="preserve">avec et sans présence de chaux, un bon abattement de turbidité et de coloration ont été réalisés. Le sulfate d’alumine est le coagulant le plus largement utilisé du fait de sa flexibilité avec différents types d’eau usée et de surface et son faible coût. </w:t>
      </w:r>
    </w:p>
    <w:p w:rsidR="00654949" w:rsidRPr="00520B4F" w:rsidRDefault="00654949" w:rsidP="00044231">
      <w:pPr>
        <w:pStyle w:val="Default"/>
        <w:spacing w:before="2" w:line="360" w:lineRule="auto"/>
        <w:ind w:right="-20"/>
        <w:jc w:val="both"/>
        <w:rPr>
          <w:lang w:val="fr-FR"/>
        </w:rPr>
      </w:pPr>
      <w:proofErr w:type="gramStart"/>
      <w:r w:rsidRPr="00520B4F">
        <w:rPr>
          <w:lang w:val="fr-FR"/>
        </w:rPr>
        <w:t>a</w:t>
      </w:r>
      <w:proofErr w:type="gramEnd"/>
      <w:r w:rsidRPr="00520B4F">
        <w:rPr>
          <w:lang w:val="fr-FR"/>
        </w:rPr>
        <w:t xml:space="preserve"> utilisé la coagulation floculation comme technique de traitement des </w:t>
      </w:r>
      <w:r w:rsidR="0034668D" w:rsidRPr="00520B4F">
        <w:rPr>
          <w:lang w:val="fr-FR"/>
        </w:rPr>
        <w:t xml:space="preserve">  </w:t>
      </w:r>
      <w:r w:rsidRPr="00520B4F">
        <w:rPr>
          <w:lang w:val="fr-FR"/>
        </w:rPr>
        <w:t xml:space="preserve">eaux usées pour la décoloration des effluents de teinture résiduels contenant des colorants acides et réactifs. Il a été montré que la combinaison du sulfate d’aluminium et un floculant organique cationique permet un traitement efficace pour les eaux usées de teinture résiduelle et assure une décoloration complète, le COT, DCO, AOX et la DBO sont réduits et </w:t>
      </w:r>
      <w:r w:rsidR="00044231">
        <w:rPr>
          <w:lang w:val="fr-FR"/>
        </w:rPr>
        <w:t xml:space="preserve">la biodégradabilité augmente. </w:t>
      </w:r>
      <w:proofErr w:type="gramStart"/>
      <w:r w:rsidRPr="00520B4F">
        <w:rPr>
          <w:lang w:val="fr-FR"/>
        </w:rPr>
        <w:t>a</w:t>
      </w:r>
      <w:proofErr w:type="gramEnd"/>
      <w:r w:rsidRPr="00520B4F">
        <w:rPr>
          <w:lang w:val="fr-FR"/>
        </w:rPr>
        <w:t xml:space="preserve"> utilisé un coagulant naturel extrait à partir des plantes pour la décoloration d’une solution synthétique contenant des colorants de textile. La dose du   coagulant, le pH et la structure chimique du colorant ont une influence importante sur la coagulation.</w:t>
      </w:r>
    </w:p>
    <w:p w:rsidR="005840AD" w:rsidRPr="00520B4F" w:rsidRDefault="005840AD">
      <w:pPr>
        <w:rPr>
          <w:rFonts w:ascii="Times New Roman" w:hAnsi="Times New Roman" w:cs="Times New Roman" w:hint="cs"/>
          <w:sz w:val="24"/>
          <w:szCs w:val="24"/>
          <w:lang w:val="fr-FR" w:bidi="ar-DZ"/>
        </w:rPr>
      </w:pPr>
      <w:bookmarkStart w:id="0" w:name="_GoBack"/>
      <w:bookmarkEnd w:id="0"/>
    </w:p>
    <w:sectPr w:rsidR="005840AD" w:rsidRPr="00520B4F" w:rsidSect="009465C3">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708" w:footer="708" w:gutter="0"/>
      <w:pgNumType w:start="16"/>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840AD" w:rsidRDefault="005840AD" w:rsidP="009D57E5">
      <w:pPr>
        <w:spacing w:after="0" w:line="240" w:lineRule="auto"/>
      </w:pPr>
      <w:r>
        <w:separator/>
      </w:r>
    </w:p>
  </w:endnote>
  <w:endnote w:type="continuationSeparator" w:id="0">
    <w:p w:rsidR="005840AD" w:rsidRDefault="005840AD" w:rsidP="009D57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auto"/>
    <w:notTrueType/>
    <w:pitch w:val="variable"/>
    <w:sig w:usb0="00000001" w:usb1="08080000" w:usb2="00000010" w:usb3="00000000" w:csb0="00100000" w:csb1="00000000"/>
  </w:font>
  <w:font w:name="Lucida Calligraphy">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0AD" w:rsidRDefault="005840AD">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8837613"/>
      <w:docPartObj>
        <w:docPartGallery w:val="Page Numbers (Bottom of Page)"/>
        <w:docPartUnique/>
      </w:docPartObj>
    </w:sdtPr>
    <w:sdtEndPr/>
    <w:sdtContent>
      <w:p w:rsidR="005840AD" w:rsidRDefault="0080323F">
        <w:pPr>
          <w:pStyle w:val="Pieddepage"/>
        </w:pPr>
        <w:r>
          <w:rPr>
            <w:rFonts w:asciiTheme="majorHAnsi" w:hAnsiTheme="majorHAnsi"/>
            <w:noProof/>
            <w:sz w:val="28"/>
            <w:szCs w:val="28"/>
            <w:lang w:val="fr-FR" w:eastAsia="zh-TW"/>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3073" type="#_x0000_t98" style="position:absolute;left:0;text-align:left;margin-left:0;margin-top:0;width:52.1pt;height:39.6pt;rotation:360;z-index:251660288;mso-position-horizontal:center;mso-position-horizontal-relative:margin;mso-position-vertical:center;mso-position-vertical-relative:bottom-margin-area" adj="5400" filled="f" fillcolor="#17365d [2415]" strokecolor="#a5a5a5 [2092]">
              <v:textbox style="mso-next-textbox:#_x0000_s3073">
                <w:txbxContent>
                  <w:p w:rsidR="005840AD" w:rsidRDefault="005840AD">
                    <w:pPr>
                      <w:jc w:val="center"/>
                      <w:rPr>
                        <w:color w:val="808080" w:themeColor="text1" w:themeTint="7F"/>
                        <w:lang w:val="fr-FR"/>
                      </w:rPr>
                    </w:pPr>
                    <w:r>
                      <w:rPr>
                        <w:lang w:val="fr-FR"/>
                      </w:rPr>
                      <w:fldChar w:fldCharType="begin"/>
                    </w:r>
                    <w:r>
                      <w:rPr>
                        <w:lang w:val="fr-FR"/>
                      </w:rPr>
                      <w:instrText xml:space="preserve"> PAGE    \* MERGEFORMAT </w:instrText>
                    </w:r>
                    <w:r>
                      <w:rPr>
                        <w:lang w:val="fr-FR"/>
                      </w:rPr>
                      <w:fldChar w:fldCharType="separate"/>
                    </w:r>
                    <w:r w:rsidR="0080323F" w:rsidRPr="0080323F">
                      <w:rPr>
                        <w:noProof/>
                        <w:color w:val="808080" w:themeColor="text1" w:themeTint="7F"/>
                        <w:rtl/>
                      </w:rPr>
                      <w:t>22</w:t>
                    </w:r>
                    <w:r>
                      <w:rPr>
                        <w:lang w:val="fr-FR"/>
                      </w:rPr>
                      <w:fldChar w:fldCharType="end"/>
                    </w:r>
                  </w:p>
                </w:txbxContent>
              </v:textbox>
              <w10:wrap anchorx="margin" anchory="page"/>
            </v:shape>
          </w:pic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0AD" w:rsidRDefault="005840AD">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840AD" w:rsidRDefault="005840AD" w:rsidP="009D57E5">
      <w:pPr>
        <w:spacing w:after="0" w:line="240" w:lineRule="auto"/>
      </w:pPr>
      <w:r>
        <w:separator/>
      </w:r>
    </w:p>
  </w:footnote>
  <w:footnote w:type="continuationSeparator" w:id="0">
    <w:p w:rsidR="005840AD" w:rsidRDefault="005840AD" w:rsidP="009D57E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0AD" w:rsidRDefault="005840AD">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Lucida Calligraphy" w:hAnsi="Lucida Calligraphy" w:cs="Times New Roman"/>
        <w:b/>
        <w:bCs/>
        <w:color w:val="000000" w:themeColor="text1"/>
        <w:sz w:val="24"/>
        <w:szCs w:val="24"/>
        <w:rtl/>
        <w:lang w:val="fr-FR"/>
      </w:rPr>
      <w:alias w:val="Titre"/>
      <w:id w:val="77738743"/>
      <w:placeholder>
        <w:docPart w:val="0FC33279A35C4F1C909426DC4A394B3E"/>
      </w:placeholder>
      <w:dataBinding w:prefixMappings="xmlns:ns0='http://schemas.openxmlformats.org/package/2006/metadata/core-properties' xmlns:ns1='http://purl.org/dc/elements/1.1/'" w:xpath="/ns0:coreProperties[1]/ns1:title[1]" w:storeItemID="{6C3C8BC8-F283-45AE-878A-BAB7291924A1}"/>
      <w:text/>
    </w:sdtPr>
    <w:sdtEndPr/>
    <w:sdtContent>
      <w:p w:rsidR="005840AD" w:rsidRPr="009D57E5" w:rsidRDefault="005840AD" w:rsidP="009D57E5">
        <w:pPr>
          <w:pStyle w:val="En-tte"/>
          <w:pBdr>
            <w:bottom w:val="thickThinSmallGap" w:sz="24" w:space="1" w:color="622423" w:themeColor="accent2" w:themeShade="7F"/>
          </w:pBdr>
          <w:jc w:val="center"/>
          <w:rPr>
            <w:rFonts w:asciiTheme="majorHAnsi" w:eastAsiaTheme="majorEastAsia" w:hAnsiTheme="majorHAnsi" w:cstheme="majorBidi"/>
            <w:sz w:val="32"/>
            <w:szCs w:val="32"/>
            <w:lang w:val="fr-FR"/>
          </w:rPr>
        </w:pPr>
        <w:r w:rsidRPr="009D57E5">
          <w:rPr>
            <w:rFonts w:ascii="Lucida Calligraphy" w:hAnsi="Lucida Calligraphy" w:cs="Times New Roman"/>
            <w:b/>
            <w:bCs/>
            <w:color w:val="000000" w:themeColor="text1"/>
            <w:sz w:val="24"/>
            <w:szCs w:val="24"/>
            <w:lang w:val="fr-FR"/>
          </w:rPr>
          <w:t xml:space="preserve">Chapitre II  les procédés de traitement des rejets textiles </w:t>
        </w:r>
      </w:p>
    </w:sdtContent>
  </w:sdt>
  <w:p w:rsidR="005840AD" w:rsidRPr="009D57E5" w:rsidRDefault="005840AD">
    <w:pPr>
      <w:pStyle w:val="En-tte"/>
      <w:rPr>
        <w:lang w:val="fr-FR"/>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0AD" w:rsidRDefault="005840AD">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A528"/>
      </v:shape>
    </w:pict>
  </w:numPicBullet>
  <w:abstractNum w:abstractNumId="0">
    <w:nsid w:val="6C4724DF"/>
    <w:multiLevelType w:val="hybridMultilevel"/>
    <w:tmpl w:val="5672DD4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3075"/>
    <o:shapelayout v:ext="edit">
      <o:idmap v:ext="edit" data="3"/>
    </o:shapelayout>
  </w:hdrShapeDefaults>
  <w:footnotePr>
    <w:footnote w:id="-1"/>
    <w:footnote w:id="0"/>
  </w:footnotePr>
  <w:endnotePr>
    <w:endnote w:id="-1"/>
    <w:endnote w:id="0"/>
  </w:endnotePr>
  <w:compat>
    <w:compatSetting w:name="compatibilityMode" w:uri="http://schemas.microsoft.com/office/word" w:val="12"/>
  </w:compat>
  <w:rsids>
    <w:rsidRoot w:val="00654949"/>
    <w:rsid w:val="00044231"/>
    <w:rsid w:val="0027218D"/>
    <w:rsid w:val="002C0BE2"/>
    <w:rsid w:val="0034668D"/>
    <w:rsid w:val="00513E67"/>
    <w:rsid w:val="00520B4F"/>
    <w:rsid w:val="005840AD"/>
    <w:rsid w:val="005A7E25"/>
    <w:rsid w:val="005F5ADA"/>
    <w:rsid w:val="00654949"/>
    <w:rsid w:val="0080323F"/>
    <w:rsid w:val="008229B3"/>
    <w:rsid w:val="008B1A0E"/>
    <w:rsid w:val="00936C74"/>
    <w:rsid w:val="009465C3"/>
    <w:rsid w:val="009D57E5"/>
    <w:rsid w:val="00B01F92"/>
    <w:rsid w:val="00BE407E"/>
    <w:rsid w:val="00C25133"/>
    <w:rsid w:val="00C32469"/>
    <w:rsid w:val="00C75CB1"/>
    <w:rsid w:val="00CE1BD3"/>
    <w:rsid w:val="00FA1FA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5"/>
    <o:shapelayout v:ext="edit">
      <o:idmap v:ext="edit" data="1"/>
    </o:shapelayout>
  </w:shapeDefaults>
  <w:decimalSymbol w:val="."/>
  <w:listSeparator w:val=";"/>
  <w15:docId w15:val="{EA942E37-C58F-46E2-956C-57DA1D94EB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494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654949"/>
    <w:pPr>
      <w:autoSpaceDE w:val="0"/>
      <w:autoSpaceDN w:val="0"/>
      <w:adjustRightInd w:val="0"/>
      <w:spacing w:after="0" w:line="240" w:lineRule="auto"/>
    </w:pPr>
    <w:rPr>
      <w:rFonts w:ascii="Times New Roman" w:hAnsi="Times New Roman" w:cs="Times New Roman"/>
      <w:color w:val="000000"/>
      <w:sz w:val="24"/>
      <w:szCs w:val="24"/>
    </w:rPr>
  </w:style>
  <w:style w:type="table" w:styleId="Grilledutableau">
    <w:name w:val="Table Grid"/>
    <w:basedOn w:val="TableauNormal"/>
    <w:uiPriority w:val="59"/>
    <w:rsid w:val="0065494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6549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54949"/>
    <w:rPr>
      <w:rFonts w:ascii="Tahoma" w:hAnsi="Tahoma" w:cs="Tahoma"/>
      <w:sz w:val="16"/>
      <w:szCs w:val="16"/>
    </w:rPr>
  </w:style>
  <w:style w:type="paragraph" w:styleId="En-tte">
    <w:name w:val="header"/>
    <w:basedOn w:val="Normal"/>
    <w:link w:val="En-tteCar"/>
    <w:uiPriority w:val="99"/>
    <w:unhideWhenUsed/>
    <w:rsid w:val="009D57E5"/>
    <w:pPr>
      <w:tabs>
        <w:tab w:val="center" w:pos="4153"/>
        <w:tab w:val="right" w:pos="8306"/>
      </w:tabs>
      <w:spacing w:after="0" w:line="240" w:lineRule="auto"/>
    </w:pPr>
  </w:style>
  <w:style w:type="character" w:customStyle="1" w:styleId="En-tteCar">
    <w:name w:val="En-tête Car"/>
    <w:basedOn w:val="Policepardfaut"/>
    <w:link w:val="En-tte"/>
    <w:uiPriority w:val="99"/>
    <w:rsid w:val="009D57E5"/>
  </w:style>
  <w:style w:type="paragraph" w:styleId="Pieddepage">
    <w:name w:val="footer"/>
    <w:basedOn w:val="Normal"/>
    <w:link w:val="PieddepageCar"/>
    <w:uiPriority w:val="99"/>
    <w:unhideWhenUsed/>
    <w:rsid w:val="009D57E5"/>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9D57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0FC33279A35C4F1C909426DC4A394B3E"/>
        <w:category>
          <w:name w:val="Général"/>
          <w:gallery w:val="placeholder"/>
        </w:category>
        <w:types>
          <w:type w:val="bbPlcHdr"/>
        </w:types>
        <w:behaviors>
          <w:behavior w:val="content"/>
        </w:behaviors>
        <w:guid w:val="{ECE34935-455B-4E51-B9DE-35CC9C886E5E}"/>
      </w:docPartPr>
      <w:docPartBody>
        <w:p w:rsidR="00E91B31" w:rsidRDefault="00B53569" w:rsidP="00B53569">
          <w:pPr>
            <w:pStyle w:val="0FC33279A35C4F1C909426DC4A394B3E"/>
          </w:pPr>
          <w:r>
            <w:rPr>
              <w:rFonts w:asciiTheme="majorHAnsi" w:eastAsiaTheme="majorEastAsia" w:hAnsiTheme="majorHAnsi" w:cstheme="majorBidi"/>
              <w:sz w:val="32"/>
              <w:szCs w:val="32"/>
              <w:lang w:val="fr-FR"/>
            </w:rPr>
            <w:t>[Tapez le 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auto"/>
    <w:notTrueType/>
    <w:pitch w:val="variable"/>
    <w:sig w:usb0="00000001" w:usb1="08080000" w:usb2="00000010" w:usb3="00000000" w:csb0="00100000" w:csb1="00000000"/>
  </w:font>
  <w:font w:name="Lucida Calligraphy">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B53569"/>
    <w:rsid w:val="0034052C"/>
    <w:rsid w:val="00392FBF"/>
    <w:rsid w:val="0046721A"/>
    <w:rsid w:val="00583FCC"/>
    <w:rsid w:val="008A21B3"/>
    <w:rsid w:val="00B53569"/>
    <w:rsid w:val="00E91B3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92FB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0FC33279A35C4F1C909426DC4A394B3E">
    <w:name w:val="0FC33279A35C4F1C909426DC4A394B3E"/>
    <w:rsid w:val="00B5356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264</TotalTime>
  <Pages>7</Pages>
  <Words>2022</Words>
  <Characters>11526</Characters>
  <Application>Microsoft Office Word</Application>
  <DocSecurity>0</DocSecurity>
  <Lines>96</Lines>
  <Paragraphs>27</Paragraphs>
  <ScaleCrop>false</ScaleCrop>
  <HeadingPairs>
    <vt:vector size="2" baseType="variant">
      <vt:variant>
        <vt:lpstr>Titre</vt:lpstr>
      </vt:variant>
      <vt:variant>
        <vt:i4>1</vt:i4>
      </vt:variant>
    </vt:vector>
  </HeadingPairs>
  <TitlesOfParts>
    <vt:vector size="1" baseType="lpstr">
      <vt:lpstr>Chapitre II  les procédés de traitement des rejets textiles </vt:lpstr>
    </vt:vector>
  </TitlesOfParts>
  <Company/>
  <LinksUpToDate>false</LinksUpToDate>
  <CharactersWithSpaces>13521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II  les procédés de traitement des rejets textiles </dc:title>
  <dc:creator>somia</dc:creator>
  <cp:lastModifiedBy>HSI</cp:lastModifiedBy>
  <cp:revision>8</cp:revision>
  <dcterms:created xsi:type="dcterms:W3CDTF">2017-06-12T07:48:00Z</dcterms:created>
  <dcterms:modified xsi:type="dcterms:W3CDTF">2017-07-09T08:56:00Z</dcterms:modified>
</cp:coreProperties>
</file>