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3B5" w:rsidRPr="00BB7005" w:rsidRDefault="005E03B5" w:rsidP="005E03B5">
      <w:pPr>
        <w:tabs>
          <w:tab w:val="right" w:pos="142"/>
        </w:tabs>
        <w:spacing w:line="360" w:lineRule="auto"/>
        <w:ind w:right="-1800"/>
        <w:contextualSpacing/>
        <w:rPr>
          <w:rFonts w:ascii="Traditional Arabic" w:hAnsi="Traditional Arabic" w:cs="Traditional Arabic"/>
          <w:b/>
          <w:bCs/>
          <w:sz w:val="32"/>
          <w:szCs w:val="32"/>
          <w:u w:val="single"/>
          <w:rtl/>
        </w:rPr>
      </w:pPr>
      <w:r w:rsidRPr="00BB7005">
        <w:rPr>
          <w:rFonts w:ascii="Traditional Arabic" w:hAnsi="Traditional Arabic" w:cs="Traditional Arabic"/>
          <w:b/>
          <w:bCs/>
          <w:sz w:val="32"/>
          <w:szCs w:val="32"/>
          <w:u w:val="single"/>
          <w:rtl/>
        </w:rPr>
        <w:t>المبحث الأول</w:t>
      </w:r>
      <w:r w:rsidRPr="00BB7005">
        <w:rPr>
          <w:rFonts w:ascii="Traditional Arabic" w:hAnsi="Traditional Arabic" w:cs="Traditional Arabic"/>
          <w:sz w:val="32"/>
          <w:szCs w:val="32"/>
          <w:u w:val="single"/>
          <w:lang w:val="fr-FR" w:bidi="ar-DZ"/>
        </w:rPr>
        <w:t>:</w:t>
      </w:r>
      <w:r w:rsidRPr="00BB7005">
        <w:rPr>
          <w:rFonts w:ascii="Traditional Arabic" w:hAnsi="Traditional Arabic" w:cs="Traditional Arabic"/>
          <w:sz w:val="32"/>
          <w:szCs w:val="32"/>
          <w:u w:val="single"/>
          <w:rtl/>
          <w:lang w:val="fr-FR" w:bidi="ar-DZ"/>
        </w:rPr>
        <w:t xml:space="preserve"> </w:t>
      </w:r>
      <w:r w:rsidRPr="00BB7005">
        <w:rPr>
          <w:rFonts w:ascii="Traditional Arabic" w:hAnsi="Traditional Arabic" w:cs="Traditional Arabic"/>
          <w:b/>
          <w:bCs/>
          <w:sz w:val="32"/>
          <w:szCs w:val="32"/>
          <w:u w:val="single"/>
          <w:rtl/>
        </w:rPr>
        <w:t>( قصد الإضرار بالغير)</w:t>
      </w:r>
    </w:p>
    <w:p w:rsidR="005E03B5" w:rsidRPr="005E03B5" w:rsidRDefault="005E03B5" w:rsidP="005E03B5">
      <w:pPr>
        <w:tabs>
          <w:tab w:val="right" w:pos="142"/>
        </w:tabs>
        <w:spacing w:line="360" w:lineRule="auto"/>
        <w:ind w:right="-1800"/>
        <w:contextualSpacing/>
        <w:rPr>
          <w:rFonts w:ascii="Traditional Arabic" w:hAnsi="Traditional Arabic" w:cs="Traditional Arabic"/>
          <w:b/>
          <w:bCs/>
          <w:sz w:val="32"/>
          <w:szCs w:val="32"/>
          <w:rtl/>
        </w:rPr>
      </w:pPr>
      <w:r w:rsidRPr="005E03B5">
        <w:rPr>
          <w:rFonts w:ascii="Traditional Arabic" w:hAnsi="Traditional Arabic" w:cs="Traditional Arabic"/>
          <w:b/>
          <w:bCs/>
          <w:sz w:val="32"/>
          <w:szCs w:val="32"/>
          <w:rtl/>
        </w:rPr>
        <w:t>المطلب الأول : شرح ( قصد الإضرار بالغير) .</w:t>
      </w:r>
    </w:p>
    <w:p w:rsidR="005E03B5" w:rsidRPr="005E03B5" w:rsidRDefault="005E03B5" w:rsidP="005E03B5">
      <w:pPr>
        <w:tabs>
          <w:tab w:val="right" w:pos="142"/>
          <w:tab w:val="right" w:pos="540"/>
        </w:tabs>
        <w:spacing w:line="360" w:lineRule="auto"/>
        <w:contextualSpacing/>
        <w:rPr>
          <w:rFonts w:ascii="Traditional Arabic" w:hAnsi="Traditional Arabic" w:cs="Traditional Arabic"/>
          <w:sz w:val="32"/>
          <w:szCs w:val="32"/>
          <w:rtl/>
        </w:rPr>
      </w:pPr>
      <w:r>
        <w:rPr>
          <w:rFonts w:ascii="Traditional Arabic" w:hAnsi="Traditional Arabic" w:cs="Traditional Arabic"/>
          <w:sz w:val="32"/>
          <w:szCs w:val="32"/>
          <w:rtl/>
        </w:rPr>
        <w:t xml:space="preserve">        </w:t>
      </w:r>
      <w:r w:rsidRPr="005E03B5">
        <w:rPr>
          <w:rFonts w:ascii="Traditional Arabic" w:hAnsi="Traditional Arabic" w:cs="Traditional Arabic"/>
          <w:sz w:val="32"/>
          <w:szCs w:val="32"/>
          <w:rtl/>
        </w:rPr>
        <w:t xml:space="preserve"> هـذا المعيار شخصي ذاتي لأنه يعتمد على عنصر نفسي وهـو قصد الإضرار وليس عنصرا ماديا موضوعيا لا علاقة له بالقصود والنوايا، غير أنه إذا كان من الصعب البحث عن النوايا والمقصود المستكنة في النفس ، فإن (القرائـن) المحتفـة بالوقائع تـدل على هـذا القصد غالبا.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5E03B5">
        <w:rPr>
          <w:rFonts w:ascii="Traditional Arabic" w:hAnsi="Traditional Arabic" w:cs="Traditional Arabic"/>
          <w:sz w:val="32"/>
          <w:szCs w:val="32"/>
          <w:rtl/>
        </w:rPr>
        <w:t>ومن ذلك ، انتفاء المصلحة مثلا ، أو تفاهتها ، بالنسبة لصاحب الحق ، مع لحوق ضرر بالـغ بالغير في الوقت نفسه ، فإن ذلك يعتبر قرينة دالة على أنه قصد الإضرار بالغير ، فكان الفعل لذلك تعسفيا.</w:t>
      </w:r>
    </w:p>
    <w:p w:rsidR="005E03B5" w:rsidRPr="005E03B5" w:rsidRDefault="005E03B5" w:rsidP="005E03B5">
      <w:pPr>
        <w:tabs>
          <w:tab w:val="right" w:pos="142"/>
        </w:tabs>
        <w:spacing w:line="360" w:lineRule="auto"/>
        <w:contextualSpacing/>
        <w:jc w:val="lowKashida"/>
        <w:rPr>
          <w:rFonts w:ascii="Traditional Arabic" w:hAnsi="Traditional Arabic" w:cs="Traditional Arabic"/>
          <w:sz w:val="32"/>
          <w:szCs w:val="32"/>
          <w:rtl/>
        </w:rPr>
      </w:pPr>
      <w:r w:rsidRPr="005E03B5">
        <w:rPr>
          <w:rFonts w:ascii="Traditional Arabic" w:hAnsi="Traditional Arabic" w:cs="Traditional Arabic"/>
          <w:sz w:val="32"/>
          <w:szCs w:val="32"/>
          <w:rtl/>
        </w:rPr>
        <w:t>هذا ، وانعدام المصلحة في التصرف في الحق ، يتحقق به معنى التعسف أيضا ، لأن الحق لم يشرع أصلا لغير مصلحة ، أو للعبث الذي يعني الخلو من الفائدة أصلا ، بل المصلحة الجدية هي أساسه ، فإذا انتفت هذه المصلحة كان استعماله لغير المصلحة التي شرع من أجلها ، وهذا هو عين التعسف في إحدى صوره ، لأنه ناقض قصد المشرع في أصل تشريع الحق ، ولا سيما إذا ألحق ضررا راجحا بالغير.</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5E03B5">
        <w:rPr>
          <w:rFonts w:ascii="Traditional Arabic" w:hAnsi="Traditional Arabic" w:cs="Traditional Arabic"/>
          <w:sz w:val="32"/>
          <w:szCs w:val="32"/>
          <w:rtl/>
        </w:rPr>
        <w:t>وأيضا تصرف العقلاء في حقوقهم ، ينبغي ألا يتجرد عن غاية جدية يستهدفها ، وهي المصلحة المقصودة والمعقولة ، وإلا كان تصرفا عابثا ، والعبث لا يشرع ، لاسيما إذا لزم عنه ضرر بالغ بالغير ، إذ الحقوق لم تشرع للعبث ، ولا لمجرد الإضرار ، قطعا ، الأمر الذي ينفي عنها المعنى الاجتماعي في مفهومها من جهة ، ويجردها عن أن تكون وسيلة لتحقيق الحاجات والمصالح المشروحة للأفراد من جهة أخرى.</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rPr>
      </w:pPr>
      <w:r w:rsidRPr="005E03B5">
        <w:rPr>
          <w:rFonts w:ascii="Traditional Arabic" w:hAnsi="Traditional Arabic" w:cs="Traditional Arabic"/>
          <w:sz w:val="32"/>
          <w:szCs w:val="32"/>
          <w:rtl/>
        </w:rPr>
        <w:t xml:space="preserve">ولو فرض أنه توخي المصلحة من وراء استعماله لحقه . لكنها تافهة غير ذات أهمية تذكر ، ومعلوم أن الحقوق لم تشرع إلا للمصالح الجدية الحقيقية ذات الأهمية لصاحب الحق نفسه ، وللمنفعة الاجتماعية أيضا ، وعلى هذا فإن المصلحة التافهة أو الضئيلة ليست جدية ، ولا هي جديرة بأن تبنى على أساسها الحقوق ، حتى إذا لحق الغير بالغ                               </w:t>
      </w:r>
    </w:p>
    <w:p w:rsidR="005E03B5" w:rsidRPr="005E03B5" w:rsidRDefault="005E03B5" w:rsidP="005E03B5">
      <w:pPr>
        <w:tabs>
          <w:tab w:val="right" w:pos="142"/>
          <w:tab w:val="right" w:pos="540"/>
          <w:tab w:val="left" w:pos="2298"/>
        </w:tabs>
        <w:spacing w:line="360" w:lineRule="auto"/>
        <w:contextualSpacing/>
        <w:jc w:val="lowKashida"/>
        <w:rPr>
          <w:rFonts w:ascii="Traditional Arabic" w:hAnsi="Traditional Arabic" w:cs="Traditional Arabic"/>
          <w:sz w:val="32"/>
          <w:szCs w:val="32"/>
          <w:rtl/>
        </w:rPr>
      </w:pPr>
      <w:r w:rsidRPr="005E03B5">
        <w:rPr>
          <w:rFonts w:ascii="Traditional Arabic" w:hAnsi="Traditional Arabic" w:cs="Traditional Arabic"/>
          <w:sz w:val="32"/>
          <w:szCs w:val="32"/>
          <w:rtl/>
        </w:rPr>
        <w:lastRenderedPageBreak/>
        <w:t>إزاء تلك المصلحة التافهة ، فقد تحقق التعسف أيضا ، لانهيار التوازن بين النفع والضرر ، وإذا لم تشرع الحقوق لتكون أسبابا لأضرار راجحة ، ومنافع ضئيلة ، بل العكس هو الصحيح ، ولذا كان الفعل تعسفيا ، لأن نتيجته لم تكن على وفق المصالح ، ولا على سنن المشروعات ، ووضعها الأصيل ، وعادة المشرع في التشريع .</w:t>
      </w:r>
      <w:r w:rsidRPr="005E03B5">
        <w:rPr>
          <w:rStyle w:val="a6"/>
          <w:rFonts w:ascii="Traditional Arabic" w:hAnsi="Traditional Arabic" w:cs="Traditional Arabic"/>
          <w:sz w:val="32"/>
          <w:szCs w:val="32"/>
          <w:rtl/>
        </w:rPr>
        <w:footnoteReference w:id="2"/>
      </w:r>
    </w:p>
    <w:p w:rsidR="005E03B5" w:rsidRPr="005E03B5" w:rsidRDefault="005E03B5" w:rsidP="005E03B5">
      <w:pPr>
        <w:tabs>
          <w:tab w:val="right" w:pos="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هذه الحالة هي أبرز حالات التعسف في استعمال الحق ، وفيها يكون الشخص قد استغل الحق الممنوح له ، لا لتحقيق مصلحته التي منح هذا الحق لأجلها ، ولكن ليلحق الضرر بالغير ، ويسيء إليه . ولهذا كان هذا المعيار أقدم معايير التعسف ، وأكثرها شيوعا في الشريعة الإسلامية ، وفي القوانين الوضعية ، لكثرة استعمال الأفراد حقوقهم بقصد الإضـرار بالآخـرين . وقـد استقر هذا المعيار في الفقه الإسلامي ، والفقـه الغربي ، والقضـاء ، على عدم الأخذ به .</w:t>
      </w:r>
    </w:p>
    <w:p w:rsidR="005E03B5" w:rsidRPr="005E03B5" w:rsidRDefault="005E03B5" w:rsidP="005E03B5">
      <w:pPr>
        <w:tabs>
          <w:tab w:val="right" w:pos="142"/>
          <w:tab w:val="right" w:pos="540"/>
          <w:tab w:val="left" w:pos="709"/>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والقصد إلى الإضرار بالغير، ممنوع في الشريعة ، فيمنع الفعل الذي اتخذ وسيلة للتعبير عنه ، أو لتحقيقه ، لأنه يتنافى وأغراض الشارع  من تشريعه للحقوق .</w:t>
      </w:r>
      <w:r w:rsidRPr="005E03B5">
        <w:rPr>
          <w:rFonts w:ascii="Traditional Arabic" w:hAnsi="Traditional Arabic" w:cs="Traditional Arabic"/>
          <w:sz w:val="32"/>
          <w:szCs w:val="32"/>
          <w:rtl/>
        </w:rPr>
        <w:t xml:space="preserve"> </w:t>
      </w:r>
      <w:r w:rsidRPr="005E03B5">
        <w:rPr>
          <w:rStyle w:val="a6"/>
          <w:rFonts w:ascii="Traditional Arabic" w:hAnsi="Traditional Arabic" w:cs="Traditional Arabic"/>
          <w:sz w:val="32"/>
          <w:szCs w:val="32"/>
          <w:rtl/>
          <w:lang w:bidi="ar-DZ"/>
        </w:rPr>
        <w:footnoteReference w:id="3"/>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ومما تقدم أيضا يمكن وضع شرط لتحقيق هذا المعيار وهو:</w:t>
      </w:r>
    </w:p>
    <w:p w:rsidR="005E03B5" w:rsidRPr="005E03B5" w:rsidRDefault="005E03B5" w:rsidP="005E03B5">
      <w:pPr>
        <w:tabs>
          <w:tab w:val="right" w:pos="142"/>
          <w:tab w:val="right" w:pos="540"/>
          <w:tab w:val="left" w:pos="1134"/>
        </w:tabs>
        <w:spacing w:line="360" w:lineRule="auto"/>
        <w:ind w:left="540"/>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_أن يقصد صاحب الحق بفعله إلحاق الضرر بالغير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ويدخل في معيار قصد الإضرار بالغير – من حيث القضاء – كل فعل لم يقم فيه دليل معين على قصد الإضرار بالغير، ولكن هذا الفعل قد خلا من المصلحة ، وتجرد من الفائدة ، فإن انعدام المصلحة من الفعل يعتبر قرينة في القضاء ، على تمحض قصد الإضرار بالغير ، إذ الأصل أن أفعال العقلاء لا تخلو من المصلحة ، فإذا لم يحقق الفعل مصلحة ما ، ولو ضئيلة كان ذلك قرينة على قصد الإضرار بالغير ، فيكون الفاعل مسيئا في هذا الاستعمال ، فالمالك الذي يبني جدارا </w:t>
      </w:r>
      <w:r w:rsidRPr="005E03B5">
        <w:rPr>
          <w:rFonts w:ascii="Traditional Arabic" w:hAnsi="Traditional Arabic" w:cs="Traditional Arabic"/>
          <w:sz w:val="32"/>
          <w:szCs w:val="32"/>
          <w:rtl/>
          <w:lang w:bidi="ar-DZ"/>
        </w:rPr>
        <w:lastRenderedPageBreak/>
        <w:t>مرتفعا على حدود ملكه ، بحيث يحجب الضوء والهواء عن جاره ، يعتبر متمحض القصد بالإضرار لهذا الجار ، إذا لم تكن له مصلحة حقيقية في بناء مثل هذا الجدار المرتفع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t>ويجب أن يثبت المضرور أن صاحب الحق وهو يستعمل حقه ، قصد إلى إلحاق الضرر به ، ويثبت هذا القصد بجميع طرق الإثبات ، منها القرائن المادية ، ولا يكفي إثبات أن صاحب الحق تصور احتمال وقوع الضرر ، من جراء استعماله لحقه على الوجه الذي اختاره ، فإن تصور احتمال وقوع الضرر لا يفيد ضرورة القصد في إحداثه . فلو أن شخصا يملك أرضا للصيد ، وصاد فيها ، فأصاب شخصا أخر دون أن يتعمد ذلك ، فإنه لا يكون لديه قصد الإضرار بالغير ، حتى لو ثبت أنه تصور احتمال وقوع  هذه  الإصابة ولا يعد هذا التصرف تعسفا ، لا بإعتبار أنه ينطوي على قصد الإضرار بالغير ، ولا بأي اعتبار أخر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t>فإذا أقام  المضرور الدليل على نية الإضرار ، اعتبر مستعمل الحق متعسفا في استعماله ، ومسئولا عن الأضرار ، التي وقعت مسؤولية تقصيرية ، وعلى المدعي عليه أن يثبت العكس لينجو من المسؤولية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t xml:space="preserve">ويرى السنهوري في باب الإثبات : أنه لو لم يقم الدليل القاطع على وجود القصد في إحداث الضرر ، ولكن الضرر وقع فعلا ، وتبين أنه لم يكن لصاحب الحق ، أية مصلحة في استعمال حقه ، على الوجه الذي أضر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فيه بالغير ، فإنه يرى أن انعدام المصلحة هنا انعداما تاما ، قرينة قاطعة على قيام القصد بإحداث الضرر ، كذلك يدل على الخطأ الجسيم على سوء النية ، ولكن هذه القرينة تبقى قاطعة إذا دعمها دليل أخر ، ولا تكون من القرائن القاطعة وحدها ، ويكون من حق الخصم إثبات عكسها بالدليل القانوني المعتبر .</w:t>
      </w:r>
      <w:r w:rsidRPr="005E03B5">
        <w:rPr>
          <w:rFonts w:ascii="Traditional Arabic" w:hAnsi="Traditional Arabic" w:cs="Traditional Arabic"/>
          <w:sz w:val="32"/>
          <w:szCs w:val="32"/>
          <w:rtl/>
        </w:rPr>
        <w:t xml:space="preserve"> </w:t>
      </w:r>
      <w:r w:rsidRPr="005E03B5">
        <w:rPr>
          <w:rStyle w:val="a6"/>
          <w:rFonts w:ascii="Traditional Arabic" w:hAnsi="Traditional Arabic" w:cs="Traditional Arabic"/>
          <w:sz w:val="32"/>
          <w:szCs w:val="32"/>
          <w:rtl/>
          <w:lang w:bidi="ar-DZ"/>
        </w:rPr>
        <w:footnoteReference w:id="4"/>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t>ولقد اختلف فقهاء القانون في هل يجب أن يكون قصد الإضرار بالغير، هو القصد من استعمال الحق أم لا.</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lastRenderedPageBreak/>
        <w:t xml:space="preserve">فذهب بعض الشراح كالسنهوري ، وأنور سلطان : إلى أنه يكفي أن يكون قصد الإضرار بالغير ، هو العامل الأصلي ، الذي دفع صاحب الحق إلى استعمال حقه ، ولو كان ذلك مصحوبا بنية جلب منفعة كعامل ثانوي ، وذهب البعض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vertAlign w:val="superscript"/>
          <w:rtl/>
        </w:rPr>
      </w:pPr>
      <w:r w:rsidRPr="005E03B5">
        <w:rPr>
          <w:rFonts w:ascii="Traditional Arabic" w:hAnsi="Traditional Arabic" w:cs="Traditional Arabic"/>
          <w:sz w:val="32"/>
          <w:szCs w:val="32"/>
          <w:rtl/>
          <w:lang w:bidi="ar-DZ"/>
        </w:rPr>
        <w:t xml:space="preserve">الأخر مثل ريبير ، وريبون ديلتسترين : إلى أنه لإعمال المعيار أن يكون قصد الإضرار هو القصد الوحيد. </w:t>
      </w:r>
      <w:r>
        <w:rPr>
          <w:rStyle w:val="a6"/>
          <w:rFonts w:ascii="Traditional Arabic" w:hAnsi="Traditional Arabic" w:cs="Traditional Arabic"/>
          <w:sz w:val="32"/>
          <w:szCs w:val="32"/>
          <w:rtl/>
        </w:rPr>
        <w:footnoteReference w:id="5"/>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اما بالنسبة للقوانين فنجد ان القانون المدني الجزائري لم يشترط تمحض قصد الإضرار بل اشترط توفر قصد الإضرار فقط عكس القانون المصري الذي هو الأصل حيث يشترط في هذا المعيار تمحض قصد الإضرار  حيث نصت المادة الخامسة من هذا القانون في فقرتها الأولي على ما يلي:</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_ إذا لم يقصد سوى الإضرار بالغير.</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 فيشترط القانون المدني المصري في هذا المعيار شرطين:</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292487">
        <w:rPr>
          <w:rFonts w:ascii="Traditional Arabic" w:hAnsi="Traditional Arabic" w:cs="Traditional Arabic"/>
          <w:b/>
          <w:bCs/>
          <w:sz w:val="32"/>
          <w:szCs w:val="32"/>
          <w:u w:val="single"/>
          <w:rtl/>
          <w:lang w:bidi="ar-DZ"/>
        </w:rPr>
        <w:t>الأول</w:t>
      </w:r>
      <w:r w:rsidRPr="00292487">
        <w:rPr>
          <w:rFonts w:ascii="Traditional Arabic" w:hAnsi="Traditional Arabic" w:cs="Traditional Arabic"/>
          <w:sz w:val="32"/>
          <w:szCs w:val="32"/>
          <w:u w:val="single"/>
          <w:rtl/>
          <w:lang w:bidi="ar-DZ"/>
        </w:rPr>
        <w:t xml:space="preserve"> </w:t>
      </w:r>
      <w:r w:rsidRPr="005E03B5">
        <w:rPr>
          <w:rFonts w:ascii="Traditional Arabic" w:hAnsi="Traditional Arabic" w:cs="Traditional Arabic"/>
          <w:sz w:val="32"/>
          <w:szCs w:val="32"/>
          <w:rtl/>
          <w:lang w:bidi="ar-DZ"/>
        </w:rPr>
        <w:t>:</w:t>
      </w:r>
      <w:r w:rsidR="00292487">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t>القصد إلى الإضرار</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292487">
        <w:rPr>
          <w:rFonts w:ascii="Traditional Arabic" w:hAnsi="Traditional Arabic" w:cs="Traditional Arabic"/>
          <w:b/>
          <w:bCs/>
          <w:sz w:val="32"/>
          <w:szCs w:val="32"/>
          <w:u w:val="single"/>
          <w:rtl/>
          <w:lang w:bidi="ar-DZ"/>
        </w:rPr>
        <w:t>الثاني</w:t>
      </w:r>
      <w:r w:rsidRPr="00292487">
        <w:rPr>
          <w:rFonts w:ascii="Traditional Arabic" w:hAnsi="Traditional Arabic" w:cs="Traditional Arabic"/>
          <w:sz w:val="32"/>
          <w:szCs w:val="32"/>
          <w:u w:val="single"/>
          <w:rtl/>
          <w:lang w:bidi="ar-DZ"/>
        </w:rPr>
        <w:t xml:space="preserve"> :</w:t>
      </w:r>
      <w:r w:rsidRPr="005E03B5">
        <w:rPr>
          <w:rFonts w:ascii="Traditional Arabic" w:hAnsi="Traditional Arabic" w:cs="Traditional Arabic"/>
          <w:sz w:val="32"/>
          <w:szCs w:val="32"/>
          <w:rtl/>
          <w:lang w:bidi="ar-DZ"/>
        </w:rPr>
        <w:t xml:space="preserve"> أن لا يكون ثمة أي قصد آخر يصحبه، ولو كان قصدا الى تحقيق مصلحة تافهة، حتى اذا صاحبه قصد آخر من المصلحة الذاتية لم ينطبق عليه هذا المعيار.</w:t>
      </w:r>
    </w:p>
    <w:p w:rsid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 اما إذا لزم عن الفعل مصلحة عرضية غير مقصودة، فلا يؤثر على تطبيق هذا المعيار الذاتي بل يبقى القصد إلى الإضرار متمحضا خالصا  . </w:t>
      </w:r>
      <w:r w:rsidRPr="005E03B5">
        <w:rPr>
          <w:rStyle w:val="a6"/>
          <w:rFonts w:ascii="Traditional Arabic" w:hAnsi="Traditional Arabic" w:cs="Traditional Arabic"/>
          <w:sz w:val="32"/>
          <w:szCs w:val="32"/>
          <w:rtl/>
          <w:lang w:bidi="ar-DZ"/>
        </w:rPr>
        <w:footnoteReference w:id="6"/>
      </w:r>
    </w:p>
    <w:p w:rsidR="0092130A" w:rsidRDefault="0092130A"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92130A" w:rsidRDefault="0092130A"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92130A" w:rsidRDefault="0092130A"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92130A" w:rsidRPr="005E03B5" w:rsidRDefault="0092130A"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5E03B5" w:rsidRPr="005E03B5" w:rsidRDefault="005E03B5" w:rsidP="005E03B5">
      <w:pPr>
        <w:rPr>
          <w:rFonts w:ascii="Traditional Arabic" w:hAnsi="Traditional Arabic" w:cs="Traditional Arabic"/>
          <w:b/>
          <w:bCs/>
          <w:sz w:val="32"/>
          <w:szCs w:val="32"/>
          <w:rtl/>
        </w:rPr>
      </w:pPr>
      <w:r w:rsidRPr="005E03B5">
        <w:rPr>
          <w:rFonts w:ascii="Traditional Arabic" w:hAnsi="Traditional Arabic" w:cs="Traditional Arabic"/>
          <w:b/>
          <w:bCs/>
          <w:sz w:val="32"/>
          <w:szCs w:val="32"/>
          <w:rtl/>
        </w:rPr>
        <w:lastRenderedPageBreak/>
        <w:t>المطلب الثاني : تطبيقات ( قصد الإضرار بالغير) في الفقه الإسلامي .</w:t>
      </w:r>
    </w:p>
    <w:p w:rsidR="005E03B5" w:rsidRPr="005E03B5" w:rsidRDefault="00292487" w:rsidP="005E03B5">
      <w:pPr>
        <w:tabs>
          <w:tab w:val="right" w:pos="142"/>
          <w:tab w:val="right" w:pos="540"/>
        </w:tabs>
        <w:spacing w:line="360" w:lineRule="auto"/>
        <w:contextualSpacing/>
        <w:jc w:val="lowKashida"/>
        <w:rPr>
          <w:rFonts w:ascii="Traditional Arabic" w:hAnsi="Traditional Arabic" w:cs="Traditional Arabic"/>
          <w:sz w:val="32"/>
          <w:szCs w:val="32"/>
          <w:rtl/>
        </w:rPr>
      </w:pPr>
      <w:r>
        <w:rPr>
          <w:rFonts w:ascii="Traditional Arabic" w:hAnsi="Traditional Arabic" w:cs="Traditional Arabic"/>
          <w:sz w:val="32"/>
          <w:szCs w:val="32"/>
          <w:rtl/>
        </w:rPr>
        <w:t xml:space="preserve">        </w:t>
      </w:r>
      <w:r w:rsidR="005E03B5" w:rsidRPr="005E03B5">
        <w:rPr>
          <w:rFonts w:ascii="Traditional Arabic" w:hAnsi="Traditional Arabic" w:cs="Traditional Arabic"/>
          <w:sz w:val="32"/>
          <w:szCs w:val="32"/>
          <w:rtl/>
        </w:rPr>
        <w:t xml:space="preserve">  اتفق الفقهاء جميعا على تحريم قصد الإضرار بالغير وعلى تأثيم من يفعل ذلك ، وأنه يستوجب الجزاء الأخروي ، إلا أنهم لم يتفقو على وجوب الجزاء الدنيوي ، فبعضهم اكتفى بالجزاء الأخروي ، دون أن يبسط عليها سلطان القضاء ، ومنهم من لم يقف عند حدود الجزاء الأخروي فقط ، بل أوجب كذلك جزاءا قضائيا ، ونورد هنا تطبيقات هذا المعيار في الفقه الإسلامي :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rPr>
      </w:pPr>
      <w:r w:rsidRPr="005E03B5">
        <w:rPr>
          <w:rFonts w:ascii="Traditional Arabic" w:hAnsi="Traditional Arabic" w:cs="Traditional Arabic"/>
          <w:sz w:val="32"/>
          <w:szCs w:val="32"/>
          <w:rtl/>
        </w:rPr>
        <w:t xml:space="preserve">01- قال تعالى :(من بعد وصية يوصى بها أو دين غير مضار وصية من الله والله عليم حليم) النساء الآية 12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 تدل الآية الكريمة على أن الوصية في ذاتها مشروعة لأنها قربة إلى الله تعالى وطاعته ، ولكنها ليست مطلقة ، أو خاضعة لمطلق التقدير الشخصي للموصي يتصرف فيها كيف يشاء ، ولا مسؤولية عليه في استعمال هذا الحق ، حتى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5E03B5" w:rsidRPr="005E03B5" w:rsidRDefault="00292487"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5E03B5" w:rsidRPr="005E03B5">
        <w:rPr>
          <w:rFonts w:ascii="Traditional Arabic" w:hAnsi="Traditional Arabic" w:cs="Traditional Arabic"/>
          <w:sz w:val="32"/>
          <w:szCs w:val="32"/>
          <w:rtl/>
          <w:lang w:bidi="ar-DZ"/>
        </w:rPr>
        <w:t>ولو كان هذا الاستعمال متمحضا للإضرار بالورثة ، إذ نص الآية الكريمة صريح في النهي عن المضارة في الوصية ، والنهي للتحريم ، والمنع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هذا ، والوصية المشروعة هي ما كانت في حدود الثلث ، ولأجنبي لا لوارث ، إذ لا وصية لوارث وينبغي أن تكون قربة إلى الله تعالى ، لا يقصد الموصي بها الإضرار بالورثة ، لسبب أو لأخر من أسباب البغض والعداء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حتى إذا قصد الموصي مجرد الإضرار بالورثة ، لا التقرب إلى الله تعالى ، فقد ناقض قصد المشرع ، إذ المشرع لم يشرع  الوصية للإضرار بالورثة ، وإنما شرعها قربة إليه تعالى ، وطاعة له في وجوه الخير ، فينبغي أن يتجه قصد الموصي إلى عين ما قصده المشرع ، وإلا كان التعسف في معياره الذاتي هذا ، لأن القصد غير الشرعي مناقض للقصد الشرعي أو هادم له ، وذلك غير جائز ، فيمنع صاحب الحق من التصرف على هذا الوجه ، أو يبطل تصرفه ، وهذا هو الجزاء .</w:t>
      </w:r>
      <w:r w:rsidRPr="005E03B5">
        <w:rPr>
          <w:rFonts w:ascii="Traditional Arabic" w:hAnsi="Traditional Arabic" w:cs="Traditional Arabic"/>
          <w:sz w:val="32"/>
          <w:szCs w:val="32"/>
          <w:rtl/>
        </w:rPr>
        <w:t xml:space="preserve">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02- قرر القرآن الكريم أن ليس للدائن مطالبة مدينه المعسر قضاء ، لإنتفاء المصلحة في استعمال هذا الحق ، فيكون ذلك دليلا وقرينة على تمحض قصد الإضرار بالمدين المعسر ، كما لا يجوز حبسه مادام معسرا عاجزا عن الأداء لعدم </w:t>
      </w:r>
      <w:r w:rsidRPr="005E03B5">
        <w:rPr>
          <w:rFonts w:ascii="Traditional Arabic" w:hAnsi="Traditional Arabic" w:cs="Traditional Arabic"/>
          <w:sz w:val="32"/>
          <w:szCs w:val="32"/>
          <w:rtl/>
          <w:lang w:bidi="ar-DZ"/>
        </w:rPr>
        <w:lastRenderedPageBreak/>
        <w:t>الفائدة ، وما شرع حق الحبس لهذا ، فتكون المطالبة بحبسه مع عدم قدرته على الوفاء تعسفا أيضا من باب أولى ، لإنتفاء المصلحة أصلا ، فتمحض قصد الإضرار ، والقاعدة العامة تقضي أن كل تصرف لا يؤدي إلى مقصوده باطل ، بل الواجب على الدائن إمهال المدين المعسر حتى اليسار ، وفضل التصدق عليه بالدين كلا أو بعضا ، لقوله تعالى :(وإن كان ذو عسرة فنظرة إلى ميسرة وأن تصدقوا خير لكم إن كنتم تعلمون) البقرة الآية 280 ، أي : فالواجب الإمهال إلى وقت اليسار منعا للتعسف .</w:t>
      </w:r>
      <w:r w:rsidRPr="005E03B5">
        <w:rPr>
          <w:rFonts w:ascii="Traditional Arabic" w:hAnsi="Traditional Arabic" w:cs="Traditional Arabic"/>
          <w:sz w:val="32"/>
          <w:szCs w:val="32"/>
          <w:rtl/>
        </w:rPr>
        <w:t xml:space="preserve"> </w:t>
      </w:r>
    </w:p>
    <w:p w:rsidR="005E03B5" w:rsidRPr="005E03B5" w:rsidRDefault="005E03B5" w:rsidP="005E03B5">
      <w:pPr>
        <w:tabs>
          <w:tab w:val="right" w:pos="142"/>
          <w:tab w:val="right" w:pos="540"/>
        </w:tabs>
        <w:bidi w:val="0"/>
        <w:spacing w:line="360" w:lineRule="auto"/>
        <w:contextualSpacing/>
        <w:jc w:val="right"/>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03- وأكدته السنة في ما أخرجه البخاري و مسلم من حديث عمر بن الخطاب ان النبي (صلى الله عليه وسلم ) : ( إنما الأعمال بالنيات ) أي : أن </w:t>
      </w:r>
      <w:r w:rsidRPr="005E03B5">
        <w:rPr>
          <w:rFonts w:ascii="Traditional Arabic" w:hAnsi="Traditional Arabic" w:cs="Traditional Arabic"/>
          <w:b/>
          <w:bCs/>
          <w:sz w:val="32"/>
          <w:szCs w:val="32"/>
          <w:rtl/>
          <w:lang w:bidi="ar-DZ"/>
        </w:rPr>
        <w:t>ا</w:t>
      </w:r>
      <w:r w:rsidRPr="005E03B5">
        <w:rPr>
          <w:rFonts w:ascii="Traditional Arabic" w:hAnsi="Traditional Arabic" w:cs="Traditional Arabic"/>
          <w:sz w:val="32"/>
          <w:szCs w:val="32"/>
          <w:rtl/>
          <w:lang w:bidi="ar-DZ"/>
        </w:rPr>
        <w:t>لأعمال معتبرة صحة وفسادا بالنية والبواعث .</w:t>
      </w:r>
    </w:p>
    <w:p w:rsidR="005E03B5" w:rsidRPr="005E03B5" w:rsidRDefault="005E03B5" w:rsidP="005E03B5">
      <w:pPr>
        <w:tabs>
          <w:tab w:val="right" w:pos="142"/>
          <w:tab w:val="right" w:pos="540"/>
        </w:tabs>
        <w:spacing w:line="360" w:lineRule="auto"/>
        <w:contextualSpacing/>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04- ومن هنا أكد هذا المعيار الإمام الشـاطبي حيث أوجب أن يكون قصد المكلف في العمل موافقا لقصد الله في التشريع ، حتى لا يقع التناقض بين القصدين : قصد الشارع وقصد المتصرف ، ومن ثم </w:t>
      </w:r>
      <w:r w:rsidRPr="005E03B5">
        <w:rPr>
          <w:rFonts w:ascii="Traditional Arabic" w:hAnsi="Traditional Arabic" w:cs="Traditional Arabic"/>
          <w:i/>
          <w:iCs/>
          <w:sz w:val="32"/>
          <w:szCs w:val="32"/>
          <w:rtl/>
          <w:lang w:bidi="ar-DZ"/>
        </w:rPr>
        <w:t>ينبغي</w:t>
      </w:r>
      <w:r w:rsidRPr="005E03B5">
        <w:rPr>
          <w:rFonts w:ascii="Traditional Arabic" w:hAnsi="Traditional Arabic" w:cs="Traditional Arabic"/>
          <w:sz w:val="32"/>
          <w:szCs w:val="32"/>
          <w:rtl/>
          <w:lang w:bidi="ar-DZ"/>
        </w:rPr>
        <w:t xml:space="preserve"> أن يكون التصرف في </w:t>
      </w:r>
    </w:p>
    <w:p w:rsidR="005E03B5" w:rsidRPr="005E03B5" w:rsidRDefault="005E03B5" w:rsidP="005E03B5">
      <w:pPr>
        <w:tabs>
          <w:tab w:val="right" w:pos="142"/>
          <w:tab w:val="right" w:pos="540"/>
        </w:tabs>
        <w:spacing w:line="360" w:lineRule="auto"/>
        <w:contextualSpacing/>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الحقوق على وفق الغاية التي شرعت من أجلها وأكد هذا المعيار الذاتي أيضا في موضع أخر بقوله ( كل من إبتغى في تكاليف الشريعة ، غير ما شرعت له ، فقد ناقض الشريعة ، ومن ناقض الشريعة ، فعمله في المناقضة باطـل ) أي :</w:t>
      </w:r>
    </w:p>
    <w:p w:rsidR="005E03B5" w:rsidRPr="005E03B5" w:rsidRDefault="005E03B5" w:rsidP="005E03B5">
      <w:pPr>
        <w:tabs>
          <w:tab w:val="right" w:pos="142"/>
          <w:tab w:val="right" w:pos="540"/>
        </w:tabs>
        <w:spacing w:line="360" w:lineRule="auto"/>
        <w:contextualSpacing/>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 تصرفه واستعماله لحقه باطل ، لا يترتب عليه أثر. </w:t>
      </w:r>
      <w:r w:rsidRPr="005E03B5">
        <w:rPr>
          <w:rStyle w:val="a6"/>
          <w:rFonts w:ascii="Traditional Arabic" w:hAnsi="Traditional Arabic" w:cs="Traditional Arabic"/>
          <w:sz w:val="32"/>
          <w:szCs w:val="32"/>
          <w:rtl/>
          <w:lang w:bidi="ar-DZ"/>
        </w:rPr>
        <w:footnoteReference w:id="7"/>
      </w:r>
      <w:r w:rsidRPr="005E03B5">
        <w:rPr>
          <w:rFonts w:ascii="Traditional Arabic" w:hAnsi="Traditional Arabic" w:cs="Traditional Arabic"/>
          <w:sz w:val="32"/>
          <w:szCs w:val="32"/>
          <w:rtl/>
          <w:lang w:bidi="ar-DZ"/>
        </w:rPr>
        <w:t xml:space="preserve">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05- جاء في مجمع الضمانات : ( رجل أراد أن يحرق حصائد أرضه ، فأوقد النار في حصائده ، فذهبت النار إلى أرض جاره ، فأحرق زرعه ، لا يضمن ، إلا أن يعلم  أنه لو يحرق حصائده تتعدى النار إلى أرض جاره ، لأنه إذا علم كان قاصدا إحراق زرع غيره . قالو إن كان زرع غيره يبعد عن حصائده التي أحرقها ، وكان يأمن من أن يحترق زرع جاره ، </w:t>
      </w:r>
      <w:r w:rsidR="00292487">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t xml:space="preserve">ولايطير شيء من ناره إلا شرارة ،أو شرارتان ، فحملت الريح ناره من أرضه إلى أرض جاره ، فإنحرق زرع الجار، فلا يضمن </w:t>
      </w:r>
      <w:r w:rsidRPr="005E03B5">
        <w:rPr>
          <w:rFonts w:ascii="Traditional Arabic" w:hAnsi="Traditional Arabic" w:cs="Traditional Arabic"/>
          <w:sz w:val="32"/>
          <w:szCs w:val="32"/>
          <w:rtl/>
          <w:lang w:bidi="ar-DZ"/>
        </w:rPr>
        <w:lastRenderedPageBreak/>
        <w:t>، فإذا كان أرض جاره قريبا من أرضه ، بأن كان الزرعان ملتصقان ، أو قريبان من الالتصاق ، على وجه أن ناره تصل إلى زرع جاره ، يضمن صاحب النار زرع الجار .</w:t>
      </w:r>
    </w:p>
    <w:p w:rsidR="005E03B5" w:rsidRPr="005E03B5" w:rsidRDefault="00292487"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5E03B5" w:rsidRPr="005E03B5">
        <w:rPr>
          <w:rFonts w:ascii="Traditional Arabic" w:hAnsi="Traditional Arabic" w:cs="Traditional Arabic"/>
          <w:sz w:val="32"/>
          <w:szCs w:val="32"/>
          <w:rtl/>
          <w:lang w:bidi="ar-DZ"/>
        </w:rPr>
        <w:t>وكذلك رجل له قطن في أرضه ، وأرض جاره لاصقة بأرضه ، فأوقد النار من طرف أرضه إلى جانب القطن ، فأحرقت ذلك القطن كان ضمان القطن على الذي أوقد النار، لأنه إذا علم أن ناره تتعدى إلى القطن ، كان قاصدا إحراق القطن ) .</w:t>
      </w:r>
    </w:p>
    <w:p w:rsidR="005E03B5" w:rsidRPr="005E03B5" w:rsidRDefault="005E03B5" w:rsidP="00292487">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06- وفي كتاب الخراج لأبي يوسف : ( في الرجل يكون له النهر خاص ، فيسقي منه حرثه ، ونخله ، وشجره ، فينفجر من ماء نهره ، في أرضه ، فيسيل الماء من أرضه إلى أرض غيره ، فيغرقها هل يضمن . قال : ليس على رب النهر في ذلك ضمان ، من قبل أن ذلك في ملكه ، وكذا لو نزت أرض هذا من الماء ففسدت ، لم يكن على رب الأرض الأولى شيء ، وعلى صاحب الأرض التي غرقت ، ونزت أن يحصن أرضه . ولا يحل لمسلم أن يتعمد أرضا مسلم ، أو ذمي بذلك ليغرق حرثه فيها ، يريد بذلك الإضرار به ، فقد نهى رسول الله صلى الله عليه وسلم عن الضرار ن وقد قال :(ملعون من ضار مسلم أو غيره) .وكتب عمر بن الخطاب رضي الله عنه إلى أبي عبيدة ، يأمره أن يمنع </w:t>
      </w:r>
      <w:r w:rsidR="00292487">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t xml:space="preserve">المسلمين ، من ضلم أحد مـن أهـل الذمـة ، وإن عرف أن صاحب النهر ، يريد أن يفتح الماء في أرضه </w:t>
      </w:r>
      <w:r w:rsidR="00292487">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t>للإضرار بجـيرانه ، والذهـاب بغلاتهم ، وتبـين ذلك ، فينبغي أن يمنع الإضرار بهم ).</w:t>
      </w:r>
      <w:r w:rsidRPr="005E03B5">
        <w:rPr>
          <w:rFonts w:ascii="Traditional Arabic" w:hAnsi="Traditional Arabic" w:cs="Traditional Arabic"/>
          <w:sz w:val="32"/>
          <w:szCs w:val="32"/>
          <w:vertAlign w:val="superscript"/>
          <w:rtl/>
        </w:rPr>
        <w:t xml:space="preserve"> </w:t>
      </w:r>
      <w:r w:rsidRPr="005E03B5">
        <w:rPr>
          <w:rStyle w:val="a6"/>
          <w:rFonts w:ascii="Traditional Arabic" w:hAnsi="Traditional Arabic" w:cs="Traditional Arabic"/>
          <w:sz w:val="32"/>
          <w:szCs w:val="32"/>
          <w:rtl/>
          <w:lang w:bidi="ar-DZ"/>
        </w:rPr>
        <w:footnoteReference w:id="8"/>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07- منع الفقه الحنفي سماع الدعوى الكيدية التي يقصد بها مجرد إلحاق الضرر بالمدعى عليه ، ولا تسند إلى حق صحيح ، فإذا ادعى من هو معروف بالفقر أنه أقرض أموالا طائلة دفعة واحدة رجلا معروفا باليسار والغنى ، أو ادعى أنه غصبها منه ، فإن هذه الدعوى لا تسمع ، لاستحالتها عادة ، ولأن فقره المدقع قرينة على مجرد قصد الإضرار بالمدعي عليه ، </w:t>
      </w:r>
      <w:r w:rsidR="00292487">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lastRenderedPageBreak/>
        <w:t xml:space="preserve">لجلبه إلى ساحة القضاء ، إيلاما وامتهانا ، والتعسف هنا استعمال حق الإدعاء أمام القضاء لغير غرض سوى الإضرار بالغير ، ولا ينضر إلى رفع الدعوى من حيث هو ، لأن رفع الدعوى حق مشروع في أصله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08- وفي الفقه المالكي أن إبن القاسم سئل عمن كان له أرض ، وإشترى ماء بعيدا عنها ، وكان بين أرضه  والماء البعيد أرض يملكها غيره ، ولم يكن من سبيل لوصول الماء إلى أرضه إلا عن طريق أرض الغير هذه ، فهل لصاحب الأرض التي يراد إمرار الماء فيها منعه من ذلك . فأجاب : بأن ليس له منعه إذا كان المرور لا يسبب له ضررا أبدا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وتفسير ذلك أن امتناعه تعسف ، إذ يضر بغيره دون أي مصلحة تعود عليه ، بل قد ينتفع بالماء المار في أرضه أولا وأخرا ، و انتفاء المصلحة قرينة على تمحض قصد الإضرار</w:t>
      </w:r>
      <w:r w:rsidRPr="005E03B5">
        <w:rPr>
          <w:rStyle w:val="a6"/>
          <w:rFonts w:ascii="Traditional Arabic" w:hAnsi="Traditional Arabic" w:cs="Traditional Arabic"/>
          <w:sz w:val="32"/>
          <w:szCs w:val="32"/>
          <w:rtl/>
          <w:lang w:bidi="ar-DZ"/>
        </w:rPr>
        <w:footnoteReference w:id="9"/>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b/>
          <w:bCs/>
          <w:sz w:val="32"/>
          <w:szCs w:val="32"/>
          <w:rtl/>
        </w:rPr>
        <w:t xml:space="preserve">المطلب الثالث : تطبيقات ( قصد الإضرار بالغير) في القانون المدني </w:t>
      </w:r>
      <w:r w:rsidR="00CB0B6F">
        <w:rPr>
          <w:rFonts w:ascii="Traditional Arabic" w:hAnsi="Traditional Arabic" w:cs="Traditional Arabic" w:hint="cs"/>
          <w:b/>
          <w:bCs/>
          <w:sz w:val="32"/>
          <w:szCs w:val="32"/>
          <w:rtl/>
        </w:rPr>
        <w:t>الجزائري</w:t>
      </w:r>
      <w:r w:rsidRPr="005E03B5">
        <w:rPr>
          <w:rFonts w:ascii="Traditional Arabic" w:hAnsi="Traditional Arabic" w:cs="Traditional Arabic"/>
          <w:b/>
          <w:bCs/>
          <w:sz w:val="32"/>
          <w:szCs w:val="32"/>
          <w:rtl/>
        </w:rPr>
        <w:t>.</w:t>
      </w:r>
    </w:p>
    <w:p w:rsidR="005E03B5" w:rsidRPr="005E03B5" w:rsidRDefault="005E03B5" w:rsidP="00292487">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    </w:t>
      </w:r>
      <w:r w:rsidR="00292487">
        <w:rPr>
          <w:rFonts w:ascii="Traditional Arabic" w:hAnsi="Traditional Arabic" w:cs="Traditional Arabic" w:hint="cs"/>
          <w:sz w:val="32"/>
          <w:szCs w:val="32"/>
          <w:rtl/>
          <w:lang w:bidi="ar-DZ"/>
        </w:rPr>
        <w:t xml:space="preserve">     </w:t>
      </w:r>
      <w:r w:rsidRPr="005E03B5">
        <w:rPr>
          <w:rFonts w:ascii="Traditional Arabic" w:hAnsi="Traditional Arabic" w:cs="Traditional Arabic"/>
          <w:sz w:val="32"/>
          <w:szCs w:val="32"/>
          <w:rtl/>
          <w:lang w:bidi="ar-DZ"/>
        </w:rPr>
        <w:t xml:space="preserve">  اشترط القانون الجزائري في هذا المعيار توفر قصد الإضرار فقط ، ولم يشترط تمحضه وخلوصه حتى لا يشركه او يصاحبه قصد أخر ، كأن يقصد ذو الحق منفعة لنفسه إزاء قصد الإضرار بغيره ، خلافا للقانون المصري الذي هو الأصل </w:t>
      </w:r>
    </w:p>
    <w:p w:rsidR="005E03B5" w:rsidRPr="005E03B5" w:rsidRDefault="00292487"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5E03B5" w:rsidRPr="005E03B5">
        <w:rPr>
          <w:rFonts w:ascii="Traditional Arabic" w:hAnsi="Traditional Arabic" w:cs="Traditional Arabic"/>
          <w:sz w:val="32"/>
          <w:szCs w:val="32"/>
          <w:rtl/>
          <w:lang w:bidi="ar-DZ"/>
        </w:rPr>
        <w:t xml:space="preserve">وعلى هذا ، فلو جمع صاحب الحق بين قصد الإضرار بالغير ، وبين قصده المنفعة لنفسه أيضا ، اعتبر متعسفا إذا رجح الضرر ، أو كان القصد إليه رئيسا ، ذهابا من المشرع الجزائري إلى أن هذا المعيار يستلزم مدلوله تمحض قصد الإضرار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من باب أولى ، فكان هذا النص منطويا – في الواقع على معيارين :</w:t>
      </w:r>
    </w:p>
    <w:p w:rsidR="00292487" w:rsidRDefault="005E03B5" w:rsidP="00292487">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292487">
        <w:rPr>
          <w:rFonts w:ascii="Traditional Arabic" w:hAnsi="Traditional Arabic" w:cs="Traditional Arabic"/>
          <w:b/>
          <w:bCs/>
          <w:sz w:val="32"/>
          <w:szCs w:val="32"/>
          <w:u w:val="single"/>
          <w:rtl/>
          <w:lang w:bidi="ar-DZ"/>
        </w:rPr>
        <w:t>الأول</w:t>
      </w:r>
      <w:r w:rsidRPr="005E03B5">
        <w:rPr>
          <w:rFonts w:ascii="Traditional Arabic" w:hAnsi="Traditional Arabic" w:cs="Traditional Arabic"/>
          <w:b/>
          <w:bCs/>
          <w:sz w:val="32"/>
          <w:szCs w:val="32"/>
          <w:rtl/>
          <w:lang w:bidi="ar-DZ"/>
        </w:rPr>
        <w:t xml:space="preserve"> :</w:t>
      </w:r>
      <w:r w:rsidRPr="005E03B5">
        <w:rPr>
          <w:rFonts w:ascii="Traditional Arabic" w:hAnsi="Traditional Arabic" w:cs="Traditional Arabic"/>
          <w:sz w:val="32"/>
          <w:szCs w:val="32"/>
          <w:rtl/>
          <w:lang w:bidi="ar-DZ"/>
        </w:rPr>
        <w:t xml:space="preserve"> تمحض قصد الإضرار ، وهذا يستلزمه نص الفقرة الأولى بطريق الدلالة الأولية ، ولا حاجة إلى قصره عليه ، لأن ذلك يضيق من شمول هذا المعيار الثاني .</w:t>
      </w:r>
      <w:r w:rsidR="00292487">
        <w:rPr>
          <w:rFonts w:ascii="Traditional Arabic" w:hAnsi="Traditional Arabic" w:cs="Traditional Arabic" w:hint="cs"/>
          <w:sz w:val="32"/>
          <w:szCs w:val="32"/>
          <w:rtl/>
          <w:lang w:bidi="ar-DZ"/>
        </w:rPr>
        <w:t xml:space="preserve"> </w:t>
      </w:r>
    </w:p>
    <w:p w:rsidR="005E03B5" w:rsidRPr="005E03B5" w:rsidRDefault="005E03B5" w:rsidP="00292487">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lastRenderedPageBreak/>
        <w:t>وتوضيح ذلك ، أن ذا الحق إذا أعتبر متعسفا ولو قصد نفعا لنفسه إزاء قصد الإضرار بغيره ، فلأن يعتبر متعسفا إذا لم يكن يقصد سوى الإضرار بغيره من باب أولى ، لخلوص نية الإضرار لديه ، فيتحقق التعسف في هذه الحال بصورة أشد ، لتحقق معياره بصورة آكد.</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292487">
        <w:rPr>
          <w:rFonts w:ascii="Traditional Arabic" w:hAnsi="Traditional Arabic" w:cs="Traditional Arabic"/>
          <w:b/>
          <w:bCs/>
          <w:sz w:val="32"/>
          <w:szCs w:val="32"/>
          <w:u w:val="single"/>
          <w:rtl/>
          <w:lang w:bidi="ar-DZ"/>
        </w:rPr>
        <w:t xml:space="preserve">الثاني </w:t>
      </w:r>
      <w:r w:rsidRPr="005E03B5">
        <w:rPr>
          <w:rFonts w:ascii="Traditional Arabic" w:hAnsi="Traditional Arabic" w:cs="Traditional Arabic"/>
          <w:b/>
          <w:bCs/>
          <w:sz w:val="32"/>
          <w:szCs w:val="32"/>
          <w:rtl/>
          <w:lang w:bidi="ar-DZ"/>
        </w:rPr>
        <w:t xml:space="preserve">: </w:t>
      </w:r>
      <w:r w:rsidRPr="005E03B5">
        <w:rPr>
          <w:rFonts w:ascii="Traditional Arabic" w:hAnsi="Traditional Arabic" w:cs="Traditional Arabic"/>
          <w:sz w:val="32"/>
          <w:szCs w:val="32"/>
          <w:rtl/>
          <w:lang w:bidi="ar-DZ"/>
        </w:rPr>
        <w:t>قصد الإضرار بالغير مصحوبا بقصد المنفعة أو المصلحة الشخصية ، إذا كان القصد الأول هو الحافز الرئيس على العمل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b/>
          <w:bCs/>
          <w:sz w:val="32"/>
          <w:szCs w:val="32"/>
          <w:rtl/>
          <w:lang w:bidi="ar-DZ"/>
        </w:rPr>
      </w:pPr>
      <w:r w:rsidRPr="005E03B5">
        <w:rPr>
          <w:rFonts w:ascii="Traditional Arabic" w:hAnsi="Traditional Arabic" w:cs="Traditional Arabic"/>
          <w:sz w:val="32"/>
          <w:szCs w:val="32"/>
          <w:rtl/>
          <w:lang w:bidi="ar-DZ"/>
        </w:rPr>
        <w:t>وفي</w:t>
      </w:r>
      <w:r w:rsidRPr="005E03B5">
        <w:rPr>
          <w:rFonts w:ascii="Traditional Arabic" w:hAnsi="Traditional Arabic" w:cs="Traditional Arabic"/>
          <w:b/>
          <w:bCs/>
          <w:sz w:val="32"/>
          <w:szCs w:val="32"/>
          <w:rtl/>
          <w:lang w:bidi="ar-DZ"/>
        </w:rPr>
        <w:t xml:space="preserve"> </w:t>
      </w:r>
      <w:r w:rsidRPr="005E03B5">
        <w:rPr>
          <w:rFonts w:ascii="Traditional Arabic" w:hAnsi="Traditional Arabic" w:cs="Traditional Arabic"/>
          <w:sz w:val="32"/>
          <w:szCs w:val="32"/>
          <w:rtl/>
          <w:lang w:bidi="ar-DZ"/>
        </w:rPr>
        <w:t>هذه الحال يجب</w:t>
      </w:r>
      <w:r w:rsidRPr="005E03B5">
        <w:rPr>
          <w:rFonts w:ascii="Traditional Arabic" w:hAnsi="Traditional Arabic" w:cs="Traditional Arabic"/>
          <w:b/>
          <w:bCs/>
          <w:sz w:val="32"/>
          <w:szCs w:val="32"/>
          <w:rtl/>
          <w:lang w:bidi="ar-DZ"/>
        </w:rPr>
        <w:t xml:space="preserve"> </w:t>
      </w:r>
      <w:r w:rsidRPr="005E03B5">
        <w:rPr>
          <w:rFonts w:ascii="Traditional Arabic" w:hAnsi="Traditional Arabic" w:cs="Traditional Arabic"/>
          <w:sz w:val="32"/>
          <w:szCs w:val="32"/>
          <w:rtl/>
          <w:lang w:bidi="ar-DZ"/>
        </w:rPr>
        <w:t xml:space="preserve"> البحث عن مدى جدية المصلحة المقصودة ، وهل هي الغالبة ، أو أن الضرر هو الغالب ، أو أن الضرر هو المقصود أساسا ، وعلى كل حال ، فإنه ينبغي إجراء الموازنة بين ما يعود على صاحب الحق من مصلحة مقصودة ، وبين الضرر المقصود اللاحق بالغير ، وعلى ضوء هذه الموازنة يمكن تكييف الفعل بكونه تعسفيا أو مشروعا ، فهذا المعيار الثاني يؤول على المعايير والضوابط الأخرى الموضوعية ، من انعدام التناسب</w:t>
      </w:r>
      <w:r w:rsidRPr="005E03B5">
        <w:rPr>
          <w:rFonts w:ascii="Traditional Arabic" w:hAnsi="Traditional Arabic" w:cs="Traditional Arabic"/>
          <w:b/>
          <w:bCs/>
          <w:sz w:val="32"/>
          <w:szCs w:val="32"/>
          <w:rtl/>
          <w:lang w:bidi="ar-DZ"/>
        </w:rPr>
        <w:t xml:space="preserve"> ، </w:t>
      </w:r>
      <w:r w:rsidRPr="005E03B5">
        <w:rPr>
          <w:rFonts w:ascii="Traditional Arabic" w:hAnsi="Traditional Arabic" w:cs="Traditional Arabic"/>
          <w:sz w:val="32"/>
          <w:szCs w:val="32"/>
          <w:rtl/>
          <w:lang w:bidi="ar-DZ"/>
        </w:rPr>
        <w:t>أو المصلحة</w:t>
      </w:r>
      <w:r w:rsidRPr="005E03B5">
        <w:rPr>
          <w:rFonts w:ascii="Traditional Arabic" w:hAnsi="Traditional Arabic" w:cs="Traditional Arabic"/>
          <w:b/>
          <w:bCs/>
          <w:sz w:val="32"/>
          <w:szCs w:val="32"/>
          <w:rtl/>
          <w:lang w:bidi="ar-DZ"/>
        </w:rPr>
        <w:t xml:space="preserve">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غيـر المشـروعة ، أو معيـار الضـرر الفاحـش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وقد يتحقق هذا المعيار في استعمال الحق على نحو إيجابي وسلبي ، غير أن شرط تمحض قصد الإضرار يضيق من نطاق هذا المعيار كما ذكرنا ، لندرة الوقوع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ومن تطبيقات التصرف الإيجابي في حق الملك حالة انتفاء أي قصد لدى المتضرر سوى الإضرار بالغير :</w:t>
      </w:r>
    </w:p>
    <w:p w:rsidR="005E03B5" w:rsidRPr="005E03B5" w:rsidRDefault="005E03B5" w:rsidP="005E03B5">
      <w:pPr>
        <w:numPr>
          <w:ilvl w:val="0"/>
          <w:numId w:val="4"/>
        </w:numPr>
        <w:tabs>
          <w:tab w:val="right" w:pos="142"/>
          <w:tab w:val="right" w:pos="540"/>
        </w:tabs>
        <w:spacing w:line="360" w:lineRule="auto"/>
        <w:ind w:left="0" w:firstLine="0"/>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أن يغرس في ملكه أشجارا عالية كثيفة ، أو يقيم حائطا عاليا بحيث يحجب النور والهواء عن عقار الجار المعد للسكنى ن فيعتبر متعسفا إذا تبين أن هذا التصرف لا يعود بأي نفع مقصود على صاحب الحق ، ولو تبين أن هذا التصرف لا يعود بأي نفع مقصود على صاحب الحق ، ولو تبين فيما بعد أنه عاد بالنفع على الأرض بصورة عرضية </w:t>
      </w:r>
    </w:p>
    <w:p w:rsidR="005E03B5" w:rsidRPr="005E03B5" w:rsidRDefault="005E03B5" w:rsidP="005E03B5">
      <w:pPr>
        <w:numPr>
          <w:ilvl w:val="0"/>
          <w:numId w:val="4"/>
        </w:numPr>
        <w:tabs>
          <w:tab w:val="right" w:pos="142"/>
          <w:tab w:val="right" w:pos="540"/>
        </w:tabs>
        <w:spacing w:line="360" w:lineRule="auto"/>
        <w:ind w:left="0" w:firstLine="0"/>
        <w:contextualSpacing/>
        <w:jc w:val="lowKashida"/>
        <w:rPr>
          <w:rFonts w:ascii="Traditional Arabic" w:hAnsi="Traditional Arabic" w:cs="Traditional Arabic"/>
          <w:sz w:val="32"/>
          <w:szCs w:val="32"/>
          <w:lang w:bidi="ar-DZ"/>
        </w:rPr>
      </w:pPr>
      <w:r w:rsidRPr="005E03B5">
        <w:rPr>
          <w:rFonts w:ascii="Traditional Arabic" w:hAnsi="Traditional Arabic" w:cs="Traditional Arabic"/>
          <w:sz w:val="32"/>
          <w:szCs w:val="32"/>
          <w:rtl/>
          <w:lang w:bidi="ar-DZ"/>
        </w:rPr>
        <w:t>ومن ذلك أيضا مطالبة الدائن المدين بالتنفيذ العيني للالتزام ، إذا كان لا يعود عليه بأي نفع أو مصلحة جدية من وراء تمسكه بحقه هذا ، ويلحق في الوقت نفسه إرهاقا للمدين ، وخسارة فادحة.</w:t>
      </w:r>
    </w:p>
    <w:p w:rsidR="005E03B5" w:rsidRPr="005E03B5" w:rsidRDefault="005E03B5" w:rsidP="005E03B5">
      <w:pPr>
        <w:numPr>
          <w:ilvl w:val="0"/>
          <w:numId w:val="4"/>
        </w:numPr>
        <w:tabs>
          <w:tab w:val="right" w:pos="142"/>
          <w:tab w:val="right" w:pos="540"/>
        </w:tabs>
        <w:spacing w:line="360" w:lineRule="auto"/>
        <w:ind w:left="0" w:firstLine="0"/>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lastRenderedPageBreak/>
        <w:t xml:space="preserve">ومن ذلك ، إذا أقام المالك مدخنة لا نفع له منها ، وإنما قصد بذلك إيذاء الجار ، فإنه يكون متعسفا ، لانتفاء المصلحة الذي يعتبر قرينة على تمحض قصد الإضرار ، ولا سيما إذا كان بإمكانه إقامة المدخنة في مكان أخر أو جهة أخرى بحيث لا تضر بالجار .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أما استعمال الحق على وجه سلبي ، وليس لصاحبه من قصد سوى الإضرار بالغير ، فنجد تطبيقه في المادة 189 من القانون المدني الجزائري والتي تنص على مايلي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لكل دائن ولو لم يحل أجل دينه أن يستعمل باسم مدينه جميع حقوق هذا الدين ، إلا ما كان خاصا بشخصه ، أو غير قابل للحجز ، ولا يكون استعمال الـدائن لحقوق مدينه مقبولا ، إلا إذا أثبت أن المديـن أمسك –امتنع- عن استعمال هذه الحقوق ، وأن هذا الإمساك من شأنه أن يسبب عسره أو أن يزيد فيه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بمقتضى هذه المادة يحل الدائن محل المدين في استعمال حقوق هذا الأخير نيابة عنه ، بحكم القانون ، دون إذن من القضاء ، بشرط أن يكون للدائن مصلحة جدية مشـروعة ، وأن من شـأن امتناع المديـن عن استعمال حقوقه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أن يسبب إعساره ، أو يزيد فيه مما يؤدي بالتالي إلى الإضرار بمصلحة الدائن ، دون أن يكون للمدين أي مصلحة يتوخاها جراء موقفه السلبي هذا ، فيتخذ ذلك قرينة على أنه لا يقصد سوى الإضرار بالدائن ، وهذا هو التعسف في معياره الذاتي ، لذا حمى القانون الدائن ، وأجاز له أن يقوم مقام مدينه في استعمال حقوقه ، وتقديم الدعوى غير المباشرة باسم مدينه محافظة على حقوق هذا الأخير ، واتقاء لما عسى أن يلحقه من ضرر لو لم يقم باستعمال حق المدين نيابة عنه .</w:t>
      </w:r>
    </w:p>
    <w:p w:rsidR="005E03B5" w:rsidRPr="005E03B5" w:rsidRDefault="005E03B5" w:rsidP="005E03B5">
      <w:pPr>
        <w:numPr>
          <w:ilvl w:val="0"/>
          <w:numId w:val="5"/>
        </w:numPr>
        <w:tabs>
          <w:tab w:val="right" w:pos="142"/>
          <w:tab w:val="right" w:pos="540"/>
        </w:tabs>
        <w:spacing w:line="360" w:lineRule="auto"/>
        <w:ind w:left="0" w:firstLine="0"/>
        <w:contextualSpacing/>
        <w:jc w:val="lowKashida"/>
        <w:rPr>
          <w:rFonts w:ascii="Traditional Arabic" w:hAnsi="Traditional Arabic" w:cs="Traditional Arabic"/>
          <w:sz w:val="32"/>
          <w:szCs w:val="32"/>
          <w:lang w:bidi="ar-DZ"/>
        </w:rPr>
      </w:pPr>
      <w:r w:rsidRPr="005E03B5">
        <w:rPr>
          <w:rFonts w:ascii="Traditional Arabic" w:hAnsi="Traditional Arabic" w:cs="Traditional Arabic"/>
          <w:sz w:val="32"/>
          <w:szCs w:val="32"/>
          <w:rtl/>
          <w:lang w:bidi="ar-DZ"/>
        </w:rPr>
        <w:t>ومثال ذلك أن يكون للمدين عين وضع شخص أخر يده عليها ، وكادت أن تنقضي مدة التقادم ، والمدين ممتنع عن رفع الدعوى لإثبات ملكيته للعين ، فللدائن أن يحل محل المدين خشية فوات المدة ، ليتمكن من استيفاء دينه من محل هذا الحق وماليته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lastRenderedPageBreak/>
        <w:t>والشروط  التي ذكرتها المادة المذكورة ، سواء منها ما تعلق بالدائن ، أو المدين ، أو الحق الذي يستعمله الدائن باسم مدينه ، هي شروط تدور في جملتها على فكرة وجود – مصلحة جدية ومشروعة للدائن – لتتخذ أساسا لشرعية رفع الدعوى غير المباشرة ، إذ لا دعوى بلا مصلحة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ومناط الاستدلال هنا ، أن المدين يمتنع عن استعمال حقه في المحافظة على حقوقه واستيفائها قضاء ، تقاعسا أو تعنتا من شأنه أن يؤدي إلى فوات حقوقه الذي يسبب إعساره ، أو يزيد فيه ، وهذا إنما يتصور في حالة ما إذا لم يكن للمدين مال أخر يمكن أن يستوفي الدائن منه ، فلا يكون للدائن حينئذ مصلحة في نيابته القانونية هذه عن المدين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إذن امتناع المدين عن استعمال حقه في المطالبة بحقوقه ، وتقصيره في ذلك ، يعتبر تعسفا تتمحض فيه النية للإضرار بالدائن ، وهو موقف سلبي ، تنتفي معه المصلحة للمدين إن لم يلحقه ضرر ، ويتخذ من انتفاء مصلحة المدين في إحجامه عن استعمال حقوقه ، محافظة عليها ، قرينة على تمحض قصد الإضرار بالدائن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ودرء التعسف هنا ، إنما كان بإجازة القانون للدائن أن يحل محل المدين نيابة عنه ، ودون إذن القضاء ، درءا للضرر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عن نفسه ، عن طريق قيامه باستيفاء حق المدين الذي يمكن للدائن بدوره أن يستوفي دينه من محل هذا الحق وماليته وهذا ما يقتضيه العدل والإنصاف ، محافظة على حق الغير ، وهو الدائن ، ووقاية له من تعسف مدينه الذي تمثل في موقفه السلبي المتعنت الذي يعتبر قرينة ودليلا على تمحض قصد الإضرار بالدائن كما ذكرنا .</w:t>
      </w:r>
      <w:r w:rsidRPr="005E03B5">
        <w:rPr>
          <w:rStyle w:val="a6"/>
          <w:rFonts w:ascii="Traditional Arabic" w:hAnsi="Traditional Arabic" w:cs="Traditional Arabic"/>
          <w:sz w:val="32"/>
          <w:szCs w:val="32"/>
          <w:rtl/>
          <w:lang w:bidi="ar-DZ"/>
        </w:rPr>
        <w:footnoteReference w:id="10"/>
      </w:r>
    </w:p>
    <w:p w:rsidR="005E03B5" w:rsidRPr="005E03B5" w:rsidRDefault="005E03B5" w:rsidP="005E03B5">
      <w:pPr>
        <w:numPr>
          <w:ilvl w:val="0"/>
          <w:numId w:val="4"/>
        </w:numPr>
        <w:tabs>
          <w:tab w:val="right" w:pos="142"/>
          <w:tab w:val="right" w:pos="540"/>
        </w:tabs>
        <w:spacing w:line="360" w:lineRule="auto"/>
        <w:ind w:left="0" w:firstLine="0"/>
        <w:contextualSpacing/>
        <w:jc w:val="lowKashida"/>
        <w:rPr>
          <w:rFonts w:ascii="Traditional Arabic" w:hAnsi="Traditional Arabic" w:cs="Traditional Arabic"/>
          <w:sz w:val="32"/>
          <w:szCs w:val="32"/>
          <w:lang w:bidi="ar-DZ"/>
        </w:rPr>
      </w:pPr>
      <w:r w:rsidRPr="005E03B5">
        <w:rPr>
          <w:rFonts w:ascii="Traditional Arabic" w:hAnsi="Traditional Arabic" w:cs="Traditional Arabic"/>
          <w:sz w:val="32"/>
          <w:szCs w:val="32"/>
          <w:rtl/>
          <w:lang w:bidi="ar-DZ"/>
        </w:rPr>
        <w:t xml:space="preserve">وقد طبق القانون المدني الجزائري نظرية التعسف في استعمال الحق على حق الملكية العقارية الخاصة في المادة : 691 الفقرة الأولى والتي تنص على أنه ( يجب على المالك الا يتعسف في استعمال حقه إلى حد يضر بملك الجار ) وهكذا ، قيد المشرع المالك بقيد عام مضمونه عدم التعسف في استعمال ملكيته إلى حد الإضرار بملكية جاره ، ومن خالف ذلك يعد مسؤولا ، وهو ما جاء في قرار المحكمة العليا رقم 200420 الصادر بتاريخ 27/09/2001 ،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lastRenderedPageBreak/>
        <w:t xml:space="preserve">حيث جاء في مضمون القرار في مناقشة إحدى أوجه الطعن مايلي :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 الوجه الثاني مأخوذ من خرق القانون بدعوى أن النزاع لا يتعلق بحدود الملكية ، بل ينحصر في تعسف المطعون ضدهم في استعمال حقهم إلى حد أنهم سببوا أضرارا بملكية جارهم الطاعن ، وأن مزاعم المطعون ضدهم بأن والدتهم لا تزال على قيد الحياة وأن الأملاك لا تزال شائعة لا تؤثر على طبيعة النزاع  ما دام أن الأمر يتعلق بمضار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 xml:space="preserve">الجوار غير المألوفة كما هو ثابت ومبين من خلال تقرير الخبرة التي اعتمدتها المحكمة الابتدائية ، ومن هنا كان على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قضاة الاستئناف  وفقا للمادة 691 من القانون المدني أن يتأكدوا مما إذا كانت المضار تجاوزت الحد المألوف ، بدلا من القول أن العقار الموجود عليه الممر موضوع النزاع لازال في حالة الشيوع  وبقضائهم كما فعلوا فقد خالفوا القانون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وتتحقق مسؤولية المالك طبقا للقواعد العامة إذا تجاوز الحدود الموضوعية لحقه أو تعسف في استعمال هذا الحق ، شأنه في ذلك شأن غيره من الأشخاص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فالمالك يستعمل ملكه على النحو الذي يريد ، لكي يحصل على جميع المزايا الممكنة من الشيء ، وعلى الملاك المجاورين أن يتحملوا ما ينجم عن هذا الاستعمال من مضايقات أو أضرار مادام أنها من قبيل الأضرار العادية المألوفة ، أما إذا تمادى المالك في استعمال ملكه لدرجة إضراره بجاره ضررا غير مألوف ، فهو يسأل عن ذلك الضرر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sidRPr="005E03B5">
        <w:rPr>
          <w:rFonts w:ascii="Traditional Arabic" w:hAnsi="Traditional Arabic" w:cs="Traditional Arabic"/>
          <w:sz w:val="32"/>
          <w:szCs w:val="32"/>
          <w:rtl/>
          <w:lang w:bidi="ar-DZ"/>
        </w:rPr>
        <w:t>وتعد مسؤولية المالك هنا مسؤولية خاصة دفعت إليها ضرورة وجود تنظيم خاص يفض التعارض بين حقوق الملاك المتجاورين في استعمالهم لحقوق ملكياتهم على نحو ما يرغبون ، كما يراعى أن الفكرة الواجب أن يقوم عليها هذا التنظيم هو وجوب أن يتحمل كل جار ضررا عاديا مألوفا من المضايقات التي لا مفر من التسامح فيها بين الملاك المتجاورين ، لكن ليس على الجار أن يتحمل من الأضرار ما يجاوز هذا القدر ، فالمنطق والعدل يقتضيان أن استعمال المالك لحقه يجب ألا يترتب عليه أذى أو ضرر فاحش لحقوق غيره من الملاك .</w:t>
      </w:r>
      <w:r w:rsidR="00025B1A" w:rsidRPr="00025B1A">
        <w:rPr>
          <w:rStyle w:val="a6"/>
          <w:rFonts w:ascii="Traditional Arabic" w:hAnsi="Traditional Arabic" w:cs="Traditional Arabic"/>
          <w:color w:val="FFFFFF" w:themeColor="background1"/>
          <w:sz w:val="32"/>
          <w:szCs w:val="32"/>
          <w:rtl/>
          <w:lang w:bidi="ar-DZ"/>
        </w:rPr>
        <w:footnoteReference w:id="11"/>
      </w:r>
    </w:p>
    <w:p w:rsidR="00292487" w:rsidRDefault="00292487"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p>
    <w:p w:rsidR="005E03B5" w:rsidRPr="005E03B5" w:rsidRDefault="00292487" w:rsidP="00292487">
      <w:pPr>
        <w:tabs>
          <w:tab w:val="right" w:pos="142"/>
          <w:tab w:val="right" w:pos="540"/>
        </w:tabs>
        <w:spacing w:line="360" w:lineRule="auto"/>
        <w:contextualSpacing/>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005E03B5" w:rsidRPr="005E03B5">
        <w:rPr>
          <w:rFonts w:ascii="Traditional Arabic" w:hAnsi="Traditional Arabic" w:cs="Traditional Arabic"/>
          <w:sz w:val="32"/>
          <w:szCs w:val="32"/>
          <w:rtl/>
          <w:lang w:bidi="ar-DZ"/>
        </w:rPr>
        <w:t xml:space="preserve">وبتأمل نص المادة 124 مكرر من القانون المدني الجزائري والتي حددت صور التعسف في استعمال الحق معاييره على سبيل الحصر وليس على سبيل المثال ، ومقارنة هذه الصور بالأحكام المختلفة لمضار الجوار غير المألوفة ، يتضح أن هذه الأخيرة لا تندرج تحت أي معيار من هذه المعايير المحددة في هذه المادة ، لأن المالك استعمال حقه استعمالا عاديا غير قاصد الإضرار بالجار ، ولم تكن له مصلحة تافهة أو قليلة الأهمية ، ولم يهدف إلى تحقيق غرض غير مشروع ، ومن ثم يتبين أن فكرة مضار الجوار غير المألوفة تخرج عن نطاق نظرية التعسف ، ورغم ذلك فإن المشرع الجزائري ربط الفكرتين يبعضهما ، إذ جعل مضار الجوار نتيجة عن تعسف المالك في استعمال حقه وشرطا حتى يتحقق هذا التعسف </w:t>
      </w:r>
      <w:r w:rsidR="005E03B5" w:rsidRPr="005E03B5">
        <w:rPr>
          <w:rStyle w:val="a6"/>
          <w:rFonts w:ascii="Traditional Arabic" w:hAnsi="Traditional Arabic" w:cs="Traditional Arabic"/>
          <w:sz w:val="32"/>
          <w:szCs w:val="32"/>
          <w:rtl/>
          <w:lang w:bidi="ar-DZ"/>
        </w:rPr>
        <w:footnoteReference w:id="12"/>
      </w:r>
      <w:r w:rsidR="005E03B5" w:rsidRPr="005E03B5">
        <w:rPr>
          <w:rFonts w:ascii="Traditional Arabic" w:hAnsi="Traditional Arabic" w:cs="Traditional Arabic"/>
          <w:sz w:val="32"/>
          <w:szCs w:val="32"/>
          <w:rtl/>
          <w:lang w:bidi="ar-DZ"/>
        </w:rPr>
        <w:t xml:space="preserve">.  </w:t>
      </w: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5E03B5" w:rsidRPr="005E03B5" w:rsidRDefault="005E03B5" w:rsidP="005E03B5">
      <w:pPr>
        <w:tabs>
          <w:tab w:val="right" w:pos="142"/>
          <w:tab w:val="right" w:pos="540"/>
        </w:tabs>
        <w:spacing w:line="360" w:lineRule="auto"/>
        <w:contextualSpacing/>
        <w:jc w:val="lowKashida"/>
        <w:rPr>
          <w:rFonts w:ascii="Traditional Arabic" w:hAnsi="Traditional Arabic" w:cs="Traditional Arabic"/>
          <w:sz w:val="32"/>
          <w:szCs w:val="32"/>
          <w:rtl/>
          <w:lang w:bidi="ar-DZ"/>
        </w:rPr>
      </w:pPr>
    </w:p>
    <w:p w:rsidR="005E03B5" w:rsidRDefault="005E03B5" w:rsidP="005E03B5">
      <w:pPr>
        <w:tabs>
          <w:tab w:val="right" w:pos="142"/>
          <w:tab w:val="right" w:pos="540"/>
        </w:tabs>
        <w:contextualSpacing/>
        <w:jc w:val="lowKashida"/>
        <w:rPr>
          <w:rFonts w:ascii="Traditional Arabic" w:hAnsi="Traditional Arabic" w:cs="Traditional Arabic" w:hint="cs"/>
          <w:sz w:val="32"/>
          <w:szCs w:val="32"/>
          <w:rtl/>
          <w:lang w:bidi="ar-DZ"/>
        </w:rPr>
      </w:pPr>
    </w:p>
    <w:p w:rsidR="000F5149" w:rsidRDefault="000F5149" w:rsidP="005E03B5">
      <w:pPr>
        <w:tabs>
          <w:tab w:val="right" w:pos="142"/>
          <w:tab w:val="right" w:pos="540"/>
        </w:tabs>
        <w:contextualSpacing/>
        <w:jc w:val="lowKashida"/>
        <w:rPr>
          <w:rFonts w:ascii="Traditional Arabic" w:hAnsi="Traditional Arabic" w:cs="Traditional Arabic" w:hint="cs"/>
          <w:sz w:val="32"/>
          <w:szCs w:val="32"/>
          <w:rtl/>
          <w:lang w:bidi="ar-DZ"/>
        </w:rPr>
      </w:pPr>
    </w:p>
    <w:p w:rsidR="000F5149" w:rsidRDefault="000F5149" w:rsidP="005E03B5">
      <w:pPr>
        <w:tabs>
          <w:tab w:val="right" w:pos="142"/>
          <w:tab w:val="right" w:pos="540"/>
        </w:tabs>
        <w:contextualSpacing/>
        <w:jc w:val="lowKashida"/>
        <w:rPr>
          <w:rFonts w:ascii="Traditional Arabic" w:hAnsi="Traditional Arabic" w:cs="Traditional Arabic" w:hint="cs"/>
          <w:sz w:val="32"/>
          <w:szCs w:val="32"/>
          <w:rtl/>
          <w:lang w:bidi="ar-DZ"/>
        </w:rPr>
      </w:pPr>
    </w:p>
    <w:p w:rsidR="000F5149" w:rsidRDefault="000F5149" w:rsidP="005E03B5">
      <w:pPr>
        <w:tabs>
          <w:tab w:val="right" w:pos="142"/>
          <w:tab w:val="right" w:pos="540"/>
        </w:tabs>
        <w:contextualSpacing/>
        <w:jc w:val="lowKashida"/>
        <w:rPr>
          <w:rFonts w:ascii="Traditional Arabic" w:hAnsi="Traditional Arabic" w:cs="Traditional Arabic" w:hint="cs"/>
          <w:sz w:val="32"/>
          <w:szCs w:val="32"/>
          <w:rtl/>
          <w:lang w:bidi="ar-DZ"/>
        </w:rPr>
      </w:pPr>
    </w:p>
    <w:p w:rsidR="000F5149" w:rsidRDefault="000F5149" w:rsidP="005E03B5">
      <w:pPr>
        <w:tabs>
          <w:tab w:val="right" w:pos="142"/>
          <w:tab w:val="right" w:pos="540"/>
        </w:tabs>
        <w:contextualSpacing/>
        <w:jc w:val="lowKashida"/>
        <w:rPr>
          <w:rFonts w:ascii="Traditional Arabic" w:hAnsi="Traditional Arabic" w:cs="Traditional Arabic" w:hint="cs"/>
          <w:sz w:val="32"/>
          <w:szCs w:val="32"/>
          <w:rtl/>
          <w:lang w:bidi="ar-DZ"/>
        </w:rPr>
      </w:pPr>
    </w:p>
    <w:p w:rsidR="000F5149" w:rsidRDefault="000F5149" w:rsidP="005E03B5">
      <w:pPr>
        <w:tabs>
          <w:tab w:val="right" w:pos="142"/>
          <w:tab w:val="right" w:pos="540"/>
        </w:tabs>
        <w:contextualSpacing/>
        <w:jc w:val="lowKashida"/>
        <w:rPr>
          <w:rFonts w:ascii="Traditional Arabic" w:hAnsi="Traditional Arabic" w:cs="Traditional Arabic" w:hint="cs"/>
          <w:sz w:val="32"/>
          <w:szCs w:val="32"/>
          <w:rtl/>
          <w:lang w:bidi="ar-DZ"/>
        </w:rPr>
      </w:pPr>
    </w:p>
    <w:p w:rsidR="000F5149" w:rsidRDefault="000F5149" w:rsidP="005E03B5">
      <w:pPr>
        <w:tabs>
          <w:tab w:val="right" w:pos="142"/>
          <w:tab w:val="right" w:pos="540"/>
        </w:tabs>
        <w:contextualSpacing/>
        <w:jc w:val="lowKashida"/>
        <w:rPr>
          <w:rFonts w:ascii="Traditional Arabic" w:hAnsi="Traditional Arabic" w:cs="Traditional Arabic" w:hint="cs"/>
          <w:sz w:val="32"/>
          <w:szCs w:val="32"/>
          <w:rtl/>
          <w:lang w:bidi="ar-DZ"/>
        </w:rPr>
      </w:pPr>
    </w:p>
    <w:p w:rsidR="000F5149" w:rsidRDefault="000F5149" w:rsidP="005E03B5">
      <w:pPr>
        <w:tabs>
          <w:tab w:val="right" w:pos="142"/>
          <w:tab w:val="right" w:pos="540"/>
        </w:tabs>
        <w:contextualSpacing/>
        <w:jc w:val="lowKashida"/>
        <w:rPr>
          <w:rFonts w:ascii="Traditional Arabic" w:hAnsi="Traditional Arabic" w:cs="Traditional Arabic" w:hint="cs"/>
          <w:sz w:val="32"/>
          <w:szCs w:val="32"/>
          <w:rtl/>
          <w:lang w:bidi="ar-DZ"/>
        </w:rPr>
      </w:pPr>
    </w:p>
    <w:p w:rsidR="000F5149" w:rsidRDefault="000F5149" w:rsidP="005E03B5">
      <w:pPr>
        <w:tabs>
          <w:tab w:val="right" w:pos="142"/>
          <w:tab w:val="right" w:pos="540"/>
        </w:tabs>
        <w:contextualSpacing/>
        <w:jc w:val="lowKashida"/>
        <w:rPr>
          <w:rFonts w:ascii="Traditional Arabic" w:hAnsi="Traditional Arabic" w:cs="Traditional Arabic" w:hint="cs"/>
          <w:sz w:val="32"/>
          <w:szCs w:val="32"/>
          <w:rtl/>
          <w:lang w:bidi="ar-DZ"/>
        </w:rPr>
      </w:pPr>
    </w:p>
    <w:p w:rsidR="000F5149" w:rsidRPr="003D2197" w:rsidRDefault="000F5149" w:rsidP="000F5149">
      <w:pPr>
        <w:rPr>
          <w:rFonts w:ascii="Traditional Arabic" w:hAnsi="Traditional Arabic" w:cs="Traditional Arabic"/>
          <w:b/>
          <w:bCs/>
          <w:sz w:val="32"/>
          <w:szCs w:val="32"/>
          <w:u w:val="single"/>
        </w:rPr>
      </w:pPr>
      <w:r w:rsidRPr="003D2197">
        <w:rPr>
          <w:rFonts w:ascii="Traditional Arabic" w:hAnsi="Traditional Arabic" w:cs="Traditional Arabic"/>
          <w:b/>
          <w:bCs/>
          <w:sz w:val="32"/>
          <w:szCs w:val="32"/>
          <w:u w:val="single"/>
          <w:rtl/>
        </w:rPr>
        <w:lastRenderedPageBreak/>
        <w:t xml:space="preserve">المبحث الثاني : معيار عدم التناسب بين الفائدة والضرر الناشئ للغير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سنتناول في هذا المبحث ثلاثة مطالب نبين في الأول المقصود بهذا المعيار ، ثم تطبيقاته في الفقه الإسلامي والقانون المدني الجزائري في المطلب الثاني والثالث على التوالي : </w:t>
      </w:r>
    </w:p>
    <w:p w:rsidR="000F5149" w:rsidRPr="003D2197" w:rsidRDefault="000F5149" w:rsidP="000F5149">
      <w:pPr>
        <w:rPr>
          <w:rFonts w:ascii="Traditional Arabic" w:hAnsi="Traditional Arabic" w:cs="Traditional Arabic"/>
          <w:b/>
          <w:bCs/>
          <w:sz w:val="32"/>
          <w:szCs w:val="32"/>
          <w:rtl/>
        </w:rPr>
      </w:pPr>
      <w:r w:rsidRPr="003D2197">
        <w:rPr>
          <w:rFonts w:ascii="Traditional Arabic" w:hAnsi="Traditional Arabic" w:cs="Traditional Arabic"/>
          <w:b/>
          <w:bCs/>
          <w:sz w:val="32"/>
          <w:szCs w:val="32"/>
          <w:rtl/>
        </w:rPr>
        <w:t>المطلب الأول: المقصود بعدم التناسب بين الفائدة والضرر الناشئ للغير</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يقوم هدا المعيار على الموازنة بين المصلحة صاحب الحق وفي نفس الوقت يترتب على هذا الاستعمال ضرر بالغير يفوق في ضخامته المصلحة التي يجنيها صاحب الحق ، ونظرا لهذا التفاوت بين مصلحة صاحب الحق والضرر الذي يصيب الغير اقتضى منطق العدل ومبدأ عدم جواز إلحاق الضرر بالغير الذي هو  قاعدة من قواعد الإسلام اقتضى ذلك منع صاحب الحق من استعماله لحقه إذا لم يكن هناك تناسب بين مصلحته والضرر الذي يلحق الغير </w:t>
      </w:r>
      <w:r w:rsidRPr="003D2197">
        <w:rPr>
          <w:rStyle w:val="a6"/>
          <w:rFonts w:ascii="Traditional Arabic" w:hAnsi="Traditional Arabic" w:cs="Traditional Arabic"/>
          <w:sz w:val="32"/>
          <w:szCs w:val="32"/>
          <w:rtl/>
        </w:rPr>
        <w:footnoteReference w:id="13"/>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وبالرجوع للمادة 124 مكرر من القانون المدني الجزائري نستنتج أن معايير التعسف منها ما هو شخصي ومنها ما هو موضوعي ، أما فيما يخص المعيار الثاني فينطبق تحت المعيار الموضوعي ، وذلك لاعتماده على واقعة مادية هي الموازنة بين مصلحة صاحب الحق والضرر الذي يصيب الغير ، ولا علاقة له بشخصية صاحب الحق وما تنطوي عليه نفسه من قصد الإضرار أو عدمه  ، فنظرية التعسف في هذا المعيار تقوم على أساس النظر في مآلات ونتائج الأفعال ، وهذا من خلال النص الذي نهض بالمعيار الثاني حين أشار إلى أن المنفعة القليلة المقصودة من قبل صاحب الحق بقوله " التي يرمي إليها" ، ولكن الضرر الذي يلحق بالغير لم يشر إلى انه مقصود بل وصفه بأنه ناشئ عن استعمال الحق سواء كان مقصودا أو ليس مقصود وهذا يعني أن القصد إلى الإضرار بالغير ليس شرطا يتوقف عليه تطبيق هذا المعيار بل يكفي نشوء الضرر عن استعمال الحق.</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ومما يلاحظ على نص المادة 124 مكرر أن أصل فعل صاحب الحق هو مشروع ولكن نتيجة الفعل وثمرته المادية هي التي تخرج الفعل عن أصل مشروعيته وتجعله تعسفيا كون أن المصلحة تعتبر زهيدة ولا تتناسب مع الضرر الذي يصيب الغير</w:t>
      </w:r>
      <w:r w:rsidRPr="003D2197">
        <w:rPr>
          <w:rStyle w:val="a6"/>
          <w:rFonts w:ascii="Traditional Arabic" w:hAnsi="Traditional Arabic" w:cs="Traditional Arabic"/>
          <w:sz w:val="32"/>
          <w:szCs w:val="32"/>
          <w:rtl/>
        </w:rPr>
        <w:footnoteReference w:id="14"/>
      </w:r>
      <w:r w:rsidRPr="003D2197">
        <w:rPr>
          <w:rFonts w:ascii="Traditional Arabic" w:hAnsi="Traditional Arabic" w:cs="Traditional Arabic"/>
          <w:sz w:val="32"/>
          <w:szCs w:val="32"/>
          <w:rtl/>
        </w:rPr>
        <w:t>,ولقد اقتصر المشرع الجزائري على التفاوت الشاسع وهذا بقوله " للحصول على فائدة قليلة بالنسبة إلى الضرر الناشئ للغير " ، وهذا يضيق من مجال نظرية التعسف ودورها ويفتح السبل أمام أصحاب الحقوق لممارستها على وجه التعسفي ما دام لم يبلغ ذلك القدر من جسامة الضرر</w:t>
      </w:r>
      <w:r w:rsidRPr="003D2197">
        <w:rPr>
          <w:rStyle w:val="a6"/>
          <w:rFonts w:ascii="Traditional Arabic" w:hAnsi="Traditional Arabic" w:cs="Traditional Arabic"/>
          <w:sz w:val="32"/>
          <w:szCs w:val="32"/>
          <w:rtl/>
        </w:rPr>
        <w:footnoteReference w:id="15"/>
      </w:r>
      <w:r w:rsidRPr="003D2197">
        <w:rPr>
          <w:rFonts w:ascii="Traditional Arabic" w:hAnsi="Traditional Arabic" w:cs="Traditional Arabic"/>
          <w:sz w:val="32"/>
          <w:szCs w:val="32"/>
          <w:rtl/>
        </w:rPr>
        <w:t>.</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فكان الفقه الإسلامي أوسع مجالا في محاربة التعسف ودوره كأكثر تفصيل وذلك من خلال عدة قواعد كلية منها القاعدة التي تقول : " الضرر لا يزال بمثله" ومعناه أن الضرر المماثل لي معيارا للتعسف فلا يضار إلى دفع الضرر عن الغير لإيقاع مثله بصاحب الحق، وذلك لأمرين هما:</w:t>
      </w:r>
    </w:p>
    <w:p w:rsidR="000F5149" w:rsidRPr="003D2197" w:rsidRDefault="000F5149" w:rsidP="000F5149">
      <w:pPr>
        <w:rPr>
          <w:rFonts w:ascii="Traditional Arabic" w:hAnsi="Traditional Arabic" w:cs="Traditional Arabic"/>
          <w:sz w:val="32"/>
          <w:szCs w:val="32"/>
        </w:rPr>
      </w:pPr>
      <w:r w:rsidRPr="003D2197">
        <w:rPr>
          <w:rFonts w:ascii="Traditional Arabic" w:hAnsi="Traditional Arabic" w:cs="Traditional Arabic"/>
          <w:b/>
          <w:bCs/>
          <w:sz w:val="32"/>
          <w:szCs w:val="32"/>
          <w:u w:val="single"/>
          <w:rtl/>
        </w:rPr>
        <w:lastRenderedPageBreak/>
        <w:t>الأول :</w:t>
      </w:r>
      <w:r w:rsidRPr="003D2197">
        <w:rPr>
          <w:rFonts w:ascii="Traditional Arabic" w:hAnsi="Traditional Arabic" w:cs="Traditional Arabic"/>
          <w:sz w:val="32"/>
          <w:szCs w:val="32"/>
          <w:rtl/>
        </w:rPr>
        <w:t xml:space="preserve"> أن لا جدوى من هذا الدفع إذ لا تمحي معه واقعة التعسف بل تبقى قائمة غير إنها تنتقل من جهة لأخرى ، وليس هذا مقصود المشرع بل مقصوده أن يكون العدل من جهتين لا أن يكون من جهة عدلا وفي أخرى ظلما. وإذا إستويا رجح جانب ذي الحق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b/>
          <w:bCs/>
          <w:sz w:val="32"/>
          <w:szCs w:val="32"/>
          <w:u w:val="single"/>
          <w:rtl/>
        </w:rPr>
        <w:t>الثاني :</w:t>
      </w:r>
      <w:r w:rsidRPr="003D2197">
        <w:rPr>
          <w:rFonts w:ascii="Traditional Arabic" w:hAnsi="Traditional Arabic" w:cs="Traditional Arabic"/>
          <w:sz w:val="32"/>
          <w:szCs w:val="32"/>
          <w:rtl/>
        </w:rPr>
        <w:t xml:space="preserve"> أن صاحب الحق أولى أن يسلم له حقه ولا يمنع من ممارسته لدفع ضرر عن غيره هو مماثل للضرر الذي يلحقه ، ذلك لأن حقه ثابت له ابتداء باليقين ولمصلحة قد قصد الشارع تحقيقها له من خلال منحه هذا الحق .ومن الظلم أن يحافظ عن دفع الضرر عن الغير على حساب صاحب الحق مادام الضرران متساويين </w:t>
      </w:r>
      <w:r w:rsidRPr="003D2197">
        <w:rPr>
          <w:rStyle w:val="a6"/>
          <w:rFonts w:ascii="Traditional Arabic" w:hAnsi="Traditional Arabic" w:cs="Traditional Arabic"/>
          <w:sz w:val="32"/>
          <w:szCs w:val="32"/>
          <w:rtl/>
        </w:rPr>
        <w:footnoteReference w:id="16"/>
      </w:r>
      <w:r w:rsidRPr="003D2197">
        <w:rPr>
          <w:rFonts w:ascii="Traditional Arabic" w:hAnsi="Traditional Arabic" w:cs="Traditional Arabic"/>
          <w:sz w:val="32"/>
          <w:szCs w:val="32"/>
          <w:rtl/>
        </w:rPr>
        <w:t xml:space="preserve"> ،أما إذا كان الضرر أكبر من مصلحة صاحب الحق ولو بتفاوت قليل يوجب التعسف في الفقه الإسلامي وهذا بمقتضى القاعدة التي تقتضي " درء المفاسد والأضرار مقدم على جلب المنافع والمصالح " وكذلك تقوم هذه الموازنة على قاعدة أخرى مفادها أن "الضرر الأشد يزال بالأخف " وهذا يستلزم أن يكون الضرر الواجب الإزالة فاحشا ، بل ينطبق مضمون هذه القاعدة على الضرر الزائد ويكون الفعل تعسفيا ممنوعا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إذا العبرة بما غلب ، فحيثما غلبت المصلحة كنت المشروعية ، وحيثما غلبت المفسدة أو الضرر انتفت المشروعية وكان التعسف وعلى هذا فلا يشترط الفقه الإسلامي أن يكون اختلال التوازن على درجة بالغة من التفاوت بل يكفي أن يختل ولو بدرجة يسيرة </w:t>
      </w:r>
      <w:r w:rsidRPr="003D2197">
        <w:rPr>
          <w:rStyle w:val="a6"/>
          <w:rFonts w:ascii="Traditional Arabic" w:hAnsi="Traditional Arabic" w:cs="Traditional Arabic"/>
          <w:sz w:val="32"/>
          <w:szCs w:val="32"/>
          <w:rtl/>
        </w:rPr>
        <w:footnoteReference w:id="17"/>
      </w:r>
      <w:r w:rsidRPr="003D2197">
        <w:rPr>
          <w:rFonts w:ascii="Traditional Arabic" w:hAnsi="Traditional Arabic" w:cs="Traditional Arabic"/>
          <w:sz w:val="32"/>
          <w:szCs w:val="32"/>
          <w:rtl/>
        </w:rPr>
        <w:t xml:space="preserve">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ويعد هذا المعيار من الناحية العلمية أدق صور التعسف في استعمال الحق وهو أهم صوره ,غير أنه يعد أصعب صورة من صور التعسف من حيث تطبيقه </w:t>
      </w:r>
      <w:r w:rsidRPr="003D2197">
        <w:rPr>
          <w:rStyle w:val="a6"/>
          <w:rFonts w:ascii="Traditional Arabic" w:hAnsi="Traditional Arabic" w:cs="Traditional Arabic"/>
          <w:sz w:val="32"/>
          <w:szCs w:val="32"/>
          <w:rtl/>
        </w:rPr>
        <w:footnoteReference w:id="18"/>
      </w:r>
      <w:r w:rsidRPr="003D2197">
        <w:rPr>
          <w:rFonts w:ascii="Traditional Arabic" w:hAnsi="Traditional Arabic" w:cs="Traditional Arabic"/>
          <w:sz w:val="32"/>
          <w:szCs w:val="32"/>
          <w:rtl/>
        </w:rPr>
        <w:t xml:space="preserve">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فالضرر ينبغي أن يكون جسيما بالمقارنة مع المصلحة المبتغاة من استعمال الحق التي تعد تافهة مقارنة بالضرر الذي يصيب الغير بسببها ، فالمشرع في هذه الحالة سهل في مهمة القاضي في البحث عن تحقق التعسف ، وذلك عن طريق الموازنة بين المصلحة والضرر ونلخص إلى أن معيار الموازنة بين المصلحة المبتغاة من استعمال وبين الضرر الواقع هو معيار قوامه الموازنة بين النفع والضرر ، دون النظر إلى الظروف الشخصية للمنتفع أو المضرور </w:t>
      </w:r>
      <w:r w:rsidRPr="003D2197">
        <w:rPr>
          <w:rStyle w:val="a6"/>
          <w:rFonts w:ascii="Traditional Arabic" w:hAnsi="Traditional Arabic" w:cs="Traditional Arabic"/>
          <w:sz w:val="32"/>
          <w:szCs w:val="32"/>
          <w:rtl/>
        </w:rPr>
        <w:footnoteReference w:id="19"/>
      </w:r>
      <w:r w:rsidRPr="003D2197">
        <w:rPr>
          <w:rFonts w:ascii="Traditional Arabic" w:hAnsi="Traditional Arabic" w:cs="Traditional Arabic"/>
          <w:sz w:val="32"/>
          <w:szCs w:val="32"/>
          <w:rtl/>
        </w:rPr>
        <w:t xml:space="preserve">، إقرار للعدالة الاجتماعية والتوازن بين الحقوق والواجبات </w:t>
      </w:r>
      <w:r w:rsidRPr="003D2197">
        <w:rPr>
          <w:rStyle w:val="a6"/>
          <w:rFonts w:ascii="Traditional Arabic" w:hAnsi="Traditional Arabic" w:cs="Traditional Arabic"/>
          <w:sz w:val="32"/>
          <w:szCs w:val="32"/>
          <w:rtl/>
        </w:rPr>
        <w:footnoteReference w:id="20"/>
      </w:r>
      <w:r w:rsidRPr="003D2197">
        <w:rPr>
          <w:rFonts w:ascii="Traditional Arabic" w:hAnsi="Traditional Arabic" w:cs="Traditional Arabic"/>
          <w:sz w:val="32"/>
          <w:szCs w:val="32"/>
          <w:rtl/>
        </w:rPr>
        <w:t xml:space="preserve"> .</w:t>
      </w:r>
    </w:p>
    <w:p w:rsidR="000F5149" w:rsidRPr="003D2197" w:rsidRDefault="000F5149" w:rsidP="000F5149">
      <w:pPr>
        <w:rPr>
          <w:rFonts w:ascii="Traditional Arabic" w:hAnsi="Traditional Arabic" w:cs="Traditional Arabic"/>
          <w:sz w:val="32"/>
          <w:szCs w:val="32"/>
          <w:rtl/>
        </w:rPr>
      </w:pPr>
    </w:p>
    <w:p w:rsidR="000F5149" w:rsidRPr="003D2197" w:rsidRDefault="000F5149" w:rsidP="000F5149">
      <w:pPr>
        <w:rPr>
          <w:rFonts w:ascii="Traditional Arabic" w:hAnsi="Traditional Arabic" w:cs="Traditional Arabic"/>
          <w:sz w:val="32"/>
          <w:szCs w:val="32"/>
          <w:rtl/>
        </w:rPr>
      </w:pPr>
    </w:p>
    <w:p w:rsidR="000F5149" w:rsidRPr="003D2197" w:rsidRDefault="000F5149" w:rsidP="000F5149">
      <w:pPr>
        <w:rPr>
          <w:rFonts w:ascii="Traditional Arabic" w:hAnsi="Traditional Arabic" w:cs="Traditional Arabic"/>
          <w:sz w:val="32"/>
          <w:szCs w:val="32"/>
          <w:rtl/>
        </w:rPr>
      </w:pPr>
    </w:p>
    <w:p w:rsidR="000F5149" w:rsidRPr="003D2197" w:rsidRDefault="000F5149" w:rsidP="000F5149">
      <w:pPr>
        <w:rPr>
          <w:rFonts w:ascii="Traditional Arabic" w:hAnsi="Traditional Arabic" w:cs="Traditional Arabic"/>
          <w:sz w:val="32"/>
          <w:szCs w:val="32"/>
        </w:rPr>
      </w:pPr>
      <w:r w:rsidRPr="003D2197">
        <w:rPr>
          <w:rFonts w:ascii="Traditional Arabic" w:hAnsi="Traditional Arabic" w:cs="Traditional Arabic"/>
          <w:sz w:val="32"/>
          <w:szCs w:val="32"/>
          <w:rtl/>
        </w:rPr>
        <w:lastRenderedPageBreak/>
        <w:t xml:space="preserve">     وتتجلى أهمية هذا المعيار بكل صوره في انه يمكن عن طريقه إظهار حالات من التعسف في استعمال الحق ومنع إضرار ما كان ليمكن إظهارها أو منعها إلا بتطبيق هذا المعيار ويدل كذلك على أهمية هذا المعيار كثرة القواعد المتعلقة به وقد أدرج الفقهاء معظمها ضمن قواعد كلية </w:t>
      </w:r>
      <w:r w:rsidRPr="003D2197">
        <w:rPr>
          <w:rStyle w:val="a6"/>
          <w:rFonts w:ascii="Traditional Arabic" w:hAnsi="Traditional Arabic" w:cs="Traditional Arabic"/>
          <w:sz w:val="32"/>
          <w:szCs w:val="32"/>
        </w:rPr>
        <w:footnoteReference w:id="21"/>
      </w:r>
    </w:p>
    <w:p w:rsidR="000F5149" w:rsidRPr="003D2197" w:rsidRDefault="000F5149" w:rsidP="000F5149">
      <w:pPr>
        <w:rPr>
          <w:rFonts w:ascii="Traditional Arabic" w:hAnsi="Traditional Arabic" w:cs="Traditional Arabic"/>
          <w:b/>
          <w:bCs/>
          <w:sz w:val="32"/>
          <w:szCs w:val="32"/>
          <w:rtl/>
        </w:rPr>
      </w:pPr>
      <w:r w:rsidRPr="003D2197">
        <w:rPr>
          <w:rFonts w:ascii="Traditional Arabic" w:hAnsi="Traditional Arabic" w:cs="Traditional Arabic"/>
          <w:b/>
          <w:bCs/>
          <w:sz w:val="32"/>
          <w:szCs w:val="32"/>
          <w:u w:val="single"/>
          <w:rtl/>
        </w:rPr>
        <w:t>المطلب الثاني :</w:t>
      </w:r>
      <w:r w:rsidRPr="003D2197">
        <w:rPr>
          <w:rFonts w:ascii="Traditional Arabic" w:hAnsi="Traditional Arabic" w:cs="Traditional Arabic"/>
          <w:b/>
          <w:bCs/>
          <w:sz w:val="32"/>
          <w:szCs w:val="32"/>
          <w:rtl/>
        </w:rPr>
        <w:t xml:space="preserve"> تطبيقات هذا المعيار في الفقه الإسلامي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تعتبر الشريعة الإسلامية أوسع مجالا في محاربة التعسف ودورها كان أكثر تفعيلا فقد مكنت لفكرة سوء استعمال الحق وأعطتها أوسع تصوير ممكن وصلت إليه الشرائع الحديثة ، ولقد وردت في الفقه الإسلامي تطبيقات متعددة لهذا المعيار نذكر منها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b/>
          <w:bCs/>
          <w:sz w:val="32"/>
          <w:szCs w:val="32"/>
          <w:u w:val="single"/>
          <w:rtl/>
        </w:rPr>
        <w:t>الحالة الأولى</w:t>
      </w:r>
      <w:r w:rsidRPr="003D2197">
        <w:rPr>
          <w:rFonts w:ascii="Traditional Arabic" w:hAnsi="Traditional Arabic" w:cs="Traditional Arabic"/>
          <w:sz w:val="32"/>
          <w:szCs w:val="32"/>
          <w:rtl/>
        </w:rPr>
        <w:t xml:space="preserve"> : إذا كانت مصلحة الغير هي الراجحة ، ومن ذلك قضاء الرسول صلى الله عليه وسلم على سمرة بن جندب بقلع نخله دفعا للضرر عن الأنصاري حينما أصر سمرة على الدخول إلى نخله في بيت الأنصاري ورفض البيع والهبة وذلك لأن السمرة وإن كان صاحب حق ومصلحة في دخوله إلى نخله إلى أن الضرر الذي يصيب الأنصاري وأهله بسبب هذا الدخول يفوق بكثير المصلحة التي يجنيها سمرة من ذلك ومن هنا قضى عليه الصلاة والسلام بقلع نخلة سمرة، وإن كان في ذلك ضررا به وذلك دفعا للضرر الأشد بالضرر الأخف.</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وفي هذا يقول بن القيم معلقا على قضاء الرسول صلى الله عليه وسلم " وإن كان عليه – أي صاحب الحق في ذلك " أي في القضاء عليه بالقلع – ضرر يسير فضرر صاحب الأرض ببقائها – أي الشجرة في بستانها –أعظم، فإن شارع الحكيم يدفع أعظم الضررين بأيسرهما فهذا هو لفقه والقياس والمصلحة </w:t>
      </w:r>
      <w:r w:rsidRPr="003D2197">
        <w:rPr>
          <w:rStyle w:val="a6"/>
          <w:rFonts w:ascii="Traditional Arabic" w:hAnsi="Traditional Arabic" w:cs="Traditional Arabic"/>
          <w:sz w:val="32"/>
          <w:szCs w:val="32"/>
          <w:rtl/>
        </w:rPr>
        <w:footnoteReference w:id="22"/>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وخلاصة القول أن الحديث تطبيق عملي من الرسول صلى الله عليه وسلم لنظرية التعسف وما يؤكد قاعدة "درء المفاسد مقدم على جلب المنافع" قوله تعالى (يسألونك عن الخمر والميسر قل فيهما إثم كبير ومنافع للناس وإثمهما أكبر من نفعهما )</w:t>
      </w:r>
      <w:r w:rsidRPr="003D2197">
        <w:rPr>
          <w:rStyle w:val="a6"/>
          <w:rFonts w:ascii="Traditional Arabic" w:hAnsi="Traditional Arabic" w:cs="Traditional Arabic"/>
          <w:sz w:val="32"/>
          <w:szCs w:val="32"/>
          <w:rtl/>
        </w:rPr>
        <w:footnoteReference w:id="23"/>
      </w:r>
      <w:r w:rsidRPr="003D2197">
        <w:rPr>
          <w:rFonts w:ascii="Traditional Arabic" w:hAnsi="Traditional Arabic" w:cs="Traditional Arabic"/>
          <w:sz w:val="32"/>
          <w:szCs w:val="32"/>
          <w:rtl/>
        </w:rPr>
        <w:t>.فحرمها سبحانه وتعالى لأن مفسدتهما أكبر من منفعتها، مثال ذلك أن لصاحب الملك أن يتصرف في ملكه كيف يشاء غير أن هذا الحق مشروط بعدم إضراره بغيره ضررا بينا ، فالمالك يفعل ما بدا له مطلقا لأنه متصرف في خالص ملكه . لكن ذلك مرهون بألا يتعدى ضرر ما يفعله إلى غيره ويصيبه بضرر فاحش.</w:t>
      </w:r>
      <w:r w:rsidRPr="003D2197">
        <w:rPr>
          <w:rStyle w:val="a6"/>
          <w:rFonts w:ascii="Traditional Arabic" w:hAnsi="Traditional Arabic" w:cs="Traditional Arabic"/>
          <w:sz w:val="32"/>
          <w:szCs w:val="32"/>
          <w:rtl/>
        </w:rPr>
        <w:footnoteReference w:id="24"/>
      </w:r>
    </w:p>
    <w:p w:rsidR="000F5149" w:rsidRPr="003D2197" w:rsidRDefault="000F5149" w:rsidP="000F5149">
      <w:pPr>
        <w:rPr>
          <w:rFonts w:ascii="Traditional Arabic" w:hAnsi="Traditional Arabic" w:cs="Traditional Arabic"/>
          <w:sz w:val="32"/>
          <w:szCs w:val="32"/>
          <w:rtl/>
        </w:rPr>
      </w:pPr>
    </w:p>
    <w:p w:rsidR="000F5149" w:rsidRPr="003D2197" w:rsidRDefault="000F5149" w:rsidP="000F5149">
      <w:pPr>
        <w:rPr>
          <w:rFonts w:ascii="Traditional Arabic" w:hAnsi="Traditional Arabic" w:cs="Traditional Arabic"/>
          <w:sz w:val="32"/>
          <w:szCs w:val="32"/>
          <w:rtl/>
        </w:rPr>
      </w:pPr>
    </w:p>
    <w:p w:rsidR="000F5149" w:rsidRPr="003D2197" w:rsidRDefault="000F5149" w:rsidP="000F5149">
      <w:pPr>
        <w:rPr>
          <w:rFonts w:ascii="Traditional Arabic" w:hAnsi="Traditional Arabic" w:cs="Traditional Arabic"/>
          <w:sz w:val="32"/>
          <w:szCs w:val="32"/>
          <w:rtl/>
        </w:rPr>
      </w:pPr>
    </w:p>
    <w:p w:rsidR="000F5149" w:rsidRPr="003D2197" w:rsidRDefault="000F5149" w:rsidP="000F5149">
      <w:pPr>
        <w:rPr>
          <w:rFonts w:ascii="Traditional Arabic" w:hAnsi="Traditional Arabic" w:cs="Traditional Arabic"/>
          <w:sz w:val="32"/>
          <w:szCs w:val="32"/>
        </w:rPr>
      </w:pPr>
      <w:r w:rsidRPr="003D2197">
        <w:rPr>
          <w:rFonts w:ascii="Traditional Arabic" w:hAnsi="Traditional Arabic" w:cs="Traditional Arabic"/>
          <w:b/>
          <w:bCs/>
          <w:sz w:val="32"/>
          <w:szCs w:val="32"/>
          <w:u w:val="single"/>
          <w:rtl/>
        </w:rPr>
        <w:lastRenderedPageBreak/>
        <w:t xml:space="preserve">الحالة الثانية : </w:t>
      </w:r>
      <w:r w:rsidRPr="003D2197">
        <w:rPr>
          <w:rFonts w:ascii="Traditional Arabic" w:hAnsi="Traditional Arabic" w:cs="Traditional Arabic"/>
          <w:sz w:val="32"/>
          <w:szCs w:val="32"/>
          <w:rtl/>
        </w:rPr>
        <w:t xml:space="preserve">إذا تعارضت المصلحة الخاصة مع المصلحة العامة ومثال ذلك, عن أبي سعيد الخدري قال, قال صلى الله عليه وسلم:" إن قوما ركبوا سفينة فاقتسموا. فصار لكل رجل منهم موضع ، فنقر رجل موضعه بفأس فقالوا له : ما تصنع ؟ قال هو مكاني أصنع به ما شئت، فإن أخذوه على يده نجا ونجوا وإن تركوه هلك وهلكوا" </w:t>
      </w:r>
      <w:r w:rsidRPr="003D2197">
        <w:rPr>
          <w:rStyle w:val="a6"/>
          <w:rFonts w:ascii="Traditional Arabic" w:hAnsi="Traditional Arabic" w:cs="Traditional Arabic"/>
          <w:sz w:val="32"/>
          <w:szCs w:val="32"/>
        </w:rPr>
        <w:footnoteReference w:id="25"/>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وهنا بين الرسول صلى الله عليه وسلم أن الشخص وإن كان صاحب حق وهو في مكانه ، إلا أنه أساء في استعمال حقه في تخريب موضعه ، ولكنه نسي أن خراب موضعه هو خراب للجميع، وحتى تتعارض حرية الفرد مع مصلحة الجماعة ينبغي أن نحد منها ونكبح جماحها.</w:t>
      </w:r>
      <w:r w:rsidRPr="003D2197">
        <w:rPr>
          <w:rStyle w:val="a6"/>
          <w:rFonts w:ascii="Traditional Arabic" w:hAnsi="Traditional Arabic" w:cs="Traditional Arabic"/>
          <w:sz w:val="32"/>
          <w:szCs w:val="32"/>
          <w:rtl/>
        </w:rPr>
        <w:footnoteReference w:id="26"/>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ومن تطبيقات هذا المعيار أيضا ما نص عليه الفقهاء من منع الاحتكار وتلقي الجلب لأن المصالح الخاصة التي يحققها الاحتكار وتلقي الجلب لا يتناسب مطلقا –مهما عظمت- مع الأضرار  التي تحيط بالعامة من جراء ذلك </w:t>
      </w:r>
      <w:r w:rsidRPr="003D2197">
        <w:rPr>
          <w:rStyle w:val="a6"/>
          <w:rFonts w:ascii="Traditional Arabic" w:hAnsi="Traditional Arabic" w:cs="Traditional Arabic"/>
          <w:sz w:val="32"/>
          <w:szCs w:val="32"/>
          <w:rtl/>
        </w:rPr>
        <w:footnoteReference w:id="27"/>
      </w:r>
      <w:r w:rsidRPr="003D2197">
        <w:rPr>
          <w:rFonts w:ascii="Traditional Arabic" w:hAnsi="Traditional Arabic" w:cs="Traditional Arabic"/>
          <w:sz w:val="32"/>
          <w:szCs w:val="32"/>
          <w:rtl/>
        </w:rPr>
        <w:t xml:space="preserve"> ، وفيه قال عليه الصلاة والسلام " من احتكر فهو خاطئ" </w:t>
      </w:r>
      <w:r w:rsidRPr="003D2197">
        <w:rPr>
          <w:rStyle w:val="a6"/>
          <w:rFonts w:ascii="Traditional Arabic" w:hAnsi="Traditional Arabic" w:cs="Traditional Arabic"/>
          <w:sz w:val="32"/>
          <w:szCs w:val="32"/>
          <w:rtl/>
        </w:rPr>
        <w:footnoteReference w:id="28"/>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ويقول علماء المذهب الشافعي أن حكمة تحريم الاحتكار هي : (دفع الضرر عن عامة الناس ، كما أجمع العلماء على أنه لو كان عند إنسان طعام واضطر الناس إليه ولم يجدوا غيره أجبر على بيعه دفعا للضرر عن الناس ,ويقول ابن القيم في الاحتكار " ان المحتكر هو الذي يعمد إلى شراء ما يحتاج إليه الناس من الطعام فيحبسه عنهم ويريد اغلاءه عليهم و ظالم لعموم الناس ولهذا كان لولي الأمر أن يكره المحتكرين على بيع ما عندهم بقيمة المثل عند ضرورة الناس إليه والناس في مخمصة أو سلاح لا يحتاج إليه والناس يحتاجون إليه للجهاد أو غير ذلك فان من اضطر الى طعام غيره أخذه منه بغير اختياره بقيمة المثل ولو امتنع من بيعه إلا بأكثر من سعره فأخذه منه بما طلب لم توجب عليه إلا قيمة مثله</w:t>
      </w:r>
      <w:r w:rsidRPr="003D2197">
        <w:rPr>
          <w:rStyle w:val="a6"/>
          <w:rFonts w:ascii="Traditional Arabic" w:hAnsi="Traditional Arabic" w:cs="Traditional Arabic"/>
          <w:sz w:val="32"/>
          <w:szCs w:val="32"/>
          <w:rtl/>
        </w:rPr>
        <w:footnoteReference w:id="29"/>
      </w:r>
      <w:r w:rsidRPr="003D2197">
        <w:rPr>
          <w:rFonts w:ascii="Traditional Arabic" w:hAnsi="Traditional Arabic" w:cs="Traditional Arabic"/>
          <w:sz w:val="32"/>
          <w:szCs w:val="32"/>
          <w:rtl/>
        </w:rPr>
        <w:t>.</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ومن ذلك لولي الأمر منع الناس من زراعة المخدرات وزراعة أشياء لا تحتاج إليها الأمة أو تحتاج لغيرها وضابط منع هذه التصرفات هو الإخلال بالمصلحة العامة وذلك لأن الفقه الإسلامي يبني نظرية التعسف على مبدأ التوازن بين المصالح الخاصة والعامة وعند تعارض ترجح المصلحة العامة </w:t>
      </w:r>
      <w:r w:rsidRPr="003D2197">
        <w:rPr>
          <w:rStyle w:val="a6"/>
          <w:rFonts w:ascii="Traditional Arabic" w:hAnsi="Traditional Arabic" w:cs="Traditional Arabic"/>
          <w:sz w:val="32"/>
          <w:szCs w:val="32"/>
          <w:rtl/>
        </w:rPr>
        <w:footnoteReference w:id="30"/>
      </w:r>
    </w:p>
    <w:p w:rsidR="000F5149" w:rsidRPr="003D2197" w:rsidRDefault="000F5149" w:rsidP="000F5149">
      <w:pPr>
        <w:rPr>
          <w:rFonts w:ascii="Traditional Arabic" w:hAnsi="Traditional Arabic" w:cs="Traditional Arabic"/>
          <w:b/>
          <w:bCs/>
          <w:sz w:val="32"/>
          <w:szCs w:val="32"/>
          <w:rtl/>
        </w:rPr>
      </w:pPr>
    </w:p>
    <w:p w:rsidR="000F5149" w:rsidRPr="003D2197" w:rsidRDefault="000F5149" w:rsidP="000F5149">
      <w:pPr>
        <w:rPr>
          <w:rFonts w:ascii="Traditional Arabic" w:hAnsi="Traditional Arabic" w:cs="Traditional Arabic"/>
          <w:b/>
          <w:bCs/>
          <w:sz w:val="32"/>
          <w:szCs w:val="32"/>
          <w:rtl/>
        </w:rPr>
      </w:pPr>
    </w:p>
    <w:p w:rsidR="000F5149" w:rsidRPr="003D2197" w:rsidRDefault="000F5149" w:rsidP="000F5149">
      <w:pPr>
        <w:rPr>
          <w:rFonts w:ascii="Traditional Arabic" w:hAnsi="Traditional Arabic" w:cs="Traditional Arabic"/>
          <w:b/>
          <w:bCs/>
          <w:sz w:val="32"/>
          <w:szCs w:val="32"/>
          <w:rtl/>
        </w:rPr>
      </w:pPr>
    </w:p>
    <w:p w:rsidR="000F5149" w:rsidRPr="003D2197" w:rsidRDefault="000F5149" w:rsidP="000F5149">
      <w:pPr>
        <w:rPr>
          <w:rFonts w:ascii="Traditional Arabic" w:hAnsi="Traditional Arabic" w:cs="Traditional Arabic"/>
          <w:b/>
          <w:bCs/>
          <w:sz w:val="32"/>
          <w:szCs w:val="32"/>
          <w:rtl/>
        </w:rPr>
      </w:pPr>
    </w:p>
    <w:p w:rsidR="000F5149" w:rsidRPr="003D2197" w:rsidRDefault="000F5149" w:rsidP="000F5149">
      <w:pPr>
        <w:rPr>
          <w:rFonts w:ascii="Traditional Arabic" w:hAnsi="Traditional Arabic" w:cs="Traditional Arabic"/>
          <w:b/>
          <w:bCs/>
          <w:sz w:val="32"/>
          <w:szCs w:val="32"/>
          <w:rtl/>
        </w:rPr>
      </w:pPr>
    </w:p>
    <w:p w:rsidR="000F5149" w:rsidRPr="003D2197" w:rsidRDefault="000F5149" w:rsidP="000F5149">
      <w:pPr>
        <w:rPr>
          <w:rFonts w:ascii="Traditional Arabic" w:hAnsi="Traditional Arabic" w:cs="Traditional Arabic"/>
          <w:b/>
          <w:bCs/>
          <w:sz w:val="32"/>
          <w:szCs w:val="32"/>
          <w:rtl/>
        </w:rPr>
      </w:pPr>
      <w:r w:rsidRPr="003D2197">
        <w:rPr>
          <w:rFonts w:ascii="Traditional Arabic" w:hAnsi="Traditional Arabic" w:cs="Traditional Arabic"/>
          <w:b/>
          <w:bCs/>
          <w:sz w:val="32"/>
          <w:szCs w:val="32"/>
          <w:u w:val="single"/>
          <w:rtl/>
        </w:rPr>
        <w:lastRenderedPageBreak/>
        <w:t>المطلب الثالث</w:t>
      </w:r>
      <w:r w:rsidRPr="003D2197">
        <w:rPr>
          <w:rFonts w:ascii="Traditional Arabic" w:hAnsi="Traditional Arabic" w:cs="Traditional Arabic"/>
          <w:b/>
          <w:bCs/>
          <w:sz w:val="32"/>
          <w:szCs w:val="32"/>
          <w:rtl/>
        </w:rPr>
        <w:t xml:space="preserve"> : تطبيقات هذا المعيار  في القانون المدني الجزائري</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لقد أورد المشرع الجزائري في القانون المدني عدة تطبيقات المتعلقة بهذا المعيار كغيره من القوانين ومن أهم التطبيقات التي وردت في القانون المدني الجزائري ما يلي:</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جاء في نص المادة 708/ 2 من القانون المدني الجزائري  "غير أنه ليس لمالك الحائط أن يهدمه مختارا دون عذر قانوني إن كان هذا يضر الجار ويستتر ملكه بالحائط" فالجار ضرره كبير من تهدم الحائط وصاحب الحائط مصلحته قليلة من هدم الحائط إلا إذا كان هناك عذر قانوني أو شرعي.</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ومثال ذلك من يغرس شجرا بهدف توفير الرطوبة في مسكنه وفي نفس الوقت يحجب النور عن جاره إذ بالمقارنة بين المصلحة والضرر نجد أنهما لا يتناسبان ، إذ أن الضرر أكبر بالمقارنة مع مصلحة توفير الرطوبة التي تعتبر زهيدة.</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وجاء في المادة 788 من القانون المدني الجزائري " إذا كان مالك الأرض وهو يقيم بناء بها قد تعدى بحسن نية على جزء من الأرض الملاصقة وهي ملك للجار – جاز للمحكمة إذا رأت محلا لذلك أن تجبر صاحب الأرض الملاصقة على أن يتنازل لجاره عن ملكية الجزء المشغول بالبناء مقابل تعويض عادل "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من خلال هذا النص نلاحظ أن هذا التجاوز تم بخطأ وبحس نية ، وأن هذا التجاوز تم على جزء صغير </w:t>
      </w:r>
      <w:r w:rsidRPr="003D2197">
        <w:rPr>
          <w:rStyle w:val="a6"/>
          <w:rFonts w:ascii="Traditional Arabic" w:hAnsi="Traditional Arabic" w:cs="Traditional Arabic"/>
          <w:sz w:val="32"/>
          <w:szCs w:val="32"/>
          <w:rtl/>
        </w:rPr>
        <w:footnoteReference w:id="31"/>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والحكم على ذلك يقضي بتمليك الباني الجزء المتعدى عليه مقابل تعويض عادل ، أما إذا كان الضرر الذي يلحق بالمالك الأصلي أكبر فإن الضرر يزال وهذا ما يقضي به الفقه الإسلامي في قاعدة "الأخذ بمبدأ أحق الضررين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أما إذا كان سيء النية فقد حق لجاره أن يطالب بإزالة الجزء من البناء الشاغل لجزء من أرضه ، ولا يكون الجار في مثل هذه الحال متعسف على الرغم من جسامة الضرر وذلك لأمرين هما : </w:t>
      </w:r>
    </w:p>
    <w:p w:rsidR="000F5149" w:rsidRPr="003D2197" w:rsidRDefault="000F5149" w:rsidP="000F5149">
      <w:pPr>
        <w:pStyle w:val="a7"/>
        <w:numPr>
          <w:ilvl w:val="0"/>
          <w:numId w:val="6"/>
        </w:numPr>
        <w:spacing w:after="200" w:line="276" w:lineRule="auto"/>
        <w:rPr>
          <w:rFonts w:ascii="Traditional Arabic" w:hAnsi="Traditional Arabic" w:cs="Traditional Arabic"/>
          <w:sz w:val="32"/>
          <w:szCs w:val="32"/>
          <w:rtl/>
        </w:rPr>
      </w:pPr>
      <w:r w:rsidRPr="003D2197">
        <w:rPr>
          <w:rFonts w:ascii="Traditional Arabic" w:hAnsi="Traditional Arabic" w:cs="Traditional Arabic"/>
          <w:sz w:val="32"/>
          <w:szCs w:val="32"/>
          <w:rtl/>
        </w:rPr>
        <w:t>لسوء نيته التي تفتح باب الانتصاب</w:t>
      </w:r>
    </w:p>
    <w:p w:rsidR="000F5149" w:rsidRPr="003D2197" w:rsidRDefault="000F5149" w:rsidP="000F5149">
      <w:pPr>
        <w:pStyle w:val="a7"/>
        <w:numPr>
          <w:ilvl w:val="0"/>
          <w:numId w:val="6"/>
        </w:numPr>
        <w:spacing w:after="200" w:line="276" w:lineRule="auto"/>
        <w:rPr>
          <w:rFonts w:ascii="Traditional Arabic" w:hAnsi="Traditional Arabic" w:cs="Traditional Arabic"/>
          <w:sz w:val="32"/>
          <w:szCs w:val="32"/>
        </w:rPr>
      </w:pPr>
      <w:r w:rsidRPr="003D2197">
        <w:rPr>
          <w:rFonts w:ascii="Traditional Arabic" w:hAnsi="Traditional Arabic" w:cs="Traditional Arabic"/>
          <w:sz w:val="32"/>
          <w:szCs w:val="32"/>
          <w:rtl/>
        </w:rPr>
        <w:t xml:space="preserve">للضرر العام وهذا من باب سياسة التشريع التي تسد باب اغتصاب الأراضي </w:t>
      </w:r>
      <w:r w:rsidRPr="003D2197">
        <w:rPr>
          <w:rStyle w:val="a6"/>
          <w:rFonts w:ascii="Traditional Arabic" w:hAnsi="Traditional Arabic" w:cs="Traditional Arabic"/>
          <w:sz w:val="32"/>
          <w:szCs w:val="32"/>
        </w:rPr>
        <w:footnoteReference w:id="32"/>
      </w:r>
    </w:p>
    <w:p w:rsidR="000F5149" w:rsidRPr="003D2197" w:rsidRDefault="000F5149" w:rsidP="000F5149">
      <w:pPr>
        <w:rPr>
          <w:rFonts w:ascii="Traditional Arabic" w:hAnsi="Traditional Arabic" w:cs="Traditional Arabic"/>
          <w:sz w:val="32"/>
          <w:szCs w:val="32"/>
        </w:rPr>
      </w:pPr>
      <w:r w:rsidRPr="003D2197">
        <w:rPr>
          <w:rFonts w:ascii="Traditional Arabic" w:hAnsi="Traditional Arabic" w:cs="Traditional Arabic"/>
          <w:sz w:val="32"/>
          <w:szCs w:val="32"/>
          <w:rtl/>
        </w:rPr>
        <w:t xml:space="preserve">     ومن التطبيقات كذلك ما جاء في نص المادة 881 من القانون المدني الجزائري " يجوز لمالك العقار المرتفق به أن يتحرر من الارتفاق كله أو بعضه إذا فقد الارتفاق كل منفعة للعقار المرتفق أو إذا لم يبق له سوى فائدة محدودة لا تتناسب مع الأعباء الواقعة على العقار المرتفق به .</w:t>
      </w:r>
      <w:r w:rsidRPr="003D2197">
        <w:rPr>
          <w:rStyle w:val="a6"/>
          <w:rFonts w:ascii="Traditional Arabic" w:hAnsi="Traditional Arabic" w:cs="Traditional Arabic"/>
          <w:sz w:val="32"/>
          <w:szCs w:val="32"/>
        </w:rPr>
        <w:footnoteReference w:id="33"/>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فهنا يكون استعمال المالك لحق الارتفاق لا نفع له منه أو ذا نفع محدود الأهمية لا تتناسب البتة مع أعباء حق الارتفاق الواقعة على الجار ويكون إصرار المالك على استعمال حق الارتفاق بالرغم من ذلك تعسفا منه في استعمال هذا</w:t>
      </w:r>
      <w:r w:rsidRPr="003D2197">
        <w:rPr>
          <w:rStyle w:val="a6"/>
          <w:rFonts w:ascii="Traditional Arabic" w:hAnsi="Traditional Arabic" w:cs="Traditional Arabic"/>
          <w:color w:val="FFFFFF" w:themeColor="background1"/>
          <w:sz w:val="32"/>
          <w:szCs w:val="32"/>
          <w:rtl/>
        </w:rPr>
        <w:footnoteReference w:id="34"/>
      </w:r>
      <w:r w:rsidRPr="003D2197">
        <w:rPr>
          <w:rFonts w:ascii="Traditional Arabic" w:hAnsi="Traditional Arabic" w:cs="Traditional Arabic"/>
          <w:sz w:val="32"/>
          <w:szCs w:val="32"/>
          <w:rtl/>
        </w:rPr>
        <w:t xml:space="preserve"> </w:t>
      </w:r>
      <w:r w:rsidRPr="003D2197">
        <w:rPr>
          <w:rFonts w:ascii="Traditional Arabic" w:hAnsi="Traditional Arabic" w:cs="Traditional Arabic"/>
          <w:sz w:val="32"/>
          <w:szCs w:val="32"/>
          <w:rtl/>
        </w:rPr>
        <w:lastRenderedPageBreak/>
        <w:t xml:space="preserve">الحق ( واستعمال حق الارتفاق ضرب من استعمال حق الملكية ) ومن ثم القانون على جواز أن يطلب الجار التحرر من حق الارتفاق </w:t>
      </w:r>
      <w:r w:rsidRPr="003D2197">
        <w:rPr>
          <w:rStyle w:val="a6"/>
          <w:rFonts w:ascii="Traditional Arabic" w:hAnsi="Traditional Arabic" w:cs="Traditional Arabic"/>
          <w:sz w:val="32"/>
          <w:szCs w:val="32"/>
          <w:rtl/>
        </w:rPr>
        <w:footnoteReference w:id="35"/>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ومن تطبيقات كذلك أن يلجأ الدائن إلى حجز أموال لمدينه ذات قيمة عالية تفوق كثيرا مبلغ الدين الذي له بذمته يكون متعسفا في استعماله لحقه</w:t>
      </w:r>
      <w:r w:rsidRPr="003D2197">
        <w:rPr>
          <w:rStyle w:val="a6"/>
          <w:rFonts w:ascii="Traditional Arabic" w:hAnsi="Traditional Arabic" w:cs="Traditional Arabic"/>
          <w:sz w:val="32"/>
          <w:szCs w:val="32"/>
          <w:rtl/>
        </w:rPr>
        <w:footnoteReference w:id="36"/>
      </w:r>
      <w:r w:rsidRPr="003D2197">
        <w:rPr>
          <w:rFonts w:ascii="Traditional Arabic" w:hAnsi="Traditional Arabic" w:cs="Traditional Arabic"/>
          <w:sz w:val="32"/>
          <w:szCs w:val="32"/>
          <w:rtl/>
        </w:rPr>
        <w:t>.</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نزع الملكية الخاصة إذا احتاجت إليها المصلحة العامة كتوسيع الطرق وبناء المساجد والمدارس والمستشفيات والمصانع وكل ما كان نفعه عاما للعباد – فالمصلحة الخاصة- مهما عظم خطرها في كل ما سبق لا تتناسب البتة مع الأضرار التي تلحق بالعامة ، ولذلك كان من المقرر شرعا ، -كما سبق- أنه إذا تعارضت المصلحة الخاصة مع المصلحة العامة قدمت المصلحة العامة بكل حال والضرر الخاص يتحمل لأجل دفع الضرر العام </w:t>
      </w:r>
      <w:r w:rsidRPr="003D2197">
        <w:rPr>
          <w:rStyle w:val="a6"/>
          <w:rFonts w:ascii="Traditional Arabic" w:hAnsi="Traditional Arabic" w:cs="Traditional Arabic"/>
          <w:sz w:val="32"/>
          <w:szCs w:val="32"/>
          <w:rtl/>
        </w:rPr>
        <w:footnoteReference w:id="37"/>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ومن الأمثلة كذلك منع تجار السلاح من بيه أيام الفتن الداخلية أو الحروب الأهلية ، لما في ذلك من إشعال نارها ، وإن لحق التجار ضرر من جراء هذا المنع ولكنه اتقاء لضرر أشد وهو ضرر الفتنة العامة، ومن التطبيقات التي تنطبق تحت هذا المعيار ما تتخذه الدولة من تشريعات تفرض بمقتضاها التسعير الجبري العادل للسلع والمنافع مما يحفظ الحقين ، والتوازن بينهما :</w:t>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حق المالك أو التاجر ، وحق العامة أو المجتمع دون وكس أو بخس أو شطط أو مغالاة منعا للتغالي في الأسعار وأساس ذلك رعاية الصالح العام وتقديمه على الخاص أو التنسيق لبينهما ما أمكن </w:t>
      </w:r>
      <w:r w:rsidRPr="003D2197">
        <w:rPr>
          <w:rStyle w:val="a6"/>
          <w:rFonts w:ascii="Traditional Arabic" w:hAnsi="Traditional Arabic" w:cs="Traditional Arabic"/>
          <w:sz w:val="32"/>
          <w:szCs w:val="32"/>
          <w:rtl/>
        </w:rPr>
        <w:footnoteReference w:id="38"/>
      </w:r>
    </w:p>
    <w:p w:rsidR="000F5149" w:rsidRPr="003D2197" w:rsidRDefault="000F5149" w:rsidP="000F5149">
      <w:pPr>
        <w:rPr>
          <w:rFonts w:ascii="Traditional Arabic" w:hAnsi="Traditional Arabic" w:cs="Traditional Arabic"/>
          <w:sz w:val="32"/>
          <w:szCs w:val="32"/>
          <w:rtl/>
        </w:rPr>
      </w:pPr>
      <w:r w:rsidRPr="003D2197">
        <w:rPr>
          <w:rFonts w:ascii="Traditional Arabic" w:hAnsi="Traditional Arabic" w:cs="Traditional Arabic"/>
          <w:sz w:val="32"/>
          <w:szCs w:val="32"/>
          <w:rtl/>
        </w:rPr>
        <w:t xml:space="preserve">     ومن التطبيقات الواردة في القانون المدني الجزائري حين ذكر على انه اذا كان في تنفيذ العيني إرهاق للمدين جاز للمحكمة بناء على طلب المدين ان تقصر حق الدائن على اقتضاء عوض نقدي إذا كان ذلك لا يلحق به ضررا جسيما , فإصرار الدائن على التنفيذ العيني الذي يلحق المدين إرهاق مع عدم تضرره هو ( أي الدائن) ضررا جسيما اذا ملجأ للتعويض لاستفاء دينه بدلا من التنفيذ العيني وإصراره هذا يعد تعسفا في استعمال حقه في اللجوء أي القضاء وتنفيذ على أموال المدين لاستفاء حقه </w:t>
      </w:r>
      <w:r w:rsidRPr="003D2197">
        <w:rPr>
          <w:rStyle w:val="a6"/>
          <w:rFonts w:ascii="Traditional Arabic" w:hAnsi="Traditional Arabic" w:cs="Traditional Arabic"/>
          <w:sz w:val="32"/>
          <w:szCs w:val="32"/>
          <w:rtl/>
        </w:rPr>
        <w:footnoteReference w:id="39"/>
      </w:r>
    </w:p>
    <w:p w:rsidR="000F5149" w:rsidRPr="003D2197" w:rsidRDefault="000F5149" w:rsidP="000F5149">
      <w:pPr>
        <w:rPr>
          <w:rFonts w:ascii="Traditional Arabic" w:hAnsi="Traditional Arabic" w:cs="Traditional Arabic"/>
          <w:sz w:val="32"/>
          <w:szCs w:val="32"/>
          <w:rtl/>
          <w:lang w:bidi="ar-DZ"/>
        </w:rPr>
      </w:pPr>
    </w:p>
    <w:p w:rsidR="000F5149" w:rsidRPr="003D2197" w:rsidRDefault="000F5149" w:rsidP="000F5149">
      <w:pPr>
        <w:pStyle w:val="a7"/>
        <w:rPr>
          <w:rFonts w:ascii="Traditional Arabic" w:hAnsi="Traditional Arabic" w:cs="Traditional Arabic"/>
          <w:sz w:val="32"/>
          <w:szCs w:val="32"/>
        </w:rPr>
      </w:pPr>
    </w:p>
    <w:p w:rsidR="000F5149" w:rsidRPr="003D2197" w:rsidRDefault="000F5149" w:rsidP="000F5149">
      <w:pPr>
        <w:rPr>
          <w:rFonts w:ascii="Traditional Arabic" w:hAnsi="Traditional Arabic" w:cs="Traditional Arabic"/>
          <w:sz w:val="32"/>
          <w:szCs w:val="32"/>
        </w:rPr>
      </w:pPr>
    </w:p>
    <w:p w:rsidR="000F5149" w:rsidRDefault="000F5149" w:rsidP="005E03B5">
      <w:pPr>
        <w:tabs>
          <w:tab w:val="right" w:pos="142"/>
          <w:tab w:val="right" w:pos="540"/>
        </w:tabs>
        <w:contextualSpacing/>
        <w:jc w:val="lowKashida"/>
        <w:rPr>
          <w:rFonts w:ascii="Traditional Arabic" w:hAnsi="Traditional Arabic" w:cs="Traditional Arabic" w:hint="cs"/>
          <w:sz w:val="32"/>
          <w:szCs w:val="32"/>
          <w:rtl/>
          <w:lang w:bidi="ar-DZ"/>
        </w:rPr>
      </w:pPr>
    </w:p>
    <w:p w:rsidR="00C2014A" w:rsidRPr="00586F15" w:rsidRDefault="00C2014A" w:rsidP="00C2014A">
      <w:pPr>
        <w:tabs>
          <w:tab w:val="left" w:pos="2295"/>
          <w:tab w:val="right" w:pos="9072"/>
        </w:tabs>
        <w:rPr>
          <w:rFonts w:ascii="Traditional Arabic" w:hAnsi="Traditional Arabic" w:cs="Traditional Arabic"/>
          <w:b/>
          <w:bCs/>
          <w:sz w:val="32"/>
          <w:szCs w:val="32"/>
          <w:u w:val="single"/>
          <w:rtl/>
        </w:rPr>
      </w:pPr>
      <w:r w:rsidRPr="00586F15">
        <w:rPr>
          <w:rFonts w:ascii="Traditional Arabic" w:hAnsi="Traditional Arabic" w:cs="Traditional Arabic"/>
          <w:b/>
          <w:bCs/>
          <w:sz w:val="32"/>
          <w:szCs w:val="32"/>
          <w:u w:val="single"/>
          <w:rtl/>
        </w:rPr>
        <w:lastRenderedPageBreak/>
        <w:t>المبحث الثالث: الحصول على فائدة غير مشروعة</w:t>
      </w:r>
    </w:p>
    <w:p w:rsidR="00C2014A" w:rsidRPr="008B5672" w:rsidRDefault="00C2014A" w:rsidP="00C2014A">
      <w:pPr>
        <w:rPr>
          <w:rFonts w:ascii="Traditional Arabic" w:hAnsi="Traditional Arabic" w:cs="Traditional Arabic"/>
          <w:b/>
          <w:bCs/>
          <w:sz w:val="32"/>
          <w:szCs w:val="32"/>
        </w:rPr>
      </w:pPr>
      <w:r w:rsidRPr="008B5672">
        <w:rPr>
          <w:rFonts w:ascii="Traditional Arabic" w:hAnsi="Traditional Arabic" w:cs="Traditional Arabic"/>
          <w:b/>
          <w:bCs/>
          <w:sz w:val="32"/>
          <w:szCs w:val="32"/>
          <w:rtl/>
        </w:rPr>
        <w:t xml:space="preserve">المطلب الأول : المقصود بالحصول على فائدة غير مشروعة </w:t>
      </w:r>
    </w:p>
    <w:p w:rsidR="00C2014A" w:rsidRPr="008B5672" w:rsidRDefault="00C2014A" w:rsidP="00C2014A">
      <w:pPr>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ومقتضى هذا المعيار أنَّه لا يكفي أن تكون المصلحة التي ينشدها صاحب الحق من وراء استعماله للحق هذا ،بل يجب أن تكون هذه المصلحة مشروعة أيضا،ً لأن الحقوق إنما شرعت لتحقيق غايات نبيلة، ومصالح عامة،أو خاصة، ولم تشرع عبثا ،ً أو لمجرد التلهي بها،أو لقصد الإفساد وإلحاق الأذى بالغير،فينبغي أن يستعمل الحق في الغايات المشروعة التي منح الحق من أجلها،ولا يجوز</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أن يستعمل الحق في ما لم يشرع ذلك الحق من أجله</w:t>
      </w:r>
      <w:r>
        <w:rPr>
          <w:rFonts w:ascii="Traditional Arabic" w:hAnsi="Traditional Arabic" w:cs="Traditional Arabic" w:hint="cs"/>
          <w:sz w:val="32"/>
          <w:szCs w:val="32"/>
          <w:rtl/>
          <w:lang w:bidi="ar-DZ"/>
        </w:rPr>
        <w:t xml:space="preserve"> </w:t>
      </w:r>
      <w:r>
        <w:rPr>
          <w:rStyle w:val="a6"/>
          <w:rFonts w:ascii="Traditional Arabic" w:hAnsi="Traditional Arabic" w:cs="Traditional Arabic"/>
          <w:sz w:val="32"/>
          <w:szCs w:val="32"/>
          <w:rtl/>
          <w:lang w:bidi="ar-DZ"/>
        </w:rPr>
        <w:footnoteReference w:id="40"/>
      </w:r>
      <w:r>
        <w:rPr>
          <w:rFonts w:ascii="Traditional Arabic" w:hAnsi="Traditional Arabic" w:cs="Traditional Arabic" w:hint="cs"/>
          <w:sz w:val="32"/>
          <w:szCs w:val="32"/>
          <w:rtl/>
          <w:lang w:bidi="ar-DZ"/>
        </w:rPr>
        <w:t xml:space="preserve"> .</w:t>
      </w:r>
    </w:p>
    <w:p w:rsidR="00C2014A" w:rsidRPr="008B5672" w:rsidRDefault="00C2014A" w:rsidP="00C2014A">
      <w:pPr>
        <w:rPr>
          <w:rFonts w:ascii="Traditional Arabic" w:hAnsi="Traditional Arabic" w:cs="Traditional Arabic"/>
          <w:sz w:val="32"/>
          <w:szCs w:val="32"/>
        </w:rPr>
      </w:pPr>
    </w:p>
    <w:p w:rsidR="00C2014A" w:rsidRPr="008B5672" w:rsidRDefault="00C2014A" w:rsidP="00C2014A">
      <w:pPr>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ولم يعتبر أبو زهـرة – رحمه الله تعالى- هذا النوع،حيث اعتبر المنافع غير المشروعة حرامًا في ذاتها،فقال: "وأما الفقرة من المادة (45) من القانون المصري: وهي ما إذا كانت المصالح غير مشروعة ،فإن من يفعل ذلك لا يعد ابتداء قد استعمل حقه،حتى يعتبر قد أساء استعماله ؛لأن المنافع غير المشروعة حرام في ذاتها ، فتكون ممنوعة في الإسلام بأصل عدم المشروعية"</w:t>
      </w:r>
      <w:r>
        <w:rPr>
          <w:rFonts w:ascii="Traditional Arabic" w:hAnsi="Traditional Arabic" w:cs="Traditional Arabic" w:hint="cs"/>
          <w:sz w:val="32"/>
          <w:szCs w:val="32"/>
          <w:rtl/>
        </w:rPr>
        <w:t xml:space="preserve"> </w:t>
      </w:r>
      <w:r>
        <w:rPr>
          <w:rStyle w:val="a6"/>
          <w:rFonts w:ascii="Traditional Arabic" w:hAnsi="Traditional Arabic" w:cs="Traditional Arabic"/>
          <w:sz w:val="32"/>
          <w:szCs w:val="32"/>
          <w:rtl/>
        </w:rPr>
        <w:footnoteReference w:id="41"/>
      </w:r>
      <w:r>
        <w:rPr>
          <w:rFonts w:ascii="Traditional Arabic" w:hAnsi="Traditional Arabic" w:cs="Traditional Arabic" w:hint="cs"/>
          <w:sz w:val="32"/>
          <w:szCs w:val="32"/>
          <w:rtl/>
        </w:rPr>
        <w:t xml:space="preserve"> .</w:t>
      </w:r>
    </w:p>
    <w:p w:rsidR="00C2014A" w:rsidRPr="008B5672" w:rsidRDefault="00C2014A" w:rsidP="00C2014A">
      <w:pPr>
        <w:rPr>
          <w:rFonts w:ascii="Traditional Arabic" w:hAnsi="Traditional Arabic" w:cs="Traditional Arabic"/>
          <w:sz w:val="32"/>
          <w:szCs w:val="32"/>
        </w:rPr>
      </w:pPr>
    </w:p>
    <w:p w:rsidR="00C2014A" w:rsidRPr="008B5672" w:rsidRDefault="00C2014A" w:rsidP="00C2014A">
      <w:pPr>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ولكن قد يكون للتشريعات الوضعية حجتها في النظر القاصر على استعمال الحق دون غاية هو على ربطها بالغاية مرة أخرى،ونظرة أخرى في خطورة اللامشروعية</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فقد تؤثر المصلحة غير المشروعة في التصرف المفضي إليها تأثيرا كبيرا فتضفي عليه حكم البطلان، كمن يهب مالاً لامرأة لإقامة علاقة غير مشروعة .</w:t>
      </w:r>
    </w:p>
    <w:p w:rsidR="00C2014A" w:rsidRDefault="00C2014A" w:rsidP="00C2014A">
      <w:pPr>
        <w:rPr>
          <w:rFonts w:ascii="Traditional Arabic" w:hAnsi="Traditional Arabic" w:cs="Traditional Arabic"/>
          <w:sz w:val="32"/>
          <w:szCs w:val="32"/>
          <w:rtl/>
        </w:rPr>
      </w:pPr>
    </w:p>
    <w:p w:rsidR="00C2014A" w:rsidRPr="008B5672" w:rsidRDefault="00C2014A" w:rsidP="00C2014A">
      <w:pPr>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ومعيار المصلحة غير المشروعة ، وإن كان معياراً مادياً من حيث الظاهر؛إلا أن الدوافع ،أ والبواعث النفسية هي التي توجه الاستعمال إلى تحقيق تلك المصلحة ، وقد قيل إن التلازم قائم بين الدافع النفسي غير المشروع ،والمصلحة غير المشروعة في أكثر الأحوال ؛فكان معياراً مادياً في ظاهره ،شخصياً ذاتياً في باطنه ، وهو ما أشارت إليه المذكرة الإيضاحية للمشروع التمهيدي للقانون المدني المصري بقولها: "وإذا</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كان المعيار- معيار المصلحة غير المشروعة- في هذه الحالة مادياً في ظاهره،إلا أن النية قد تكون العلة الأساسية لنفي صفة المشروعية عن المصلحة". فالنية السيئة ،أو</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نية الإضرار في حد ذاتها تجعل العمل المشروع في ذاته غير مشروع. وهذا في تقديري محل نظر ويمكن الرد على ذلك با</w:t>
      </w:r>
      <w:r>
        <w:rPr>
          <w:rFonts w:ascii="Traditional Arabic" w:hAnsi="Traditional Arabic" w:cs="Traditional Arabic"/>
          <w:sz w:val="32"/>
          <w:szCs w:val="32"/>
          <w:rtl/>
        </w:rPr>
        <w:t>لقول: أن لا مشروعية المصلحة قيس</w:t>
      </w:r>
      <w:r w:rsidRPr="008B5672">
        <w:rPr>
          <w:rFonts w:ascii="Traditional Arabic" w:hAnsi="Traditional Arabic" w:cs="Traditional Arabic"/>
          <w:sz w:val="32"/>
          <w:szCs w:val="32"/>
          <w:rtl/>
        </w:rPr>
        <w:t>ت</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بميز أن التعارض بين المصالح ، ومعيار ذلك موضوعي ،فَبُعد َلذلك اعتبار النية عّلة لا مشروعية المصلحة ،وإلا وجب إثبات هذه النية السيئة ،ووقع عبء إثباتها على من وقع عليه الضرر</w:t>
      </w:r>
      <w:r>
        <w:rPr>
          <w:rFonts w:ascii="Traditional Arabic" w:hAnsi="Traditional Arabic" w:cs="Traditional Arabic" w:hint="cs"/>
          <w:sz w:val="32"/>
          <w:szCs w:val="32"/>
          <w:rtl/>
          <w:lang w:bidi="ar-DZ"/>
        </w:rPr>
        <w:t xml:space="preserve"> .</w:t>
      </w:r>
    </w:p>
    <w:p w:rsidR="00C2014A" w:rsidRDefault="00C2014A" w:rsidP="00C2014A">
      <w:pPr>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w:t>
      </w:r>
      <w:r w:rsidRPr="008B5672">
        <w:rPr>
          <w:rFonts w:ascii="Traditional Arabic" w:hAnsi="Traditional Arabic" w:cs="Traditional Arabic"/>
          <w:sz w:val="32"/>
          <w:szCs w:val="32"/>
          <w:rtl/>
        </w:rPr>
        <w:t xml:space="preserve">ولا يقتصر هذا المعيار على ما يكون تحقيقه من مصلحة مخالفاً لأحكام نصوص القانون ، بل تكون المصلحة غير مشروعة ،إذا ما تعارض تحقيقها مع النظام العام ،أو الآداب ،أو المقتضيات الاقتصادية ، والاجتماعية </w:t>
      </w:r>
      <w:r>
        <w:rPr>
          <w:rStyle w:val="a6"/>
          <w:rFonts w:ascii="Traditional Arabic" w:hAnsi="Traditional Arabic" w:cs="Traditional Arabic"/>
          <w:sz w:val="32"/>
          <w:szCs w:val="32"/>
          <w:rtl/>
        </w:rPr>
        <w:footnoteReference w:id="42"/>
      </w:r>
      <w:r>
        <w:rPr>
          <w:rFonts w:ascii="Traditional Arabic" w:hAnsi="Traditional Arabic" w:cs="Traditional Arabic" w:hint="cs"/>
          <w:sz w:val="32"/>
          <w:szCs w:val="32"/>
          <w:rtl/>
        </w:rPr>
        <w:t xml:space="preserve"> </w:t>
      </w:r>
    </w:p>
    <w:p w:rsidR="00C2014A" w:rsidRPr="008B5672" w:rsidRDefault="00C2014A" w:rsidP="00C2014A">
      <w:pPr>
        <w:rPr>
          <w:rFonts w:ascii="Traditional Arabic" w:hAnsi="Traditional Arabic" w:cs="Traditional Arabic"/>
          <w:sz w:val="32"/>
          <w:szCs w:val="32"/>
          <w:rtl/>
        </w:rPr>
      </w:pPr>
      <w:r w:rsidRPr="008B5672">
        <w:rPr>
          <w:rFonts w:ascii="Traditional Arabic" w:hAnsi="Traditional Arabic" w:cs="Traditional Arabic"/>
          <w:sz w:val="32"/>
          <w:szCs w:val="32"/>
          <w:rtl/>
        </w:rPr>
        <w:t>وقد ذهب البعض إلى انتقاد هذا التأصيل بحجة أنه يسلب المصلحة غير المشروعة الكثيرة من قيمتها وجدواها ؛لأن النظر إلى المصلحة غير المشروعة على أنها تخالف أحكام القانون ،أو النظام العام، أو الآداب العامة ،لا يكون قد ضيق معنى المصلحة غير المشروعة إلى حد لم يبق معه مجال لتقدير فحسب –الله ما إلا ما تعلق بتقدير النظام العام والآداب العامة – بل يكون في الواقع ومن حيث النتيجة قد سلب النظرية في معيارها المادي الكثير من قيمتها ؛لأن الخروج على أحكام القانون ،أو مبادئ النظام العام،والآداب ،يمكن أن يعتبر بحد ذاته سبباً مباشراً لمؤاخذة الشخص الذي يستعمل حقه لهذه الغاية</w:t>
      </w:r>
    </w:p>
    <w:p w:rsidR="00C2014A" w:rsidRPr="008B5672" w:rsidRDefault="00C2014A" w:rsidP="00C2014A">
      <w:pPr>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ويمكن الرد على ذلك بالقول:</w:t>
      </w:r>
    </w:p>
    <w:p w:rsidR="00C2014A" w:rsidRPr="008B5672" w:rsidRDefault="00C2014A" w:rsidP="00C2014A">
      <w:pPr>
        <w:rPr>
          <w:rFonts w:ascii="Traditional Arabic" w:hAnsi="Traditional Arabic" w:cs="Traditional Arabic"/>
          <w:sz w:val="32"/>
          <w:szCs w:val="32"/>
          <w:rtl/>
        </w:rPr>
      </w:pPr>
      <w:r w:rsidRPr="008B5672">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           " </w:t>
      </w:r>
      <w:r w:rsidRPr="008B5672">
        <w:rPr>
          <w:rFonts w:ascii="Traditional Arabic" w:hAnsi="Traditional Arabic" w:cs="Traditional Arabic"/>
          <w:sz w:val="32"/>
          <w:szCs w:val="32"/>
          <w:rtl/>
        </w:rPr>
        <w:t>إن الحكم</w:t>
      </w:r>
      <w:r w:rsidRPr="008B5672">
        <w:rPr>
          <w:rFonts w:ascii="Traditional Arabic" w:hAnsi="Traditional Arabic" w:cs="Traditional Arabic"/>
          <w:sz w:val="32"/>
          <w:szCs w:val="32"/>
          <w:rtl/>
          <w:lang w:bidi="ar-DZ"/>
        </w:rPr>
        <w:t xml:space="preserve"> </w:t>
      </w:r>
      <w:r w:rsidRPr="008B5672">
        <w:rPr>
          <w:rFonts w:ascii="Traditional Arabic" w:hAnsi="Traditional Arabic" w:cs="Traditional Arabic"/>
          <w:sz w:val="32"/>
          <w:szCs w:val="32"/>
          <w:rtl/>
        </w:rPr>
        <w:t>بعدم مشروعية المصلحة وسيلة للحكم بعدم مشروعية الوسائل المفضية إليها طبقا للقاعدة: (للوسائل حكم مقاصدها) لا</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تكون الوسائل في ذاتها غير مشروعة</w:t>
      </w:r>
      <w:r>
        <w:rPr>
          <w:rFonts w:ascii="Traditional Arabic" w:hAnsi="Traditional Arabic" w:cs="Traditional Arabic" w:hint="cs"/>
          <w:sz w:val="32"/>
          <w:szCs w:val="32"/>
          <w:rtl/>
        </w:rPr>
        <w:t xml:space="preserve"> " .</w:t>
      </w:r>
    </w:p>
    <w:p w:rsidR="00C2014A" w:rsidRDefault="00C2014A" w:rsidP="00C2014A">
      <w:pPr>
        <w:rPr>
          <w:rFonts w:ascii="Traditional Arabic" w:hAnsi="Traditional Arabic" w:cs="Traditional Arabic"/>
          <w:b/>
          <w:bCs/>
          <w:sz w:val="32"/>
          <w:szCs w:val="32"/>
          <w:rtl/>
        </w:rPr>
      </w:pPr>
    </w:p>
    <w:p w:rsidR="00C2014A" w:rsidRPr="008B5672" w:rsidRDefault="00C2014A" w:rsidP="00C2014A">
      <w:pPr>
        <w:rPr>
          <w:rFonts w:ascii="Traditional Arabic" w:hAnsi="Traditional Arabic" w:cs="Traditional Arabic"/>
          <w:b/>
          <w:bCs/>
          <w:sz w:val="32"/>
          <w:szCs w:val="32"/>
          <w:rtl/>
          <w:lang w:bidi="ar-DZ"/>
        </w:rPr>
      </w:pPr>
      <w:r w:rsidRPr="008B5672">
        <w:rPr>
          <w:rFonts w:ascii="Traditional Arabic" w:hAnsi="Traditional Arabic" w:cs="Traditional Arabic"/>
          <w:b/>
          <w:bCs/>
          <w:sz w:val="32"/>
          <w:szCs w:val="32"/>
          <w:rtl/>
        </w:rPr>
        <w:t>المطلب الثاني : تطبيقاته في الفقه الإسلامي</w:t>
      </w:r>
    </w:p>
    <w:p w:rsidR="00C2014A" w:rsidRPr="008B5672" w:rsidRDefault="00C2014A" w:rsidP="00C2014A">
      <w:pPr>
        <w:rPr>
          <w:rFonts w:ascii="Traditional Arabic" w:hAnsi="Traditional Arabic" w:cs="Traditional Arabic"/>
          <w:sz w:val="32"/>
          <w:szCs w:val="32"/>
          <w:rtl/>
          <w:lang w:bidi="ar-DZ"/>
        </w:rPr>
      </w:pPr>
      <w:r w:rsidRPr="008B5672">
        <w:rPr>
          <w:rFonts w:ascii="Traditional Arabic" w:hAnsi="Traditional Arabic" w:cs="Traditional Arabic"/>
          <w:sz w:val="32"/>
          <w:szCs w:val="32"/>
          <w:rtl/>
        </w:rPr>
        <w:t>لا خلاف بين الفقهاء في الأخذ بهذا المعيار؛لأنه يحيل على المصالح التي بنيت عليها الشريعة،فأحكام الشريعة معللة بمصالح</w:t>
      </w:r>
      <w:r w:rsidRPr="008B5672">
        <w:rPr>
          <w:rFonts w:ascii="Traditional Arabic" w:hAnsi="Traditional Arabic" w:cs="Traditional Arabic"/>
          <w:sz w:val="32"/>
          <w:szCs w:val="32"/>
          <w:rtl/>
          <w:lang w:bidi="ar-DZ"/>
        </w:rPr>
        <w:t xml:space="preserve"> </w:t>
      </w:r>
      <w:r w:rsidRPr="008B5672">
        <w:rPr>
          <w:rFonts w:ascii="Traditional Arabic" w:hAnsi="Traditional Arabic" w:cs="Traditional Arabic"/>
          <w:sz w:val="32"/>
          <w:szCs w:val="32"/>
          <w:rtl/>
        </w:rPr>
        <w:t>العباد،وإن في التعسف في استعمال الحق معارضة لتلك المصالح ؛فكان في إجازة التعسف هدم لقواعدها ،وإنما الخلاف في التطبيقات ،وفي الوسيلة التي يتوصل بها إلى كشف القصد ،أو الباعث</w:t>
      </w:r>
    </w:p>
    <w:p w:rsidR="00C2014A" w:rsidRPr="008B5672" w:rsidRDefault="00C2014A" w:rsidP="00C2014A">
      <w:pPr>
        <w:rPr>
          <w:rFonts w:ascii="Traditional Arabic" w:hAnsi="Traditional Arabic" w:cs="Traditional Arabic"/>
          <w:sz w:val="32"/>
          <w:szCs w:val="32"/>
          <w:rtl/>
          <w:lang w:bidi="ar-DZ"/>
        </w:rPr>
      </w:pPr>
    </w:p>
    <w:p w:rsidR="00C2014A" w:rsidRPr="008B5672" w:rsidRDefault="00C2014A" w:rsidP="00C2014A">
      <w:pPr>
        <w:rPr>
          <w:rFonts w:ascii="Traditional Arabic" w:hAnsi="Traditional Arabic" w:cs="Traditional Arabic"/>
          <w:sz w:val="32"/>
          <w:szCs w:val="32"/>
          <w:rtl/>
          <w:lang w:bidi="ar-DZ"/>
        </w:rPr>
      </w:pPr>
      <w:r w:rsidRPr="008B5672">
        <w:rPr>
          <w:rFonts w:ascii="Traditional Arabic" w:hAnsi="Traditional Arabic" w:cs="Traditional Arabic"/>
          <w:sz w:val="32"/>
          <w:szCs w:val="32"/>
          <w:rtl/>
        </w:rPr>
        <w:t>ولهذا المعيار تطبيقات على جانب كبير</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من الأهمية في نطاق حقوق الأسرة ،كالحقوق التي تقتضيها الولاية على النفس،أو</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المال،والحقوق التي يقتضيها التوكيل بالزواج.</w:t>
      </w:r>
    </w:p>
    <w:p w:rsidR="00C2014A" w:rsidRDefault="00C2014A" w:rsidP="00C2014A">
      <w:pPr>
        <w:rPr>
          <w:rFonts w:ascii="Traditional Arabic" w:hAnsi="Traditional Arabic" w:cs="Traditional Arabic"/>
          <w:b/>
          <w:bCs/>
          <w:sz w:val="32"/>
          <w:szCs w:val="32"/>
          <w:rtl/>
        </w:rPr>
      </w:pPr>
    </w:p>
    <w:p w:rsidR="00C2014A" w:rsidRDefault="00C2014A" w:rsidP="00C2014A">
      <w:pPr>
        <w:rPr>
          <w:rFonts w:ascii="Traditional Arabic" w:hAnsi="Traditional Arabic" w:cs="Traditional Arabic"/>
          <w:b/>
          <w:bCs/>
          <w:sz w:val="32"/>
          <w:szCs w:val="32"/>
          <w:rtl/>
        </w:rPr>
      </w:pPr>
    </w:p>
    <w:p w:rsidR="00C2014A" w:rsidRDefault="00C2014A" w:rsidP="00C2014A">
      <w:pPr>
        <w:rPr>
          <w:rFonts w:ascii="Traditional Arabic" w:hAnsi="Traditional Arabic" w:cs="Traditional Arabic"/>
          <w:b/>
          <w:bCs/>
          <w:sz w:val="32"/>
          <w:szCs w:val="32"/>
          <w:rtl/>
        </w:rPr>
      </w:pPr>
    </w:p>
    <w:p w:rsidR="00C2014A" w:rsidRDefault="00C2014A" w:rsidP="00C2014A">
      <w:pPr>
        <w:rPr>
          <w:rFonts w:ascii="Traditional Arabic" w:hAnsi="Traditional Arabic" w:cs="Traditional Arabic"/>
          <w:b/>
          <w:bCs/>
          <w:sz w:val="32"/>
          <w:szCs w:val="32"/>
          <w:rtl/>
        </w:rPr>
      </w:pPr>
    </w:p>
    <w:p w:rsidR="00C2014A" w:rsidRDefault="00C2014A" w:rsidP="00C2014A">
      <w:pPr>
        <w:rPr>
          <w:rFonts w:ascii="Traditional Arabic" w:hAnsi="Traditional Arabic" w:cs="Traditional Arabic"/>
          <w:b/>
          <w:bCs/>
          <w:sz w:val="32"/>
          <w:szCs w:val="32"/>
          <w:rtl/>
        </w:rPr>
      </w:pPr>
    </w:p>
    <w:p w:rsidR="00C2014A" w:rsidRDefault="00C2014A" w:rsidP="00C2014A">
      <w:pPr>
        <w:rPr>
          <w:rFonts w:ascii="Traditional Arabic" w:hAnsi="Traditional Arabic" w:cs="Traditional Arabic"/>
          <w:b/>
          <w:bCs/>
          <w:sz w:val="32"/>
          <w:szCs w:val="32"/>
          <w:rtl/>
        </w:rPr>
      </w:pPr>
    </w:p>
    <w:p w:rsidR="00C2014A" w:rsidRDefault="00C2014A" w:rsidP="00C2014A">
      <w:pPr>
        <w:rPr>
          <w:rFonts w:ascii="Traditional Arabic" w:hAnsi="Traditional Arabic" w:cs="Traditional Arabic"/>
          <w:b/>
          <w:bCs/>
          <w:sz w:val="32"/>
          <w:szCs w:val="32"/>
          <w:rtl/>
        </w:rPr>
      </w:pPr>
    </w:p>
    <w:p w:rsidR="00C2014A" w:rsidRPr="008B5672" w:rsidRDefault="00C2014A" w:rsidP="00C2014A">
      <w:pPr>
        <w:rPr>
          <w:rFonts w:ascii="Traditional Arabic" w:hAnsi="Traditional Arabic" w:cs="Traditional Arabic"/>
          <w:b/>
          <w:bCs/>
          <w:sz w:val="32"/>
          <w:szCs w:val="32"/>
          <w:rtl/>
          <w:lang w:bidi="ar-DZ"/>
        </w:rPr>
      </w:pPr>
      <w:r w:rsidRPr="008B5672">
        <w:rPr>
          <w:rFonts w:ascii="Traditional Arabic" w:hAnsi="Traditional Arabic" w:cs="Traditional Arabic"/>
          <w:b/>
          <w:bCs/>
          <w:sz w:val="32"/>
          <w:szCs w:val="32"/>
          <w:rtl/>
        </w:rPr>
        <w:lastRenderedPageBreak/>
        <w:t>المطلب الثالث : تطبيقاته في القانون المدني الجزائري</w:t>
      </w:r>
    </w:p>
    <w:p w:rsidR="00C2014A" w:rsidRPr="008B5672" w:rsidRDefault="00C2014A" w:rsidP="00C2014A">
      <w:pPr>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          </w:t>
      </w:r>
      <w:r w:rsidRPr="008B5672">
        <w:rPr>
          <w:rFonts w:ascii="Traditional Arabic" w:hAnsi="Traditional Arabic" w:cs="Traditional Arabic"/>
          <w:sz w:val="32"/>
          <w:szCs w:val="32"/>
          <w:rtl/>
        </w:rPr>
        <w:t>يعد رب العمل الذي يستعمل حقه في فصل العامل متعسفاً في استعمال حقه،إذا كان الفصل بسبب مذهب العامل السياسي ،أو عقيدته الدينية،أو بسبب انضمامه إلى نقابة، أو</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 xml:space="preserve">بسبب نشاطه النقابي ،إذ يريد رب العمل من وراء ذلك أن يحرم عماله من حقوق مشروعة خولها لهم القانون ،فرب العمل هنا قد استعمل حقه المشروع ،في سبيل تحقيق مصلحة غير مشروعة ،فيكون متعسفاً في استعمال حقه؛ لأنه يرمي من وراء ذلك تحقيق مصلحة غير مشروعة </w:t>
      </w:r>
      <w:r>
        <w:rPr>
          <w:rStyle w:val="a6"/>
          <w:rFonts w:ascii="Traditional Arabic" w:hAnsi="Traditional Arabic" w:cs="Traditional Arabic"/>
          <w:sz w:val="32"/>
          <w:szCs w:val="32"/>
        </w:rPr>
        <w:footnoteReference w:id="43"/>
      </w:r>
    </w:p>
    <w:p w:rsidR="00C2014A" w:rsidRPr="008B5672" w:rsidRDefault="00C2014A" w:rsidP="00C2014A">
      <w:pPr>
        <w:rPr>
          <w:rFonts w:ascii="Traditional Arabic" w:hAnsi="Traditional Arabic" w:cs="Traditional Arabic"/>
          <w:sz w:val="32"/>
          <w:szCs w:val="32"/>
          <w:rtl/>
        </w:rPr>
      </w:pPr>
      <w:r w:rsidRPr="008B5672">
        <w:rPr>
          <w:rFonts w:ascii="Traditional Arabic" w:hAnsi="Traditional Arabic" w:cs="Traditional Arabic"/>
          <w:sz w:val="32"/>
          <w:szCs w:val="32"/>
          <w:rtl/>
        </w:rPr>
        <w:t>تقضي المادة (187) مدني جزائري بأنه: "إذا تسبب الدائن بسوء نيته وهو يطالب بحقه، في إطالة أمد النزاع ،فللقاضي أن يخفض مبلغ التعويض المحدد في الاتفاق ،أو لا يقضي به إطلاقاً عن المدة التي طال فيها النزاع بلا مبرر"</w:t>
      </w:r>
    </w:p>
    <w:p w:rsidR="00C2014A" w:rsidRPr="008B5672" w:rsidRDefault="00C2014A" w:rsidP="00C2014A">
      <w:pPr>
        <w:rPr>
          <w:rFonts w:ascii="Traditional Arabic" w:hAnsi="Traditional Arabic" w:cs="Traditional Arabic"/>
          <w:sz w:val="32"/>
          <w:szCs w:val="32"/>
          <w:rtl/>
          <w:lang w:bidi="ar-DZ"/>
        </w:rPr>
      </w:pPr>
      <w:r w:rsidRPr="008B5672">
        <w:rPr>
          <w:rFonts w:ascii="Traditional Arabic" w:hAnsi="Traditional Arabic" w:cs="Traditional Arabic"/>
          <w:sz w:val="32"/>
          <w:szCs w:val="32"/>
          <w:rtl/>
        </w:rPr>
        <w:t>فالدائن الذي يبتغي من وراء التسبب في إطالة أمد النزاع إبان مطالبته بحقه لتحقيق مصلحة لنفسه ،هي زيادة مبلغ التعويض ،</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فإن هذا الدافع غير مشروع ،والمصلحة التي يريد تحقيقها بهذا الدافع غير مشروعة أيضاً ،</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إذ لا</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تقوم على سبب مشروع ،ولهذا كان الجزاء أن يعامل بنقيض قصده ، وه وتخفيض مبلغ التعويض، أو عدم الحكم به إطلاقاً</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 xml:space="preserve">حسب الأحوال </w:t>
      </w:r>
      <w:r>
        <w:rPr>
          <w:rStyle w:val="a6"/>
          <w:rFonts w:ascii="Traditional Arabic" w:hAnsi="Traditional Arabic" w:cs="Traditional Arabic"/>
          <w:sz w:val="32"/>
          <w:szCs w:val="32"/>
        </w:rPr>
        <w:footnoteReference w:id="44"/>
      </w:r>
      <w:r>
        <w:rPr>
          <w:rFonts w:ascii="Traditional Arabic" w:hAnsi="Traditional Arabic" w:cs="Traditional Arabic" w:hint="cs"/>
          <w:sz w:val="32"/>
          <w:szCs w:val="32"/>
          <w:rtl/>
          <w:lang w:bidi="ar-DZ"/>
        </w:rPr>
        <w:t xml:space="preserve"> .</w:t>
      </w:r>
    </w:p>
    <w:p w:rsidR="00C2014A" w:rsidRPr="008B5672" w:rsidRDefault="00C2014A" w:rsidP="00C2014A">
      <w:pPr>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مؤجر العقار (الأرض) الذي يمتنع من الترخيص في الإيجار من الباطن لمشتري المصنع الذي أقيم على العقار (الأرض) بعد أن اقتضت الضرورة أن يبيع المستأجر هذا المصنع ،وذلك لا توقي الضرر،بل سعياً وراء كسب غير</w:t>
      </w:r>
      <w:r>
        <w:rPr>
          <w:rFonts w:ascii="Traditional Arabic" w:hAnsi="Traditional Arabic" w:cs="Traditional Arabic" w:hint="cs"/>
          <w:sz w:val="32"/>
          <w:szCs w:val="32"/>
          <w:rtl/>
        </w:rPr>
        <w:t xml:space="preserve"> </w:t>
      </w:r>
      <w:r w:rsidRPr="008B5672">
        <w:rPr>
          <w:rFonts w:ascii="Traditional Arabic" w:hAnsi="Traditional Arabic" w:cs="Traditional Arabic"/>
          <w:sz w:val="32"/>
          <w:szCs w:val="32"/>
          <w:rtl/>
        </w:rPr>
        <w:t xml:space="preserve">مشروع يجنيه من المشتري فإنه يعد متعسفا </w:t>
      </w:r>
      <w:r>
        <w:rPr>
          <w:rStyle w:val="a6"/>
          <w:rFonts w:ascii="Traditional Arabic" w:hAnsi="Traditional Arabic" w:cs="Traditional Arabic"/>
          <w:sz w:val="32"/>
          <w:szCs w:val="32"/>
          <w:rtl/>
        </w:rPr>
        <w:footnoteReference w:id="45"/>
      </w:r>
      <w:r>
        <w:rPr>
          <w:rFonts w:ascii="Traditional Arabic" w:hAnsi="Traditional Arabic" w:cs="Traditional Arabic" w:hint="cs"/>
          <w:sz w:val="32"/>
          <w:szCs w:val="32"/>
          <w:rtl/>
        </w:rPr>
        <w:t xml:space="preserve"> .</w:t>
      </w:r>
    </w:p>
    <w:p w:rsidR="00C2014A" w:rsidRPr="008B5672" w:rsidRDefault="00C2014A" w:rsidP="00C2014A">
      <w:pPr>
        <w:rPr>
          <w:rFonts w:ascii="Traditional Arabic" w:hAnsi="Traditional Arabic" w:cs="Traditional Arabic"/>
          <w:sz w:val="32"/>
          <w:szCs w:val="32"/>
          <w:rtl/>
        </w:rPr>
      </w:pPr>
    </w:p>
    <w:p w:rsidR="00C2014A" w:rsidRPr="008B5672" w:rsidRDefault="00C2014A" w:rsidP="00C2014A">
      <w:pPr>
        <w:rPr>
          <w:rFonts w:ascii="Traditional Arabic" w:hAnsi="Traditional Arabic" w:cs="Traditional Arabic"/>
          <w:sz w:val="32"/>
          <w:szCs w:val="32"/>
          <w:rtl/>
        </w:rPr>
      </w:pPr>
    </w:p>
    <w:p w:rsidR="00C2014A" w:rsidRPr="008B5672" w:rsidRDefault="00C2014A" w:rsidP="00C2014A">
      <w:pPr>
        <w:rPr>
          <w:rFonts w:ascii="Traditional Arabic" w:hAnsi="Traditional Arabic" w:cs="Traditional Arabic"/>
          <w:sz w:val="32"/>
          <w:szCs w:val="32"/>
          <w:rtl/>
        </w:rPr>
      </w:pPr>
    </w:p>
    <w:p w:rsidR="00C2014A" w:rsidRPr="008B5672" w:rsidRDefault="00C2014A" w:rsidP="00C2014A">
      <w:pPr>
        <w:rPr>
          <w:rFonts w:ascii="Traditional Arabic" w:hAnsi="Traditional Arabic" w:cs="Traditional Arabic"/>
          <w:sz w:val="32"/>
          <w:szCs w:val="32"/>
          <w:rtl/>
        </w:rPr>
      </w:pPr>
    </w:p>
    <w:p w:rsidR="00C2014A" w:rsidRPr="008B5672" w:rsidRDefault="00C2014A" w:rsidP="00C2014A">
      <w:pPr>
        <w:rPr>
          <w:rFonts w:ascii="Traditional Arabic" w:hAnsi="Traditional Arabic" w:cs="Traditional Arabic"/>
          <w:sz w:val="32"/>
          <w:szCs w:val="32"/>
          <w:rtl/>
        </w:rPr>
      </w:pPr>
    </w:p>
    <w:p w:rsidR="00C2014A" w:rsidRPr="008B5672" w:rsidRDefault="00C2014A" w:rsidP="00C2014A">
      <w:pPr>
        <w:rPr>
          <w:rFonts w:ascii="Traditional Arabic" w:hAnsi="Traditional Arabic" w:cs="Traditional Arabic"/>
          <w:sz w:val="32"/>
          <w:szCs w:val="32"/>
          <w:rtl/>
        </w:rPr>
      </w:pPr>
    </w:p>
    <w:p w:rsidR="00C2014A" w:rsidRPr="008B5672" w:rsidRDefault="00C2014A" w:rsidP="00C2014A">
      <w:pPr>
        <w:rPr>
          <w:rFonts w:ascii="Traditional Arabic" w:hAnsi="Traditional Arabic" w:cs="Traditional Arabic"/>
          <w:sz w:val="32"/>
          <w:szCs w:val="32"/>
          <w:rtl/>
        </w:rPr>
      </w:pPr>
    </w:p>
    <w:p w:rsidR="00C2014A" w:rsidRPr="008B5672" w:rsidRDefault="00C2014A" w:rsidP="00C2014A">
      <w:pPr>
        <w:rPr>
          <w:rFonts w:ascii="Traditional Arabic" w:hAnsi="Traditional Arabic" w:cs="Traditional Arabic"/>
          <w:sz w:val="32"/>
          <w:szCs w:val="32"/>
          <w:rtl/>
        </w:rPr>
      </w:pPr>
    </w:p>
    <w:p w:rsidR="00C2014A" w:rsidRPr="008B5672" w:rsidRDefault="00C2014A" w:rsidP="00C2014A">
      <w:pPr>
        <w:rPr>
          <w:rFonts w:ascii="Traditional Arabic" w:hAnsi="Traditional Arabic" w:cs="Traditional Arabic"/>
          <w:sz w:val="32"/>
          <w:szCs w:val="32"/>
          <w:rtl/>
        </w:rPr>
      </w:pPr>
    </w:p>
    <w:p w:rsidR="00C2014A" w:rsidRPr="00C2014A" w:rsidRDefault="00C2014A" w:rsidP="005E03B5">
      <w:pPr>
        <w:tabs>
          <w:tab w:val="right" w:pos="142"/>
          <w:tab w:val="right" w:pos="540"/>
        </w:tabs>
        <w:contextualSpacing/>
        <w:jc w:val="lowKashida"/>
        <w:rPr>
          <w:rFonts w:ascii="Traditional Arabic" w:hAnsi="Traditional Arabic" w:cs="Traditional Arabic"/>
          <w:sz w:val="32"/>
          <w:szCs w:val="32"/>
          <w:rtl/>
          <w:lang w:bidi="ar-DZ"/>
        </w:rPr>
      </w:pPr>
    </w:p>
    <w:sectPr w:rsidR="00C2014A" w:rsidRPr="00C2014A" w:rsidSect="001A65D4">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701" w:right="1134" w:bottom="1701" w:left="993" w:header="420" w:footer="709" w:gutter="0"/>
      <w:pgNumType w:start="37"/>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59D2" w:rsidRDefault="008F59D2" w:rsidP="00832B6C">
      <w:r>
        <w:separator/>
      </w:r>
    </w:p>
  </w:endnote>
  <w:endnote w:type="continuationSeparator" w:id="1">
    <w:p w:rsidR="008F59D2" w:rsidRDefault="008F59D2" w:rsidP="00832B6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T7937o00">
    <w:altName w:val="Times New Roman"/>
    <w:panose1 w:val="00000000000000000000"/>
    <w:charset w:val="00"/>
    <w:family w:val="auto"/>
    <w:notTrueType/>
    <w:pitch w:val="default"/>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005" w:rsidRDefault="00BB7005">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5110844"/>
      <w:docPartObj>
        <w:docPartGallery w:val="Page Numbers (Bottom of Page)"/>
        <w:docPartUnique/>
      </w:docPartObj>
    </w:sdtPr>
    <w:sdtContent>
      <w:p w:rsidR="00DB6E67" w:rsidRDefault="001D5D5C" w:rsidP="00EE4ADE">
        <w:pPr>
          <w:pStyle w:val="a4"/>
        </w:pPr>
        <w:r w:rsidRPr="001D5D5C">
          <w:rPr>
            <w:rFonts w:asciiTheme="majorHAnsi" w:hAnsiTheme="majorHAnsi"/>
            <w:noProof/>
            <w:sz w:val="28"/>
            <w:szCs w:val="28"/>
            <w:lang w:eastAsia="zh-TW"/>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49" type="#_x0000_t98" style="position:absolute;left:0;text-align:left;margin-left:0;margin-top:0;width:52.1pt;height:39.6pt;rotation:360;flip:x;z-index:251660288;mso-position-horizontal:center;mso-position-horizontal-relative:margin;mso-position-vertical:center;mso-position-vertical-relative:bottom-margin-area" adj="5400" filled="f" fillcolor="#17365d [2415]" strokecolor="#a5a5a5 [2092]">
              <v:textbox style="mso-next-textbox:#_x0000_s2049">
                <w:txbxContent>
                  <w:p w:rsidR="00DB6E67" w:rsidRDefault="001D5D5C">
                    <w:pPr>
                      <w:jc w:val="center"/>
                      <w:rPr>
                        <w:color w:val="808080" w:themeColor="text1" w:themeTint="7F"/>
                      </w:rPr>
                    </w:pPr>
                    <w:fldSimple w:instr=" PAGE    \* MERGEFORMAT ">
                      <w:r w:rsidR="00C2014A" w:rsidRPr="00C2014A">
                        <w:rPr>
                          <w:rFonts w:cs="Calibri"/>
                          <w:noProof/>
                          <w:color w:val="808080" w:themeColor="text1" w:themeTint="7F"/>
                          <w:rtl/>
                          <w:lang w:val="ar-SA"/>
                        </w:rPr>
                        <w:t>58</w:t>
                      </w:r>
                    </w:fldSimple>
                  </w:p>
                </w:txbxContent>
              </v:textbox>
              <w10:wrap anchorx="margin"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005" w:rsidRDefault="00BB7005">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59D2" w:rsidRDefault="008F59D2" w:rsidP="00832B6C">
      <w:r>
        <w:separator/>
      </w:r>
    </w:p>
  </w:footnote>
  <w:footnote w:type="continuationSeparator" w:id="1">
    <w:p w:rsidR="008F59D2" w:rsidRDefault="008F59D2" w:rsidP="00832B6C">
      <w:r>
        <w:continuationSeparator/>
      </w:r>
    </w:p>
  </w:footnote>
  <w:footnote w:id="2">
    <w:p w:rsidR="005E03B5" w:rsidRPr="00326092" w:rsidRDefault="005E03B5" w:rsidP="005E03B5">
      <w:pPr>
        <w:tabs>
          <w:tab w:val="right" w:pos="142"/>
          <w:tab w:val="right" w:pos="540"/>
        </w:tabs>
        <w:contextualSpacing/>
        <w:jc w:val="lowKashida"/>
        <w:rPr>
          <w:rFonts w:ascii="TT7937o00" w:hAnsi="TT7937o00" w:cs="Traditional Arabic"/>
          <w:sz w:val="20"/>
          <w:szCs w:val="20"/>
          <w:rtl/>
          <w:lang w:bidi="ar-DZ"/>
        </w:rPr>
      </w:pPr>
      <w:r>
        <w:rPr>
          <w:rStyle w:val="a6"/>
        </w:rPr>
        <w:footnoteRef/>
      </w:r>
      <w:r>
        <w:rPr>
          <w:rFonts w:ascii="TT7937o00" w:hAnsi="TT7937o00" w:cs="Traditional Arabic" w:hint="cs"/>
          <w:sz w:val="20"/>
          <w:szCs w:val="20"/>
          <w:rtl/>
          <w:lang w:bidi="ar-DZ"/>
        </w:rPr>
        <w:t xml:space="preserve"> </w:t>
      </w:r>
      <w:r w:rsidRPr="00326092">
        <w:rPr>
          <w:rFonts w:ascii="TT7937o00" w:hAnsi="TT7937o00" w:cs="Traditional Arabic" w:hint="cs"/>
          <w:sz w:val="20"/>
          <w:szCs w:val="20"/>
          <w:rtl/>
          <w:lang w:bidi="ar-DZ"/>
        </w:rPr>
        <w:t xml:space="preserve">د- فتحي الدريني. نظرية التعسف في </w:t>
      </w:r>
      <w:r>
        <w:rPr>
          <w:rFonts w:ascii="TT7937o00" w:hAnsi="TT7937o00" w:cs="Traditional Arabic" w:hint="cs"/>
          <w:sz w:val="20"/>
          <w:szCs w:val="20"/>
          <w:rtl/>
          <w:lang w:bidi="ar-DZ"/>
        </w:rPr>
        <w:t>استعمال</w:t>
      </w:r>
      <w:r w:rsidRPr="00326092">
        <w:rPr>
          <w:rFonts w:ascii="TT7937o00" w:hAnsi="TT7937o00" w:cs="Traditional Arabic" w:hint="cs"/>
          <w:sz w:val="20"/>
          <w:szCs w:val="20"/>
          <w:rtl/>
          <w:lang w:bidi="ar-DZ"/>
        </w:rPr>
        <w:t xml:space="preserve"> الحق في الفقه الإسلامي ط3 .1429 هـ-</w:t>
      </w:r>
      <w:smartTag w:uri="urn:schemas-microsoft-com:office:smarttags" w:element="metricconverter">
        <w:smartTagPr>
          <w:attr w:name="ProductID" w:val="2008 م"/>
        </w:smartTagPr>
        <w:r w:rsidRPr="00326092">
          <w:rPr>
            <w:rFonts w:ascii="TT7937o00" w:hAnsi="TT7937o00" w:cs="Traditional Arabic" w:hint="cs"/>
            <w:sz w:val="20"/>
            <w:szCs w:val="20"/>
            <w:rtl/>
            <w:lang w:bidi="ar-DZ"/>
          </w:rPr>
          <w:t>2008 م</w:t>
        </w:r>
      </w:smartTag>
      <w:r w:rsidRPr="00326092">
        <w:rPr>
          <w:rFonts w:ascii="TT7937o00" w:hAnsi="TT7937o00" w:cs="Traditional Arabic" w:hint="cs"/>
          <w:sz w:val="20"/>
          <w:szCs w:val="20"/>
          <w:rtl/>
          <w:lang w:bidi="ar-DZ"/>
        </w:rPr>
        <w:t xml:space="preserve"> لبنان ص ص285-286 </w:t>
      </w:r>
    </w:p>
    <w:p w:rsidR="005E03B5" w:rsidRDefault="005E03B5">
      <w:pPr>
        <w:pStyle w:val="a5"/>
        <w:rPr>
          <w:lang w:bidi="ar-DZ"/>
        </w:rPr>
      </w:pPr>
    </w:p>
  </w:footnote>
  <w:footnote w:id="3">
    <w:p w:rsidR="005E03B5" w:rsidRPr="006136BF" w:rsidRDefault="005E03B5" w:rsidP="005E03B5">
      <w:pPr>
        <w:tabs>
          <w:tab w:val="right" w:pos="142"/>
          <w:tab w:val="right" w:pos="540"/>
        </w:tabs>
        <w:contextualSpacing/>
        <w:jc w:val="lowKashida"/>
        <w:rPr>
          <w:rFonts w:ascii="TT7937o00" w:hAnsi="TT7937o00" w:cs="Traditional Arabic"/>
          <w:sz w:val="20"/>
          <w:szCs w:val="20"/>
          <w:rtl/>
          <w:lang w:bidi="ar-DZ"/>
        </w:rPr>
      </w:pPr>
      <w:r>
        <w:rPr>
          <w:rStyle w:val="a6"/>
        </w:rPr>
        <w:footnoteRef/>
      </w:r>
      <w:r>
        <w:rPr>
          <w:rtl/>
        </w:rPr>
        <w:t xml:space="preserve"> </w:t>
      </w:r>
      <w:r>
        <w:rPr>
          <w:rFonts w:ascii="TT7937o00" w:hAnsi="TT7937o00" w:cs="Traditional Arabic" w:hint="cs"/>
          <w:sz w:val="20"/>
          <w:szCs w:val="20"/>
          <w:rtl/>
          <w:lang w:bidi="ar-DZ"/>
        </w:rPr>
        <w:t xml:space="preserve"> د- احمد الصويعي شليبك- التعسف في استعمال الحق بقصد الإضرار بالغير أو لتحقيق مصلحة غير مشروعة  في الشريعة والقانون</w:t>
      </w:r>
      <w:r w:rsidRPr="00326092">
        <w:rPr>
          <w:rFonts w:ascii="TT7937o00" w:hAnsi="TT7937o00" w:cs="Traditional Arabic" w:hint="cs"/>
          <w:sz w:val="20"/>
          <w:szCs w:val="20"/>
          <w:rtl/>
          <w:lang w:bidi="ar-DZ"/>
        </w:rPr>
        <w:t xml:space="preserve"> </w:t>
      </w:r>
      <w:r>
        <w:rPr>
          <w:rFonts w:ascii="TT7937o00" w:hAnsi="TT7937o00" w:cs="Traditional Arabic" w:hint="cs"/>
          <w:sz w:val="20"/>
          <w:szCs w:val="20"/>
          <w:rtl/>
          <w:lang w:bidi="ar-DZ"/>
        </w:rPr>
        <w:t>. مجلة الشريعة والقانون ع 38</w:t>
      </w:r>
      <w:r w:rsidRPr="00326092">
        <w:rPr>
          <w:rFonts w:ascii="TT7937o00" w:hAnsi="TT7937o00" w:cs="Traditional Arabic" w:hint="cs"/>
          <w:sz w:val="20"/>
          <w:szCs w:val="20"/>
          <w:rtl/>
          <w:lang w:bidi="ar-DZ"/>
        </w:rPr>
        <w:t xml:space="preserve"> .</w:t>
      </w:r>
      <w:r>
        <w:rPr>
          <w:rFonts w:ascii="TT7937o00" w:hAnsi="TT7937o00" w:cs="Traditional Arabic" w:hint="cs"/>
          <w:sz w:val="20"/>
          <w:szCs w:val="20"/>
          <w:rtl/>
          <w:lang w:bidi="ar-DZ"/>
        </w:rPr>
        <w:t>ربيع الأول</w:t>
      </w:r>
      <w:r w:rsidRPr="00326092">
        <w:rPr>
          <w:rFonts w:ascii="TT7937o00" w:hAnsi="TT7937o00" w:cs="Traditional Arabic" w:hint="cs"/>
          <w:sz w:val="20"/>
          <w:szCs w:val="20"/>
          <w:rtl/>
          <w:lang w:bidi="ar-DZ"/>
        </w:rPr>
        <w:t>14</w:t>
      </w:r>
      <w:r>
        <w:rPr>
          <w:rFonts w:ascii="TT7937o00" w:hAnsi="TT7937o00" w:cs="Traditional Arabic" w:hint="cs"/>
          <w:sz w:val="20"/>
          <w:szCs w:val="20"/>
          <w:rtl/>
          <w:lang w:bidi="ar-DZ"/>
        </w:rPr>
        <w:t>30</w:t>
      </w:r>
      <w:r w:rsidRPr="00326092">
        <w:rPr>
          <w:rFonts w:ascii="TT7937o00" w:hAnsi="TT7937o00" w:cs="Traditional Arabic" w:hint="cs"/>
          <w:sz w:val="20"/>
          <w:szCs w:val="20"/>
          <w:rtl/>
          <w:lang w:bidi="ar-DZ"/>
        </w:rPr>
        <w:t xml:space="preserve"> هـ-</w:t>
      </w:r>
      <w:r>
        <w:rPr>
          <w:rFonts w:ascii="TT7937o00" w:hAnsi="TT7937o00" w:cs="Traditional Arabic" w:hint="cs"/>
          <w:sz w:val="20"/>
          <w:szCs w:val="20"/>
          <w:rtl/>
          <w:lang w:bidi="ar-DZ"/>
        </w:rPr>
        <w:t xml:space="preserve">أفريل2009 </w:t>
      </w:r>
      <w:r w:rsidRPr="00326092">
        <w:rPr>
          <w:rFonts w:ascii="TT7937o00" w:hAnsi="TT7937o00" w:cs="Traditional Arabic" w:hint="cs"/>
          <w:sz w:val="20"/>
          <w:szCs w:val="20"/>
          <w:rtl/>
          <w:lang w:bidi="ar-DZ"/>
        </w:rPr>
        <w:t xml:space="preserve"> م</w:t>
      </w:r>
      <w:r>
        <w:rPr>
          <w:rFonts w:ascii="TT7937o00" w:hAnsi="TT7937o00" w:cs="Traditional Arabic" w:hint="cs"/>
          <w:sz w:val="20"/>
          <w:szCs w:val="20"/>
          <w:rtl/>
          <w:lang w:bidi="ar-DZ"/>
        </w:rPr>
        <w:t xml:space="preserve"> ص 25</w:t>
      </w:r>
    </w:p>
    <w:p w:rsidR="005E03B5" w:rsidRDefault="005E03B5">
      <w:pPr>
        <w:pStyle w:val="a5"/>
        <w:rPr>
          <w:rtl/>
          <w:lang w:bidi="ar-DZ"/>
        </w:rPr>
      </w:pPr>
    </w:p>
  </w:footnote>
  <w:footnote w:id="4">
    <w:p w:rsidR="005E03B5" w:rsidRPr="00326092" w:rsidRDefault="005E03B5" w:rsidP="005E03B5">
      <w:pPr>
        <w:tabs>
          <w:tab w:val="right" w:pos="142"/>
          <w:tab w:val="right" w:pos="540"/>
        </w:tabs>
        <w:contextualSpacing/>
        <w:jc w:val="lowKashida"/>
        <w:rPr>
          <w:rFonts w:ascii="TT7937o00" w:hAnsi="TT7937o00" w:cs="Traditional Arabic"/>
          <w:sz w:val="20"/>
          <w:szCs w:val="20"/>
          <w:rtl/>
          <w:lang w:bidi="ar-DZ"/>
        </w:rPr>
      </w:pPr>
      <w:r>
        <w:rPr>
          <w:rStyle w:val="a6"/>
        </w:rPr>
        <w:footnoteRef/>
      </w:r>
      <w:r>
        <w:rPr>
          <w:rFonts w:ascii="TT7937o00" w:hAnsi="TT7937o00" w:cs="Traditional Arabic" w:hint="cs"/>
          <w:sz w:val="20"/>
          <w:szCs w:val="20"/>
          <w:rtl/>
          <w:lang w:bidi="ar-DZ"/>
        </w:rPr>
        <w:t xml:space="preserve"> د- اسماعيل كاضم العيساوي - </w:t>
      </w:r>
      <w:r w:rsidRPr="00292487">
        <w:rPr>
          <w:rFonts w:ascii="TT7937o00" w:hAnsi="TT7937o00" w:cs="Traditional Arabic" w:hint="cs"/>
          <w:b/>
          <w:bCs/>
          <w:sz w:val="20"/>
          <w:szCs w:val="20"/>
          <w:rtl/>
          <w:lang w:bidi="ar-DZ"/>
        </w:rPr>
        <w:t>المجلة الأردنية في الدراسات الإسلامية</w:t>
      </w:r>
      <w:r>
        <w:rPr>
          <w:rFonts w:ascii="TT7937o00" w:hAnsi="TT7937o00" w:cs="Traditional Arabic" w:hint="cs"/>
          <w:sz w:val="20"/>
          <w:szCs w:val="20"/>
          <w:rtl/>
          <w:lang w:bidi="ar-DZ"/>
        </w:rPr>
        <w:t xml:space="preserve"> : مجلة علمية محكمة . المجلد</w:t>
      </w:r>
      <w:r w:rsidR="00CF2828">
        <w:rPr>
          <w:rFonts w:ascii="TT7937o00" w:hAnsi="TT7937o00" w:cs="Traditional Arabic" w:hint="cs"/>
          <w:sz w:val="20"/>
          <w:szCs w:val="20"/>
          <w:rtl/>
          <w:lang w:bidi="ar-DZ"/>
        </w:rPr>
        <w:t xml:space="preserve"> الخامس (ب/3) (1430 هـ/2009 م) </w:t>
      </w:r>
      <w:r>
        <w:rPr>
          <w:rFonts w:ascii="TT7937o00" w:hAnsi="TT7937o00" w:cs="Traditional Arabic" w:hint="cs"/>
          <w:sz w:val="20"/>
          <w:szCs w:val="20"/>
          <w:rtl/>
          <w:lang w:bidi="ar-DZ"/>
        </w:rPr>
        <w:t xml:space="preserve"> ص 31 -32 </w:t>
      </w:r>
    </w:p>
    <w:p w:rsidR="005E03B5" w:rsidRDefault="005E03B5">
      <w:pPr>
        <w:pStyle w:val="a5"/>
        <w:rPr>
          <w:rtl/>
          <w:lang w:bidi="ar-DZ"/>
        </w:rPr>
      </w:pPr>
    </w:p>
  </w:footnote>
  <w:footnote w:id="5">
    <w:p w:rsidR="005E03B5" w:rsidRPr="00292487" w:rsidRDefault="005E03B5" w:rsidP="005E03B5">
      <w:pPr>
        <w:tabs>
          <w:tab w:val="right" w:pos="142"/>
          <w:tab w:val="right" w:pos="540"/>
        </w:tabs>
        <w:contextualSpacing/>
        <w:jc w:val="lowKashida"/>
        <w:rPr>
          <w:rFonts w:ascii="Traditional Arabic" w:hAnsi="Traditional Arabic" w:cs="Traditional Arabic"/>
          <w:sz w:val="20"/>
          <w:szCs w:val="20"/>
          <w:rtl/>
          <w:lang w:bidi="ar-DZ"/>
        </w:rPr>
      </w:pPr>
      <w:r w:rsidRPr="00292487">
        <w:rPr>
          <w:rStyle w:val="a6"/>
          <w:rFonts w:ascii="Traditional Arabic" w:hAnsi="Traditional Arabic" w:cs="Traditional Arabic"/>
          <w:sz w:val="20"/>
          <w:szCs w:val="20"/>
        </w:rPr>
        <w:footnoteRef/>
      </w:r>
      <w:r w:rsidRPr="00292487">
        <w:rPr>
          <w:rFonts w:ascii="Traditional Arabic" w:hAnsi="Traditional Arabic" w:cs="Traditional Arabic"/>
          <w:sz w:val="20"/>
          <w:szCs w:val="20"/>
          <w:rtl/>
        </w:rPr>
        <w:t xml:space="preserve"> </w:t>
      </w:r>
      <w:r w:rsidRPr="00292487">
        <w:rPr>
          <w:rFonts w:ascii="Traditional Arabic" w:hAnsi="Traditional Arabic" w:cs="Traditional Arabic"/>
          <w:sz w:val="20"/>
          <w:szCs w:val="20"/>
          <w:rtl/>
          <w:lang w:bidi="ar-DZ"/>
        </w:rPr>
        <w:t>د- احمد الصويعي شليبك</w:t>
      </w:r>
      <w:r w:rsidRPr="00292487">
        <w:rPr>
          <w:rFonts w:ascii="Traditional Arabic" w:hAnsi="Traditional Arabic" w:cs="Traditional Arabic"/>
          <w:b/>
          <w:bCs/>
          <w:sz w:val="20"/>
          <w:szCs w:val="20"/>
          <w:rtl/>
          <w:lang w:bidi="ar-DZ"/>
        </w:rPr>
        <w:t>- مجلة سابقة</w:t>
      </w:r>
      <w:r w:rsidRPr="00292487">
        <w:rPr>
          <w:rFonts w:ascii="Traditional Arabic" w:hAnsi="Traditional Arabic" w:cs="Traditional Arabic"/>
          <w:sz w:val="20"/>
          <w:szCs w:val="20"/>
          <w:rtl/>
          <w:lang w:bidi="ar-DZ"/>
        </w:rPr>
        <w:t xml:space="preserve"> ص 32</w:t>
      </w:r>
    </w:p>
    <w:p w:rsidR="005E03B5" w:rsidRDefault="005E03B5">
      <w:pPr>
        <w:pStyle w:val="a5"/>
        <w:rPr>
          <w:rtl/>
          <w:lang w:bidi="ar-DZ"/>
        </w:rPr>
      </w:pPr>
    </w:p>
  </w:footnote>
  <w:footnote w:id="6">
    <w:p w:rsidR="005E03B5" w:rsidRPr="002B40D9" w:rsidRDefault="005E03B5" w:rsidP="005E03B5">
      <w:pPr>
        <w:tabs>
          <w:tab w:val="right" w:pos="142"/>
          <w:tab w:val="right" w:pos="540"/>
        </w:tabs>
        <w:contextualSpacing/>
        <w:jc w:val="lowKashida"/>
        <w:rPr>
          <w:rFonts w:ascii="TT7937o00" w:hAnsi="TT7937o00" w:cs="Traditional Arabic"/>
          <w:sz w:val="20"/>
          <w:szCs w:val="20"/>
          <w:rtl/>
          <w:lang w:bidi="ar-DZ"/>
        </w:rPr>
      </w:pPr>
      <w:r>
        <w:rPr>
          <w:rStyle w:val="a6"/>
        </w:rPr>
        <w:footnoteRef/>
      </w:r>
      <w:r>
        <w:rPr>
          <w:rtl/>
        </w:rPr>
        <w:t xml:space="preserve"> </w:t>
      </w:r>
      <w:r w:rsidRPr="00326092">
        <w:rPr>
          <w:rFonts w:ascii="TT7937o00" w:hAnsi="TT7937o00" w:cs="Traditional Arabic" w:hint="cs"/>
          <w:sz w:val="20"/>
          <w:szCs w:val="20"/>
          <w:rtl/>
          <w:lang w:bidi="ar-DZ"/>
        </w:rPr>
        <w:t xml:space="preserve">د- فتحي الدريني. نظرية التعسف في </w:t>
      </w:r>
      <w:r>
        <w:rPr>
          <w:rFonts w:ascii="TT7937o00" w:hAnsi="TT7937o00" w:cs="Traditional Arabic" w:hint="cs"/>
          <w:sz w:val="20"/>
          <w:szCs w:val="20"/>
          <w:rtl/>
          <w:lang w:bidi="ar-DZ"/>
        </w:rPr>
        <w:t>استعمال</w:t>
      </w:r>
      <w:r w:rsidRPr="00326092">
        <w:rPr>
          <w:rFonts w:ascii="TT7937o00" w:hAnsi="TT7937o00" w:cs="Traditional Arabic" w:hint="cs"/>
          <w:sz w:val="20"/>
          <w:szCs w:val="20"/>
          <w:rtl/>
          <w:lang w:bidi="ar-DZ"/>
        </w:rPr>
        <w:t xml:space="preserve"> الحق في الفقه الإسلامي ص</w:t>
      </w:r>
      <w:r>
        <w:rPr>
          <w:rFonts w:ascii="TT7937o00" w:hAnsi="TT7937o00" w:cs="Traditional Arabic" w:hint="cs"/>
          <w:sz w:val="20"/>
          <w:szCs w:val="20"/>
          <w:rtl/>
          <w:lang w:bidi="ar-DZ"/>
        </w:rPr>
        <w:t>388</w:t>
      </w:r>
      <w:r w:rsidRPr="00326092">
        <w:rPr>
          <w:rFonts w:ascii="TT7937o00" w:hAnsi="TT7937o00" w:cs="Traditional Arabic" w:hint="cs"/>
          <w:sz w:val="20"/>
          <w:szCs w:val="20"/>
          <w:rtl/>
          <w:lang w:bidi="ar-DZ"/>
        </w:rPr>
        <w:t xml:space="preserve"> </w:t>
      </w:r>
    </w:p>
    <w:p w:rsidR="005E03B5" w:rsidRDefault="005E03B5">
      <w:pPr>
        <w:pStyle w:val="a5"/>
        <w:rPr>
          <w:rtl/>
          <w:lang w:bidi="ar-DZ"/>
        </w:rPr>
      </w:pPr>
    </w:p>
  </w:footnote>
  <w:footnote w:id="7">
    <w:p w:rsidR="005E03B5" w:rsidRDefault="005E03B5" w:rsidP="005E03B5">
      <w:pPr>
        <w:tabs>
          <w:tab w:val="right" w:pos="142"/>
          <w:tab w:val="right" w:pos="540"/>
        </w:tabs>
        <w:contextualSpacing/>
        <w:jc w:val="lowKashida"/>
        <w:rPr>
          <w:rFonts w:ascii="TT7937o00" w:hAnsi="TT7937o00" w:cs="Traditional Arabic"/>
          <w:sz w:val="20"/>
          <w:szCs w:val="20"/>
          <w:rtl/>
          <w:lang w:bidi="ar-DZ"/>
        </w:rPr>
      </w:pPr>
      <w:r>
        <w:rPr>
          <w:rStyle w:val="a6"/>
        </w:rPr>
        <w:footnoteRef/>
      </w:r>
      <w:r>
        <w:rPr>
          <w:rtl/>
        </w:rPr>
        <w:t xml:space="preserve"> </w:t>
      </w:r>
      <w:r w:rsidRPr="00326092">
        <w:rPr>
          <w:rFonts w:ascii="TT7937o00" w:hAnsi="TT7937o00" w:cs="Traditional Arabic" w:hint="cs"/>
          <w:sz w:val="20"/>
          <w:szCs w:val="20"/>
          <w:rtl/>
          <w:lang w:bidi="ar-DZ"/>
        </w:rPr>
        <w:t xml:space="preserve">د- فتحي الدريني. </w:t>
      </w:r>
      <w:r>
        <w:rPr>
          <w:rFonts w:ascii="TT7937o00" w:hAnsi="TT7937o00" w:cs="Traditional Arabic" w:hint="cs"/>
          <w:sz w:val="20"/>
          <w:szCs w:val="20"/>
          <w:rtl/>
          <w:lang w:bidi="ar-DZ"/>
        </w:rPr>
        <w:t>مرجع سابق</w:t>
      </w:r>
      <w:r w:rsidRPr="00326092">
        <w:rPr>
          <w:rFonts w:ascii="TT7937o00" w:hAnsi="TT7937o00" w:cs="Traditional Arabic" w:hint="cs"/>
          <w:sz w:val="20"/>
          <w:szCs w:val="20"/>
          <w:rtl/>
          <w:lang w:bidi="ar-DZ"/>
        </w:rPr>
        <w:t xml:space="preserve"> ص</w:t>
      </w:r>
      <w:r>
        <w:rPr>
          <w:rFonts w:ascii="TT7937o00" w:hAnsi="TT7937o00" w:cs="Traditional Arabic" w:hint="cs"/>
          <w:sz w:val="20"/>
          <w:szCs w:val="20"/>
          <w:rtl/>
          <w:lang w:bidi="ar-DZ"/>
        </w:rPr>
        <w:t>392</w:t>
      </w:r>
      <w:r w:rsidRPr="00326092">
        <w:rPr>
          <w:rFonts w:ascii="TT7937o00" w:hAnsi="TT7937o00" w:cs="Traditional Arabic" w:hint="cs"/>
          <w:sz w:val="20"/>
          <w:szCs w:val="20"/>
          <w:rtl/>
          <w:lang w:bidi="ar-DZ"/>
        </w:rPr>
        <w:t>-</w:t>
      </w:r>
      <w:r>
        <w:rPr>
          <w:rFonts w:ascii="TT7937o00" w:hAnsi="TT7937o00" w:cs="Traditional Arabic" w:hint="cs"/>
          <w:sz w:val="20"/>
          <w:szCs w:val="20"/>
          <w:rtl/>
          <w:lang w:bidi="ar-DZ"/>
        </w:rPr>
        <w:t>393-395</w:t>
      </w:r>
      <w:r w:rsidRPr="00326092">
        <w:rPr>
          <w:rFonts w:ascii="TT7937o00" w:hAnsi="TT7937o00" w:cs="Traditional Arabic" w:hint="cs"/>
          <w:sz w:val="20"/>
          <w:szCs w:val="20"/>
          <w:rtl/>
          <w:lang w:bidi="ar-DZ"/>
        </w:rPr>
        <w:t xml:space="preserve"> </w:t>
      </w:r>
    </w:p>
    <w:p w:rsidR="005E03B5" w:rsidRDefault="005E03B5">
      <w:pPr>
        <w:pStyle w:val="a5"/>
        <w:rPr>
          <w:lang w:bidi="ar-DZ"/>
        </w:rPr>
      </w:pPr>
    </w:p>
  </w:footnote>
  <w:footnote w:id="8">
    <w:p w:rsidR="005E03B5" w:rsidRPr="00326092" w:rsidRDefault="005E03B5" w:rsidP="005E03B5">
      <w:pPr>
        <w:tabs>
          <w:tab w:val="right" w:pos="142"/>
          <w:tab w:val="right" w:pos="540"/>
        </w:tabs>
        <w:contextualSpacing/>
        <w:jc w:val="lowKashida"/>
        <w:rPr>
          <w:rFonts w:ascii="TT7937o00" w:hAnsi="TT7937o00" w:cs="Traditional Arabic"/>
          <w:sz w:val="20"/>
          <w:szCs w:val="20"/>
          <w:rtl/>
          <w:lang w:bidi="ar-DZ"/>
        </w:rPr>
      </w:pPr>
      <w:r>
        <w:rPr>
          <w:rStyle w:val="a6"/>
        </w:rPr>
        <w:footnoteRef/>
      </w:r>
      <w:r>
        <w:rPr>
          <w:rtl/>
        </w:rPr>
        <w:t xml:space="preserve"> </w:t>
      </w:r>
      <w:r>
        <w:rPr>
          <w:rFonts w:ascii="TT7937o00" w:hAnsi="TT7937o00" w:cs="Traditional Arabic" w:hint="cs"/>
          <w:sz w:val="20"/>
          <w:szCs w:val="20"/>
          <w:rtl/>
          <w:lang w:bidi="ar-DZ"/>
        </w:rPr>
        <w:t xml:space="preserve">د- إسماعيل كاضم العيساوي </w:t>
      </w:r>
      <w:r>
        <w:rPr>
          <w:rFonts w:ascii="TT7937o00" w:hAnsi="TT7937o00" w:cs="Traditional Arabic"/>
          <w:sz w:val="20"/>
          <w:szCs w:val="20"/>
          <w:rtl/>
          <w:lang w:bidi="ar-DZ"/>
        </w:rPr>
        <w:t>–</w:t>
      </w:r>
      <w:r>
        <w:rPr>
          <w:rFonts w:ascii="TT7937o00" w:hAnsi="TT7937o00" w:cs="Traditional Arabic" w:hint="cs"/>
          <w:sz w:val="20"/>
          <w:szCs w:val="20"/>
          <w:rtl/>
          <w:lang w:bidi="ar-DZ"/>
        </w:rPr>
        <w:t xml:space="preserve">مجلة سابقة ص 82 -83 </w:t>
      </w:r>
    </w:p>
    <w:p w:rsidR="005E03B5" w:rsidRDefault="005E03B5">
      <w:pPr>
        <w:pStyle w:val="a5"/>
        <w:rPr>
          <w:rtl/>
          <w:lang w:bidi="ar-DZ"/>
        </w:rPr>
      </w:pPr>
    </w:p>
  </w:footnote>
  <w:footnote w:id="9">
    <w:p w:rsidR="005E03B5" w:rsidRPr="00236B50" w:rsidRDefault="005E03B5" w:rsidP="005E03B5">
      <w:pPr>
        <w:tabs>
          <w:tab w:val="right" w:pos="142"/>
          <w:tab w:val="right" w:pos="540"/>
        </w:tabs>
        <w:contextualSpacing/>
        <w:jc w:val="lowKashida"/>
        <w:rPr>
          <w:rFonts w:ascii="TT7937o00" w:hAnsi="TT7937o00" w:cs="Traditional Arabic"/>
          <w:sz w:val="20"/>
          <w:szCs w:val="20"/>
          <w:rtl/>
          <w:lang w:bidi="ar-DZ"/>
        </w:rPr>
      </w:pPr>
      <w:r>
        <w:rPr>
          <w:rStyle w:val="a6"/>
        </w:rPr>
        <w:footnoteRef/>
      </w:r>
      <w:r>
        <w:rPr>
          <w:rtl/>
        </w:rPr>
        <w:t xml:space="preserve"> </w:t>
      </w:r>
      <w:r w:rsidRPr="00326092">
        <w:rPr>
          <w:rFonts w:ascii="TT7937o00" w:hAnsi="TT7937o00" w:cs="Traditional Arabic" w:hint="cs"/>
          <w:sz w:val="20"/>
          <w:szCs w:val="20"/>
          <w:rtl/>
          <w:lang w:bidi="ar-DZ"/>
        </w:rPr>
        <w:t xml:space="preserve">د- فتحي الدريني. نظرية التعسف في </w:t>
      </w:r>
      <w:r>
        <w:rPr>
          <w:rFonts w:ascii="TT7937o00" w:hAnsi="TT7937o00" w:cs="Traditional Arabic" w:hint="cs"/>
          <w:sz w:val="20"/>
          <w:szCs w:val="20"/>
          <w:rtl/>
          <w:lang w:bidi="ar-DZ"/>
        </w:rPr>
        <w:t>استعمال</w:t>
      </w:r>
      <w:r w:rsidRPr="00326092">
        <w:rPr>
          <w:rFonts w:ascii="TT7937o00" w:hAnsi="TT7937o00" w:cs="Traditional Arabic" w:hint="cs"/>
          <w:sz w:val="20"/>
          <w:szCs w:val="20"/>
          <w:rtl/>
          <w:lang w:bidi="ar-DZ"/>
        </w:rPr>
        <w:t xml:space="preserve"> الحق في الفقه الإسلامي </w:t>
      </w:r>
      <w:r>
        <w:rPr>
          <w:rFonts w:ascii="TT7937o00" w:hAnsi="TT7937o00" w:cs="Traditional Arabic" w:hint="cs"/>
          <w:sz w:val="20"/>
          <w:szCs w:val="20"/>
          <w:rtl/>
          <w:lang w:bidi="ar-DZ"/>
        </w:rPr>
        <w:t xml:space="preserve">مرجع سابق </w:t>
      </w:r>
      <w:r w:rsidRPr="00326092">
        <w:rPr>
          <w:rFonts w:ascii="TT7937o00" w:hAnsi="TT7937o00" w:cs="Traditional Arabic" w:hint="cs"/>
          <w:sz w:val="20"/>
          <w:szCs w:val="20"/>
          <w:rtl/>
          <w:lang w:bidi="ar-DZ"/>
        </w:rPr>
        <w:t xml:space="preserve"> </w:t>
      </w:r>
      <w:r>
        <w:rPr>
          <w:rFonts w:ascii="TT7937o00" w:hAnsi="TT7937o00" w:cs="Traditional Arabic" w:hint="cs"/>
          <w:sz w:val="20"/>
          <w:szCs w:val="20"/>
          <w:rtl/>
          <w:lang w:bidi="ar-DZ"/>
        </w:rPr>
        <w:t>ص 394-395</w:t>
      </w:r>
      <w:r w:rsidRPr="00326092">
        <w:rPr>
          <w:rFonts w:ascii="TT7937o00" w:hAnsi="TT7937o00" w:cs="Traditional Arabic" w:hint="cs"/>
          <w:sz w:val="20"/>
          <w:szCs w:val="20"/>
          <w:rtl/>
          <w:lang w:bidi="ar-DZ"/>
        </w:rPr>
        <w:t xml:space="preserve"> </w:t>
      </w:r>
    </w:p>
    <w:p w:rsidR="005E03B5" w:rsidRDefault="005E03B5">
      <w:pPr>
        <w:pStyle w:val="a5"/>
        <w:rPr>
          <w:lang w:bidi="ar-DZ"/>
        </w:rPr>
      </w:pPr>
    </w:p>
  </w:footnote>
  <w:footnote w:id="10">
    <w:p w:rsidR="005E03B5" w:rsidRPr="00236B50" w:rsidRDefault="005E03B5" w:rsidP="005E03B5">
      <w:pPr>
        <w:tabs>
          <w:tab w:val="right" w:pos="142"/>
          <w:tab w:val="right" w:pos="540"/>
        </w:tabs>
        <w:contextualSpacing/>
        <w:jc w:val="both"/>
        <w:rPr>
          <w:rFonts w:ascii="TT7937o00" w:hAnsi="TT7937o00" w:cs="Traditional Arabic"/>
          <w:sz w:val="20"/>
          <w:szCs w:val="20"/>
          <w:rtl/>
          <w:lang w:bidi="ar-DZ"/>
        </w:rPr>
      </w:pPr>
      <w:r>
        <w:rPr>
          <w:rStyle w:val="a6"/>
        </w:rPr>
        <w:footnoteRef/>
      </w:r>
      <w:r>
        <w:rPr>
          <w:rtl/>
        </w:rPr>
        <w:t xml:space="preserve"> </w:t>
      </w:r>
      <w:r>
        <w:rPr>
          <w:rFonts w:ascii="TT7937o00" w:hAnsi="TT7937o00" w:cs="Traditional Arabic" w:hint="cs"/>
          <w:sz w:val="20"/>
          <w:szCs w:val="20"/>
          <w:rtl/>
          <w:lang w:bidi="ar-DZ"/>
        </w:rPr>
        <w:t xml:space="preserve">- </w:t>
      </w:r>
      <w:r w:rsidRPr="00326092">
        <w:rPr>
          <w:rFonts w:ascii="TT7937o00" w:hAnsi="TT7937o00" w:cs="Traditional Arabic" w:hint="cs"/>
          <w:sz w:val="20"/>
          <w:szCs w:val="20"/>
          <w:rtl/>
          <w:lang w:bidi="ar-DZ"/>
        </w:rPr>
        <w:t xml:space="preserve">د- فتحي الدريني. </w:t>
      </w:r>
      <w:r>
        <w:rPr>
          <w:rFonts w:ascii="TT7937o00" w:hAnsi="TT7937o00" w:cs="Traditional Arabic"/>
          <w:sz w:val="20"/>
          <w:szCs w:val="20"/>
          <w:rtl/>
          <w:lang w:bidi="ar-DZ"/>
        </w:rPr>
        <w:t>–</w:t>
      </w:r>
      <w:r>
        <w:rPr>
          <w:rFonts w:ascii="TT7937o00" w:hAnsi="TT7937o00" w:cs="Traditional Arabic" w:hint="cs"/>
          <w:sz w:val="20"/>
          <w:szCs w:val="20"/>
          <w:rtl/>
          <w:lang w:bidi="ar-DZ"/>
        </w:rPr>
        <w:t>مرجع سابق</w:t>
      </w:r>
      <w:r w:rsidRPr="00326092">
        <w:rPr>
          <w:rFonts w:ascii="TT7937o00" w:hAnsi="TT7937o00" w:cs="Traditional Arabic" w:hint="cs"/>
          <w:sz w:val="20"/>
          <w:szCs w:val="20"/>
          <w:rtl/>
          <w:lang w:bidi="ar-DZ"/>
        </w:rPr>
        <w:t xml:space="preserve"> ص </w:t>
      </w:r>
      <w:r>
        <w:rPr>
          <w:rFonts w:ascii="TT7937o00" w:hAnsi="TT7937o00" w:cs="Traditional Arabic" w:hint="cs"/>
          <w:sz w:val="20"/>
          <w:szCs w:val="20"/>
          <w:rtl/>
          <w:lang w:bidi="ar-DZ"/>
        </w:rPr>
        <w:t>386-390</w:t>
      </w:r>
    </w:p>
    <w:p w:rsidR="005E03B5" w:rsidRDefault="005E03B5">
      <w:pPr>
        <w:pStyle w:val="a5"/>
        <w:rPr>
          <w:rtl/>
          <w:lang w:bidi="ar-DZ"/>
        </w:rPr>
      </w:pPr>
    </w:p>
  </w:footnote>
  <w:footnote w:id="11">
    <w:p w:rsidR="00025B1A" w:rsidRPr="00025B1A" w:rsidRDefault="00025B1A">
      <w:pPr>
        <w:pStyle w:val="a5"/>
        <w:rPr>
          <w:color w:val="FFFFFF" w:themeColor="background1"/>
          <w:rtl/>
          <w:lang w:bidi="ar-DZ"/>
        </w:rPr>
      </w:pPr>
      <w:r w:rsidRPr="00025B1A">
        <w:rPr>
          <w:rStyle w:val="a6"/>
          <w:color w:val="FFFFFF" w:themeColor="background1"/>
        </w:rPr>
        <w:footnoteRef/>
      </w:r>
      <w:r w:rsidRPr="00025B1A">
        <w:rPr>
          <w:color w:val="FFFFFF" w:themeColor="background1"/>
          <w:rtl/>
        </w:rPr>
        <w:t xml:space="preserve"> </w:t>
      </w:r>
    </w:p>
  </w:footnote>
  <w:footnote w:id="12">
    <w:p w:rsidR="005E03B5" w:rsidRPr="005E03B5" w:rsidRDefault="005E03B5" w:rsidP="002807F3">
      <w:pPr>
        <w:tabs>
          <w:tab w:val="right" w:pos="142"/>
          <w:tab w:val="right" w:pos="540"/>
        </w:tabs>
        <w:contextualSpacing/>
        <w:jc w:val="lowKashida"/>
        <w:rPr>
          <w:rFonts w:ascii="TT7937o00" w:hAnsi="TT7937o00" w:cs="Traditional Arabic"/>
          <w:sz w:val="20"/>
          <w:szCs w:val="20"/>
          <w:lang w:bidi="ar-DZ"/>
        </w:rPr>
      </w:pPr>
      <w:r>
        <w:rPr>
          <w:rStyle w:val="a6"/>
        </w:rPr>
        <w:footnoteRef/>
      </w:r>
      <w:r>
        <w:rPr>
          <w:rtl/>
        </w:rPr>
        <w:t xml:space="preserve"> </w:t>
      </w:r>
      <w:r>
        <w:rPr>
          <w:rFonts w:ascii="TT7937o00" w:hAnsi="TT7937o00" w:cs="Traditional Arabic" w:hint="cs"/>
          <w:sz w:val="20"/>
          <w:szCs w:val="20"/>
          <w:rtl/>
          <w:lang w:bidi="ar-DZ"/>
        </w:rPr>
        <w:t xml:space="preserve">زرارة عواطف . التزامات الجوار في القانون المدني الجزائري . دفاتر السياسة والقانون </w:t>
      </w:r>
      <w:r>
        <w:rPr>
          <w:rFonts w:ascii="TT7937o00" w:hAnsi="TT7937o00" w:cs="Traditional Arabic"/>
          <w:sz w:val="20"/>
          <w:szCs w:val="20"/>
          <w:rtl/>
          <w:lang w:bidi="ar-DZ"/>
        </w:rPr>
        <w:t>–</w:t>
      </w:r>
      <w:r>
        <w:rPr>
          <w:rFonts w:ascii="TT7937o00" w:hAnsi="TT7937o00" w:cs="Traditional Arabic" w:hint="cs"/>
          <w:sz w:val="20"/>
          <w:szCs w:val="20"/>
          <w:rtl/>
          <w:lang w:bidi="ar-DZ"/>
        </w:rPr>
        <w:t xml:space="preserve"> الجزائر ،ع 3 (2011) </w:t>
      </w:r>
      <w:r w:rsidR="002807F3">
        <w:rPr>
          <w:rFonts w:ascii="TT7937o00" w:hAnsi="TT7937o00" w:cs="Traditional Arabic" w:hint="cs"/>
          <w:sz w:val="20"/>
          <w:szCs w:val="20"/>
          <w:rtl/>
          <w:lang w:bidi="ar-DZ"/>
        </w:rPr>
        <w:t>،</w:t>
      </w:r>
      <w:r>
        <w:rPr>
          <w:rFonts w:ascii="TT7937o00" w:hAnsi="TT7937o00" w:cs="Traditional Arabic" w:hint="cs"/>
          <w:sz w:val="20"/>
          <w:szCs w:val="20"/>
          <w:rtl/>
          <w:lang w:bidi="ar-DZ"/>
        </w:rPr>
        <w:t xml:space="preserve">ص 195-196.  </w:t>
      </w:r>
    </w:p>
    <w:p w:rsidR="005E03B5" w:rsidRPr="005E03B5" w:rsidRDefault="005E03B5">
      <w:pPr>
        <w:pStyle w:val="a5"/>
        <w:rPr>
          <w:rtl/>
          <w:lang w:bidi="ar-DZ"/>
        </w:rPr>
      </w:pPr>
    </w:p>
  </w:footnote>
  <w:footnote w:id="13">
    <w:p w:rsidR="000F5149" w:rsidRPr="00335D1F" w:rsidRDefault="000F5149" w:rsidP="000F5149">
      <w:pPr>
        <w:pStyle w:val="a5"/>
        <w:rPr>
          <w:rFonts w:ascii="Traditional Arabic" w:hAnsi="Traditional Arabic" w:cs="Traditional Arabic"/>
          <w:rtl/>
        </w:rPr>
      </w:pPr>
      <w:r>
        <w:rPr>
          <w:rStyle w:val="a6"/>
        </w:rPr>
        <w:footnoteRef/>
      </w:r>
      <w:r>
        <w:rPr>
          <w:rtl/>
        </w:rPr>
        <w:t xml:space="preserve"> </w:t>
      </w:r>
      <w:r w:rsidRPr="00335D1F">
        <w:rPr>
          <w:rFonts w:ascii="Traditional Arabic" w:hAnsi="Traditional Arabic" w:cs="Traditional Arabic"/>
          <w:rtl/>
        </w:rPr>
        <w:t>سامح عبد السلام  محمد " في معايير التعسف في استعمال الحق " شبكة الالوكة</w:t>
      </w:r>
    </w:p>
  </w:footnote>
  <w:footnote w:id="14">
    <w:p w:rsidR="000F5149" w:rsidRPr="00335D1F" w:rsidRDefault="000F5149" w:rsidP="000F5149">
      <w:pPr>
        <w:pStyle w:val="a5"/>
        <w:rPr>
          <w:rFonts w:ascii="Traditional Arabic" w:hAnsi="Traditional Arabic" w:cs="Traditional Arabic"/>
          <w:rtl/>
        </w:rPr>
      </w:pPr>
      <w:r w:rsidRPr="00335D1F">
        <w:rPr>
          <w:rStyle w:val="a6"/>
          <w:rFonts w:ascii="Traditional Arabic" w:hAnsi="Traditional Arabic" w:cs="Traditional Arabic"/>
        </w:rPr>
        <w:footnoteRef/>
      </w:r>
      <w:r w:rsidRPr="00335D1F">
        <w:rPr>
          <w:rFonts w:ascii="Traditional Arabic" w:hAnsi="Traditional Arabic" w:cs="Traditional Arabic"/>
          <w:rtl/>
        </w:rPr>
        <w:t xml:space="preserve"> أمين رجا رشيد دواس " معايير التعسف " مرجع سابق , صفحة 166</w:t>
      </w:r>
    </w:p>
  </w:footnote>
  <w:footnote w:id="15">
    <w:p w:rsidR="000F5149" w:rsidRPr="00335D1F" w:rsidRDefault="000F5149" w:rsidP="000F5149">
      <w:pPr>
        <w:pStyle w:val="a5"/>
        <w:rPr>
          <w:rFonts w:ascii="Traditional Arabic" w:hAnsi="Traditional Arabic" w:cs="Traditional Arabic"/>
          <w:rtl/>
        </w:rPr>
      </w:pPr>
      <w:r w:rsidRPr="00335D1F">
        <w:rPr>
          <w:rStyle w:val="a6"/>
          <w:rFonts w:ascii="Traditional Arabic" w:hAnsi="Traditional Arabic" w:cs="Traditional Arabic"/>
        </w:rPr>
        <w:footnoteRef/>
      </w:r>
      <w:r w:rsidRPr="00335D1F">
        <w:rPr>
          <w:rFonts w:ascii="Traditional Arabic" w:hAnsi="Traditional Arabic" w:cs="Traditional Arabic"/>
          <w:rtl/>
        </w:rPr>
        <w:t xml:space="preserve"> فتحي الدريني " نظرية التعسف " مرجع سابق ,صفحة 411</w:t>
      </w:r>
    </w:p>
  </w:footnote>
  <w:footnote w:id="16">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فتحي الدريني ، مرجع سابق ص 398 .</w:t>
      </w:r>
    </w:p>
  </w:footnote>
  <w:footnote w:id="17">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نفس المرجع ص 399-400</w:t>
      </w:r>
    </w:p>
  </w:footnote>
  <w:footnote w:id="18">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شوقي السيد ، التعسف في استعمال الحق ، دار الشرق ، مصر 2007 ،ص 299</w:t>
      </w:r>
    </w:p>
  </w:footnote>
  <w:footnote w:id="19">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إبراهيم سيد أحمد ، التعسف في استعمال الحق فقها و قضاءا ،دار الفكر الجامعي مصر 2002 ، ص70 .</w:t>
      </w:r>
    </w:p>
  </w:footnote>
  <w:footnote w:id="20">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 xml:space="preserve">زرارة عواطف ، مسؤولية ملك العقار عن مضار الجوار غير المألوفة في التشريع الجزائري ، باتنة الجزائر 2012 ، ص94 </w:t>
      </w:r>
    </w:p>
  </w:footnote>
  <w:footnote w:id="21">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محمد احمد بكر ، مسؤولية المالك عن التعسف في استعمال الحق ، مرجع سابق ، ص 640</w:t>
      </w:r>
    </w:p>
  </w:footnote>
  <w:footnote w:id="22">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أمين رجا رشيد دواس ،معايير التعسف ، مرجع سابق ، ص96 .</w:t>
      </w:r>
    </w:p>
  </w:footnote>
  <w:footnote w:id="23">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 xml:space="preserve">سورة البقرة ، الآية 219 </w:t>
      </w:r>
    </w:p>
  </w:footnote>
  <w:footnote w:id="24">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أحمد محمود خليل ، سوء استعمال الحق في الإسلام ، المرجع السابق ، ص33 .</w:t>
      </w:r>
    </w:p>
  </w:footnote>
  <w:footnote w:id="25">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أخرجه البخاري 2686 ، والإمام  أحمد 18361 من حديث أبي سعيد الخذري .</w:t>
      </w:r>
    </w:p>
  </w:footnote>
  <w:footnote w:id="26">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محمد علي الصابوني ، من كنوز السنة ، مكتبة الرحاب الجزائر ، ص 9-10 .</w:t>
      </w:r>
    </w:p>
  </w:footnote>
  <w:footnote w:id="27">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محمد أحمد بكر ، المرجع السابق ، ص 641 .</w:t>
      </w:r>
    </w:p>
  </w:footnote>
  <w:footnote w:id="28">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 xml:space="preserve"> صحيح مسلم رقم 9045 ، الجزء 6 .</w:t>
      </w:r>
    </w:p>
  </w:footnote>
  <w:footnote w:id="29">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أمين رجا رشيد دواس ،معايير التعسف ، مرجع سابق ، ص89-90</w:t>
      </w:r>
    </w:p>
  </w:footnote>
  <w:footnote w:id="30">
    <w:p w:rsidR="000F5149" w:rsidRPr="00321065" w:rsidRDefault="000F5149" w:rsidP="000F5149">
      <w:pPr>
        <w:pStyle w:val="a5"/>
        <w:rPr>
          <w:rFonts w:ascii="Traditional Arabic" w:hAnsi="Traditional Arabic" w:cs="Traditional Arabic"/>
          <w:rtl/>
          <w:lang w:bidi="ar-DZ"/>
        </w:rPr>
      </w:pPr>
      <w:r w:rsidRPr="00321065">
        <w:rPr>
          <w:rStyle w:val="a6"/>
          <w:rFonts w:ascii="Traditional Arabic" w:hAnsi="Traditional Arabic" w:cs="Traditional Arabic"/>
        </w:rPr>
        <w:footnoteRef/>
      </w:r>
      <w:r w:rsidRPr="00321065">
        <w:rPr>
          <w:rFonts w:ascii="Traditional Arabic" w:hAnsi="Traditional Arabic" w:cs="Traditional Arabic"/>
          <w:rtl/>
        </w:rPr>
        <w:t xml:space="preserve"> </w:t>
      </w:r>
      <w:r w:rsidRPr="00321065">
        <w:rPr>
          <w:rFonts w:ascii="Traditional Arabic" w:hAnsi="Traditional Arabic" w:cs="Traditional Arabic"/>
          <w:rtl/>
          <w:lang w:bidi="ar-DZ"/>
        </w:rPr>
        <w:t xml:space="preserve"> العربي مجيدي ، المرجع السابق ، ص 313</w:t>
      </w:r>
    </w:p>
  </w:footnote>
  <w:footnote w:id="31">
    <w:p w:rsidR="000F5149" w:rsidRPr="003D2197" w:rsidRDefault="000F5149" w:rsidP="000F5149">
      <w:pPr>
        <w:pStyle w:val="a5"/>
        <w:rPr>
          <w:rFonts w:ascii="Traditional Arabic" w:hAnsi="Traditional Arabic" w:cs="Traditional Arabic"/>
          <w:rtl/>
          <w:lang w:bidi="ar-DZ"/>
        </w:rPr>
      </w:pPr>
      <w:r w:rsidRPr="003D2197">
        <w:rPr>
          <w:rStyle w:val="a6"/>
          <w:rFonts w:ascii="Traditional Arabic" w:hAnsi="Traditional Arabic" w:cs="Traditional Arabic"/>
        </w:rPr>
        <w:footnoteRef/>
      </w:r>
      <w:r w:rsidRPr="003D2197">
        <w:rPr>
          <w:rFonts w:ascii="Traditional Arabic" w:hAnsi="Traditional Arabic" w:cs="Traditional Arabic"/>
          <w:rtl/>
        </w:rPr>
        <w:t xml:space="preserve"> </w:t>
      </w:r>
      <w:r w:rsidRPr="003D2197">
        <w:rPr>
          <w:rFonts w:ascii="Traditional Arabic" w:hAnsi="Traditional Arabic" w:cs="Traditional Arabic"/>
          <w:rtl/>
          <w:lang w:bidi="ar-DZ"/>
        </w:rPr>
        <w:t>فتحي الدريني ، المرجع السابق ، ص 403</w:t>
      </w:r>
    </w:p>
  </w:footnote>
  <w:footnote w:id="32">
    <w:p w:rsidR="000F5149" w:rsidRPr="003D2197" w:rsidRDefault="000F5149" w:rsidP="000F5149">
      <w:pPr>
        <w:pStyle w:val="a5"/>
        <w:rPr>
          <w:rFonts w:ascii="Traditional Arabic" w:hAnsi="Traditional Arabic" w:cs="Traditional Arabic"/>
          <w:rtl/>
          <w:lang w:bidi="ar-DZ"/>
        </w:rPr>
      </w:pPr>
      <w:r w:rsidRPr="003D2197">
        <w:rPr>
          <w:rStyle w:val="a6"/>
          <w:rFonts w:ascii="Traditional Arabic" w:hAnsi="Traditional Arabic" w:cs="Traditional Arabic"/>
        </w:rPr>
        <w:footnoteRef/>
      </w:r>
      <w:r w:rsidRPr="003D2197">
        <w:rPr>
          <w:rFonts w:ascii="Traditional Arabic" w:hAnsi="Traditional Arabic" w:cs="Traditional Arabic"/>
          <w:rtl/>
        </w:rPr>
        <w:t xml:space="preserve"> </w:t>
      </w:r>
      <w:r w:rsidRPr="003D2197">
        <w:rPr>
          <w:rFonts w:ascii="Traditional Arabic" w:hAnsi="Traditional Arabic" w:cs="Traditional Arabic"/>
          <w:rtl/>
          <w:lang w:bidi="ar-DZ"/>
        </w:rPr>
        <w:t>فتحي الدريني ، المرجع السابق ، ص 405</w:t>
      </w:r>
    </w:p>
  </w:footnote>
  <w:footnote w:id="33">
    <w:p w:rsidR="000F5149" w:rsidRPr="003D2197" w:rsidRDefault="000F5149" w:rsidP="000F5149">
      <w:pPr>
        <w:pStyle w:val="a5"/>
        <w:rPr>
          <w:rFonts w:ascii="Traditional Arabic" w:hAnsi="Traditional Arabic" w:cs="Traditional Arabic"/>
          <w:rtl/>
          <w:lang w:bidi="ar-DZ"/>
        </w:rPr>
      </w:pPr>
      <w:r w:rsidRPr="003D2197">
        <w:rPr>
          <w:rStyle w:val="a6"/>
          <w:rFonts w:ascii="Traditional Arabic" w:hAnsi="Traditional Arabic" w:cs="Traditional Arabic"/>
        </w:rPr>
        <w:footnoteRef/>
      </w:r>
      <w:r w:rsidRPr="003D2197">
        <w:rPr>
          <w:rFonts w:ascii="Traditional Arabic" w:hAnsi="Traditional Arabic" w:cs="Traditional Arabic"/>
          <w:rtl/>
        </w:rPr>
        <w:t xml:space="preserve"> </w:t>
      </w:r>
      <w:r w:rsidRPr="003D2197">
        <w:rPr>
          <w:rFonts w:ascii="Traditional Arabic" w:hAnsi="Traditional Arabic" w:cs="Traditional Arabic"/>
          <w:rtl/>
          <w:lang w:bidi="ar-DZ"/>
        </w:rPr>
        <w:t xml:space="preserve">تطابق هذه المادة 1029 ق المدني المصري . </w:t>
      </w:r>
    </w:p>
  </w:footnote>
  <w:footnote w:id="34">
    <w:p w:rsidR="000F5149" w:rsidRPr="003D2197" w:rsidRDefault="000F5149" w:rsidP="000F5149">
      <w:pPr>
        <w:pStyle w:val="a5"/>
        <w:rPr>
          <w:rFonts w:ascii="Traditional Arabic" w:hAnsi="Traditional Arabic" w:cs="Traditional Arabic"/>
          <w:lang w:val="fr-FR" w:bidi="ar-DZ"/>
        </w:rPr>
      </w:pPr>
      <w:r w:rsidRPr="003D2197">
        <w:rPr>
          <w:rStyle w:val="a6"/>
          <w:rFonts w:ascii="Traditional Arabic" w:hAnsi="Traditional Arabic" w:cs="Traditional Arabic"/>
        </w:rPr>
        <w:footnoteRef/>
      </w:r>
      <w:r w:rsidRPr="003D2197">
        <w:rPr>
          <w:rFonts w:ascii="Traditional Arabic" w:hAnsi="Traditional Arabic" w:cs="Traditional Arabic"/>
          <w:rtl/>
        </w:rPr>
        <w:t xml:space="preserve"> </w:t>
      </w:r>
      <w:hyperlink r:id="rId1" w:history="1">
        <w:r w:rsidRPr="003D2197">
          <w:rPr>
            <w:rStyle w:val="Hyperlink"/>
            <w:rFonts w:ascii="Traditional Arabic" w:hAnsi="Traditional Arabic" w:cs="Traditional Arabic"/>
            <w:color w:val="000000" w:themeColor="text1"/>
            <w:u w:val="none"/>
            <w:lang w:val="fr-FR" w:bidi="ar-DZ"/>
          </w:rPr>
          <w:t>https://www.olukah.net</w:t>
        </w:r>
      </w:hyperlink>
      <w:r w:rsidRPr="003D2197">
        <w:rPr>
          <w:rFonts w:ascii="Traditional Arabic" w:hAnsi="Traditional Arabic" w:cs="Traditional Arabic"/>
          <w:color w:val="000000" w:themeColor="text1"/>
          <w:lang w:val="fr-FR" w:bidi="ar-DZ"/>
        </w:rPr>
        <w:t xml:space="preserve"> /culure/0/60939</w:t>
      </w:r>
    </w:p>
  </w:footnote>
  <w:footnote w:id="35">
    <w:p w:rsidR="000F5149" w:rsidRPr="003D2197" w:rsidRDefault="000F5149" w:rsidP="000F5149">
      <w:pPr>
        <w:pStyle w:val="a5"/>
        <w:rPr>
          <w:rFonts w:ascii="Traditional Arabic" w:hAnsi="Traditional Arabic" w:cs="Traditional Arabic"/>
          <w:lang w:bidi="ar-DZ"/>
        </w:rPr>
      </w:pPr>
      <w:r w:rsidRPr="003D2197">
        <w:rPr>
          <w:rStyle w:val="a6"/>
          <w:rFonts w:ascii="Traditional Arabic" w:hAnsi="Traditional Arabic" w:cs="Traditional Arabic"/>
        </w:rPr>
        <w:footnoteRef/>
      </w:r>
      <w:r w:rsidRPr="003D2197">
        <w:rPr>
          <w:rFonts w:ascii="Traditional Arabic" w:hAnsi="Traditional Arabic" w:cs="Traditional Arabic"/>
          <w:rtl/>
        </w:rPr>
        <w:t xml:space="preserve"> أحمد خلف البيومي ، </w:t>
      </w:r>
      <w:r w:rsidRPr="003D2197">
        <w:rPr>
          <w:rFonts w:ascii="Traditional Arabic" w:hAnsi="Traditional Arabic" w:cs="Traditional Arabic"/>
          <w:b/>
          <w:bCs/>
          <w:rtl/>
        </w:rPr>
        <w:t>ضوابط التعسف في استعمال الحق في القانون المصري و الشريعة الاسلامية</w:t>
      </w:r>
      <w:r w:rsidRPr="003D2197">
        <w:rPr>
          <w:rFonts w:ascii="Traditional Arabic" w:hAnsi="Traditional Arabic" w:cs="Traditional Arabic"/>
          <w:rtl/>
        </w:rPr>
        <w:t xml:space="preserve"> ، مرجع سابق ، ص 37-38 . </w:t>
      </w:r>
    </w:p>
  </w:footnote>
  <w:footnote w:id="36">
    <w:p w:rsidR="000F5149" w:rsidRPr="003D2197" w:rsidRDefault="000F5149" w:rsidP="000F5149">
      <w:pPr>
        <w:pStyle w:val="a5"/>
        <w:rPr>
          <w:rFonts w:ascii="Traditional Arabic" w:hAnsi="Traditional Arabic" w:cs="Traditional Arabic"/>
          <w:rtl/>
          <w:lang w:bidi="ar-DZ"/>
        </w:rPr>
      </w:pPr>
      <w:r w:rsidRPr="003D2197">
        <w:rPr>
          <w:rStyle w:val="a6"/>
          <w:rFonts w:ascii="Traditional Arabic" w:hAnsi="Traditional Arabic" w:cs="Traditional Arabic"/>
        </w:rPr>
        <w:footnoteRef/>
      </w:r>
      <w:r w:rsidRPr="003D2197">
        <w:rPr>
          <w:rFonts w:ascii="Traditional Arabic" w:hAnsi="Traditional Arabic" w:cs="Traditional Arabic"/>
          <w:rtl/>
        </w:rPr>
        <w:t xml:space="preserve"> أمين رجا رشيد دواس، </w:t>
      </w:r>
      <w:r w:rsidRPr="003D2197">
        <w:rPr>
          <w:rFonts w:ascii="Traditional Arabic" w:hAnsi="Traditional Arabic" w:cs="Traditional Arabic"/>
          <w:b/>
          <w:bCs/>
          <w:rtl/>
        </w:rPr>
        <w:t>" معايير التعسف</w:t>
      </w:r>
      <w:r w:rsidRPr="003D2197">
        <w:rPr>
          <w:rFonts w:ascii="Traditional Arabic" w:hAnsi="Traditional Arabic" w:cs="Traditional Arabic"/>
          <w:rtl/>
        </w:rPr>
        <w:t xml:space="preserve"> " مرجع سابق ص 136</w:t>
      </w:r>
    </w:p>
  </w:footnote>
  <w:footnote w:id="37">
    <w:p w:rsidR="000F5149" w:rsidRPr="003D2197" w:rsidRDefault="000F5149" w:rsidP="000F5149">
      <w:pPr>
        <w:rPr>
          <w:rFonts w:ascii="Traditional Arabic" w:hAnsi="Traditional Arabic" w:cs="Traditional Arabic"/>
          <w:sz w:val="20"/>
          <w:szCs w:val="20"/>
          <w:rtl/>
        </w:rPr>
      </w:pPr>
      <w:r w:rsidRPr="003D2197">
        <w:rPr>
          <w:rStyle w:val="a6"/>
          <w:rFonts w:ascii="Traditional Arabic" w:hAnsi="Traditional Arabic" w:cs="Traditional Arabic"/>
          <w:sz w:val="20"/>
          <w:szCs w:val="20"/>
        </w:rPr>
        <w:footnoteRef/>
      </w:r>
      <w:r w:rsidRPr="003D2197">
        <w:rPr>
          <w:rFonts w:ascii="Traditional Arabic" w:hAnsi="Traditional Arabic" w:cs="Traditional Arabic"/>
          <w:sz w:val="20"/>
          <w:szCs w:val="20"/>
          <w:rtl/>
        </w:rPr>
        <w:t xml:space="preserve"> محمد أحمد بكر ،</w:t>
      </w:r>
      <w:r w:rsidRPr="003D2197">
        <w:rPr>
          <w:rFonts w:ascii="Traditional Arabic" w:hAnsi="Traditional Arabic" w:cs="Traditional Arabic"/>
          <w:b/>
          <w:bCs/>
          <w:sz w:val="20"/>
          <w:szCs w:val="20"/>
          <w:rtl/>
        </w:rPr>
        <w:t>مسؤولية المالك على التعسف في إستعمال الحق</w:t>
      </w:r>
      <w:r w:rsidRPr="003D2197">
        <w:rPr>
          <w:rFonts w:ascii="Traditional Arabic" w:hAnsi="Traditional Arabic" w:cs="Traditional Arabic"/>
          <w:sz w:val="20"/>
          <w:szCs w:val="20"/>
          <w:rtl/>
        </w:rPr>
        <w:t xml:space="preserve"> مرجع سابق ص 641</w:t>
      </w:r>
    </w:p>
  </w:footnote>
  <w:footnote w:id="38">
    <w:p w:rsidR="000F5149" w:rsidRPr="003D2197" w:rsidRDefault="000F5149" w:rsidP="000F5149">
      <w:pPr>
        <w:spacing w:line="276" w:lineRule="auto"/>
        <w:rPr>
          <w:rFonts w:ascii="Traditional Arabic" w:hAnsi="Traditional Arabic" w:cs="Traditional Arabic"/>
          <w:sz w:val="20"/>
          <w:szCs w:val="20"/>
          <w:rtl/>
        </w:rPr>
      </w:pPr>
      <w:r w:rsidRPr="003D2197">
        <w:rPr>
          <w:rStyle w:val="a6"/>
          <w:rFonts w:ascii="Traditional Arabic" w:hAnsi="Traditional Arabic" w:cs="Traditional Arabic"/>
          <w:sz w:val="20"/>
          <w:szCs w:val="20"/>
        </w:rPr>
        <w:footnoteRef/>
      </w:r>
      <w:r w:rsidRPr="003D2197">
        <w:rPr>
          <w:rFonts w:ascii="Traditional Arabic" w:hAnsi="Traditional Arabic" w:cs="Traditional Arabic"/>
          <w:sz w:val="20"/>
          <w:szCs w:val="20"/>
          <w:rtl/>
        </w:rPr>
        <w:t xml:space="preserve"> فتحي الدريني، المرجع السابق ص 416.</w:t>
      </w:r>
    </w:p>
  </w:footnote>
  <w:footnote w:id="39">
    <w:p w:rsidR="000F5149" w:rsidRPr="003D2197" w:rsidRDefault="000F5149" w:rsidP="000F5149">
      <w:pPr>
        <w:spacing w:after="200" w:line="276" w:lineRule="auto"/>
        <w:rPr>
          <w:rFonts w:ascii="Traditional Arabic" w:hAnsi="Traditional Arabic" w:cs="Traditional Arabic"/>
          <w:sz w:val="32"/>
          <w:szCs w:val="32"/>
          <w:rtl/>
        </w:rPr>
      </w:pPr>
      <w:r w:rsidRPr="003D2197">
        <w:rPr>
          <w:rStyle w:val="a6"/>
          <w:rFonts w:ascii="Traditional Arabic" w:hAnsi="Traditional Arabic" w:cs="Traditional Arabic"/>
          <w:sz w:val="20"/>
          <w:szCs w:val="20"/>
        </w:rPr>
        <w:footnoteRef/>
      </w:r>
      <w:r w:rsidRPr="003D2197">
        <w:rPr>
          <w:rFonts w:ascii="Traditional Arabic" w:hAnsi="Traditional Arabic" w:cs="Traditional Arabic"/>
          <w:sz w:val="20"/>
          <w:szCs w:val="20"/>
          <w:rtl/>
        </w:rPr>
        <w:t xml:space="preserve"> أمين رجا رشيد داواس، المرجع سابق ص 168-169</w:t>
      </w:r>
    </w:p>
    <w:p w:rsidR="000F5149" w:rsidRDefault="000F5149" w:rsidP="000F5149">
      <w:pPr>
        <w:pStyle w:val="a5"/>
        <w:rPr>
          <w:rtl/>
          <w:lang w:bidi="ar-DZ"/>
        </w:rPr>
      </w:pPr>
    </w:p>
  </w:footnote>
  <w:footnote w:id="40">
    <w:p w:rsidR="00C2014A" w:rsidRPr="008B5672" w:rsidRDefault="00C2014A" w:rsidP="00C2014A">
      <w:pPr>
        <w:pStyle w:val="a7"/>
        <w:ind w:left="-2"/>
        <w:rPr>
          <w:rFonts w:ascii="Traditional Arabic" w:hAnsi="Traditional Arabic" w:cs="Traditional Arabic"/>
          <w:sz w:val="20"/>
          <w:szCs w:val="20"/>
        </w:rPr>
      </w:pPr>
      <w:r w:rsidRPr="008B5672">
        <w:rPr>
          <w:rStyle w:val="a6"/>
          <w:rFonts w:ascii="Traditional Arabic" w:hAnsi="Traditional Arabic" w:cs="Traditional Arabic"/>
          <w:sz w:val="20"/>
          <w:szCs w:val="20"/>
        </w:rPr>
        <w:footnoteRef/>
      </w:r>
      <w:r w:rsidRPr="008B5672">
        <w:rPr>
          <w:rFonts w:ascii="Traditional Arabic" w:hAnsi="Traditional Arabic" w:cs="Traditional Arabic"/>
          <w:sz w:val="20"/>
          <w:szCs w:val="20"/>
          <w:rtl/>
        </w:rPr>
        <w:t xml:space="preserve"> </w:t>
      </w:r>
      <w:r w:rsidRPr="008B5672">
        <w:rPr>
          <w:rFonts w:ascii="Traditional Arabic" w:hAnsi="Traditional Arabic" w:cs="Traditional Arabic"/>
          <w:sz w:val="20"/>
          <w:szCs w:val="20"/>
          <w:rtl/>
          <w:lang w:bidi="ar-DZ"/>
        </w:rPr>
        <w:t xml:space="preserve"> </w:t>
      </w:r>
      <w:r w:rsidRPr="008B5672">
        <w:rPr>
          <w:rFonts w:ascii="Traditional Arabic" w:hAnsi="Traditional Arabic" w:cs="Traditional Arabic"/>
          <w:sz w:val="20"/>
          <w:szCs w:val="20"/>
          <w:rtl/>
        </w:rPr>
        <w:t xml:space="preserve">فتحي الدريني ، </w:t>
      </w:r>
      <w:r w:rsidRPr="008B5672">
        <w:rPr>
          <w:rFonts w:ascii="Traditional Arabic" w:hAnsi="Traditional Arabic" w:cs="Traditional Arabic"/>
          <w:b/>
          <w:bCs/>
          <w:sz w:val="20"/>
          <w:szCs w:val="20"/>
          <w:rtl/>
        </w:rPr>
        <w:t>نظرية التعسف في استعمال الحق</w:t>
      </w:r>
      <w:r w:rsidRPr="008B5672">
        <w:rPr>
          <w:rFonts w:ascii="Traditional Arabic" w:hAnsi="Traditional Arabic" w:cs="Traditional Arabic"/>
          <w:sz w:val="20"/>
          <w:szCs w:val="20"/>
          <w:rtl/>
        </w:rPr>
        <w:t xml:space="preserve"> ، ص 252</w:t>
      </w:r>
    </w:p>
  </w:footnote>
  <w:footnote w:id="41">
    <w:p w:rsidR="00C2014A" w:rsidRPr="008B5672" w:rsidRDefault="00C2014A" w:rsidP="00C2014A">
      <w:pPr>
        <w:pStyle w:val="a5"/>
        <w:rPr>
          <w:rFonts w:ascii="Traditional Arabic" w:hAnsi="Traditional Arabic" w:cs="Traditional Arabic"/>
        </w:rPr>
      </w:pPr>
      <w:r w:rsidRPr="008B5672">
        <w:rPr>
          <w:rStyle w:val="a6"/>
          <w:rFonts w:ascii="Traditional Arabic" w:hAnsi="Traditional Arabic" w:cs="Traditional Arabic"/>
        </w:rPr>
        <w:footnoteRef/>
      </w:r>
      <w:r w:rsidRPr="008B5672">
        <w:rPr>
          <w:rFonts w:ascii="Traditional Arabic" w:hAnsi="Traditional Arabic" w:cs="Traditional Arabic"/>
          <w:rtl/>
        </w:rPr>
        <w:t xml:space="preserve"> محمد </w:t>
      </w:r>
      <w:r w:rsidRPr="008B5672">
        <w:rPr>
          <w:rFonts w:ascii="Traditional Arabic" w:hAnsi="Traditional Arabic" w:cs="Traditional Arabic" w:hint="cs"/>
          <w:rtl/>
        </w:rPr>
        <w:t>أبو</w:t>
      </w:r>
      <w:r w:rsidRPr="008B5672">
        <w:rPr>
          <w:rFonts w:ascii="Traditional Arabic" w:hAnsi="Traditional Arabic" w:cs="Traditional Arabic"/>
          <w:rtl/>
        </w:rPr>
        <w:t xml:space="preserve"> زهرة ، </w:t>
      </w:r>
      <w:r w:rsidRPr="008B5672">
        <w:rPr>
          <w:rFonts w:ascii="Traditional Arabic" w:hAnsi="Traditional Arabic" w:cs="Traditional Arabic"/>
          <w:b/>
          <w:bCs/>
          <w:rtl/>
        </w:rPr>
        <w:t>التعسف في استعمال الحق</w:t>
      </w:r>
      <w:r w:rsidRPr="008B5672">
        <w:rPr>
          <w:rFonts w:ascii="Traditional Arabic" w:hAnsi="Traditional Arabic" w:cs="Traditional Arabic"/>
          <w:rtl/>
        </w:rPr>
        <w:t xml:space="preserve"> ، ص 97</w:t>
      </w:r>
    </w:p>
  </w:footnote>
  <w:footnote w:id="42">
    <w:p w:rsidR="00C2014A" w:rsidRPr="008B5672" w:rsidRDefault="00C2014A" w:rsidP="00C2014A">
      <w:pPr>
        <w:pStyle w:val="a5"/>
        <w:rPr>
          <w:rFonts w:ascii="Traditional Arabic" w:hAnsi="Traditional Arabic" w:cs="Traditional Arabic"/>
        </w:rPr>
      </w:pPr>
      <w:r w:rsidRPr="008B5672">
        <w:rPr>
          <w:rStyle w:val="a6"/>
          <w:rFonts w:ascii="Traditional Arabic" w:hAnsi="Traditional Arabic" w:cs="Traditional Arabic"/>
        </w:rPr>
        <w:footnoteRef/>
      </w:r>
      <w:r w:rsidRPr="008B5672">
        <w:rPr>
          <w:rFonts w:ascii="Traditional Arabic" w:hAnsi="Traditional Arabic" w:cs="Traditional Arabic"/>
          <w:rtl/>
        </w:rPr>
        <w:t xml:space="preserve"> </w:t>
      </w:r>
      <w:r w:rsidRPr="008B5672">
        <w:rPr>
          <w:rFonts w:ascii="Traditional Arabic" w:hAnsi="Traditional Arabic" w:cs="Traditional Arabic"/>
          <w:b/>
          <w:bCs/>
          <w:rtl/>
        </w:rPr>
        <w:t xml:space="preserve">ملاحق لكتاب نظرية التعسف </w:t>
      </w:r>
      <w:r w:rsidRPr="008B5672">
        <w:rPr>
          <w:rFonts w:ascii="Traditional Arabic" w:hAnsi="Traditional Arabic" w:cs="Traditional Arabic" w:hint="cs"/>
          <w:b/>
          <w:bCs/>
          <w:rtl/>
        </w:rPr>
        <w:t>للأستاذ</w:t>
      </w:r>
      <w:r w:rsidRPr="008B5672">
        <w:rPr>
          <w:rFonts w:ascii="Traditional Arabic" w:hAnsi="Traditional Arabic" w:cs="Traditional Arabic"/>
          <w:b/>
          <w:bCs/>
          <w:rtl/>
        </w:rPr>
        <w:t xml:space="preserve"> فتحي الدريني</w:t>
      </w:r>
      <w:r w:rsidRPr="008B5672">
        <w:rPr>
          <w:rFonts w:ascii="Traditional Arabic" w:hAnsi="Traditional Arabic" w:cs="Traditional Arabic"/>
          <w:rtl/>
        </w:rPr>
        <w:t xml:space="preserve"> ، ج 4 ، ص 31 .</w:t>
      </w:r>
    </w:p>
  </w:footnote>
  <w:footnote w:id="43">
    <w:p w:rsidR="00C2014A" w:rsidRPr="008B5672" w:rsidRDefault="00C2014A" w:rsidP="00C2014A">
      <w:pPr>
        <w:rPr>
          <w:rFonts w:ascii="Traditional Arabic" w:hAnsi="Traditional Arabic" w:cs="Traditional Arabic"/>
          <w:sz w:val="20"/>
          <w:szCs w:val="20"/>
          <w:rtl/>
        </w:rPr>
      </w:pPr>
      <w:r w:rsidRPr="008B5672">
        <w:rPr>
          <w:rStyle w:val="a6"/>
          <w:rFonts w:ascii="Traditional Arabic" w:hAnsi="Traditional Arabic" w:cs="Traditional Arabic"/>
          <w:sz w:val="20"/>
          <w:szCs w:val="20"/>
        </w:rPr>
        <w:footnoteRef/>
      </w:r>
      <w:r w:rsidRPr="008B5672">
        <w:rPr>
          <w:rFonts w:ascii="Traditional Arabic" w:hAnsi="Traditional Arabic" w:cs="Traditional Arabic"/>
          <w:sz w:val="20"/>
          <w:szCs w:val="20"/>
          <w:rtl/>
        </w:rPr>
        <w:t xml:space="preserve"> عبد الجبار ناجي ، </w:t>
      </w:r>
      <w:r w:rsidRPr="008B5672">
        <w:rPr>
          <w:rFonts w:ascii="Traditional Arabic" w:hAnsi="Traditional Arabic" w:cs="Traditional Arabic"/>
          <w:b/>
          <w:bCs/>
          <w:sz w:val="20"/>
          <w:szCs w:val="20"/>
          <w:rtl/>
        </w:rPr>
        <w:t>مبدأ حسن النية في العقود</w:t>
      </w:r>
      <w:r w:rsidRPr="008B5672">
        <w:rPr>
          <w:rFonts w:ascii="Traditional Arabic" w:hAnsi="Traditional Arabic" w:cs="Traditional Arabic"/>
          <w:sz w:val="20"/>
          <w:szCs w:val="20"/>
          <w:rtl/>
        </w:rPr>
        <w:t xml:space="preserve"> ، ص 70 .</w:t>
      </w:r>
    </w:p>
    <w:p w:rsidR="00C2014A" w:rsidRDefault="00C2014A" w:rsidP="00C2014A">
      <w:pPr>
        <w:pStyle w:val="a5"/>
        <w:rPr>
          <w:rtl/>
        </w:rPr>
      </w:pPr>
    </w:p>
  </w:footnote>
  <w:footnote w:id="44">
    <w:p w:rsidR="00C2014A" w:rsidRPr="008B5672" w:rsidRDefault="00C2014A" w:rsidP="00C2014A">
      <w:pPr>
        <w:pStyle w:val="a5"/>
        <w:rPr>
          <w:rFonts w:ascii="Traditional Arabic" w:hAnsi="Traditional Arabic" w:cs="Traditional Arabic"/>
          <w:rtl/>
        </w:rPr>
      </w:pPr>
      <w:r w:rsidRPr="008B5672">
        <w:rPr>
          <w:rStyle w:val="a6"/>
          <w:rFonts w:ascii="Traditional Arabic" w:hAnsi="Traditional Arabic" w:cs="Traditional Arabic"/>
        </w:rPr>
        <w:footnoteRef/>
      </w:r>
      <w:r w:rsidRPr="008B5672">
        <w:rPr>
          <w:rFonts w:ascii="Traditional Arabic" w:hAnsi="Traditional Arabic" w:cs="Traditional Arabic"/>
          <w:rtl/>
        </w:rPr>
        <w:t xml:space="preserve"> حسن عامر ، </w:t>
      </w:r>
      <w:r w:rsidRPr="008B5672">
        <w:rPr>
          <w:rFonts w:ascii="Traditional Arabic" w:hAnsi="Traditional Arabic" w:cs="Traditional Arabic"/>
          <w:b/>
          <w:bCs/>
          <w:rtl/>
        </w:rPr>
        <w:t>المسؤولية المدنية</w:t>
      </w:r>
      <w:r w:rsidRPr="008B5672">
        <w:rPr>
          <w:rFonts w:ascii="Traditional Arabic" w:hAnsi="Traditional Arabic" w:cs="Traditional Arabic"/>
          <w:rtl/>
        </w:rPr>
        <w:t xml:space="preserve"> ، ص 276 .</w:t>
      </w:r>
    </w:p>
  </w:footnote>
  <w:footnote w:id="45">
    <w:p w:rsidR="00C2014A" w:rsidRPr="008B5672" w:rsidRDefault="00C2014A" w:rsidP="00C2014A">
      <w:pPr>
        <w:rPr>
          <w:rFonts w:ascii="Traditional Arabic" w:hAnsi="Traditional Arabic" w:cs="Traditional Arabic"/>
          <w:sz w:val="32"/>
          <w:szCs w:val="32"/>
        </w:rPr>
      </w:pPr>
      <w:r w:rsidRPr="008B5672">
        <w:rPr>
          <w:rStyle w:val="a6"/>
          <w:rFonts w:ascii="Traditional Arabic" w:hAnsi="Traditional Arabic" w:cs="Traditional Arabic"/>
          <w:sz w:val="20"/>
          <w:szCs w:val="20"/>
        </w:rPr>
        <w:footnoteRef/>
      </w:r>
      <w:r w:rsidRPr="008B5672">
        <w:rPr>
          <w:rFonts w:ascii="Traditional Arabic" w:hAnsi="Traditional Arabic" w:cs="Traditional Arabic"/>
          <w:sz w:val="20"/>
          <w:szCs w:val="20"/>
          <w:rtl/>
        </w:rPr>
        <w:t xml:space="preserve"> عبد الرزاق السنهوري ، </w:t>
      </w:r>
      <w:r w:rsidRPr="008B5672">
        <w:rPr>
          <w:rFonts w:ascii="Traditional Arabic" w:hAnsi="Traditional Arabic" w:cs="Traditional Arabic"/>
          <w:b/>
          <w:bCs/>
          <w:sz w:val="20"/>
          <w:szCs w:val="20"/>
          <w:rtl/>
        </w:rPr>
        <w:t>الوسيط في شرح القانون المدني</w:t>
      </w:r>
      <w:r w:rsidRPr="008B5672">
        <w:rPr>
          <w:rFonts w:ascii="Traditional Arabic" w:hAnsi="Traditional Arabic" w:cs="Traditional Arabic"/>
          <w:sz w:val="20"/>
          <w:szCs w:val="20"/>
          <w:rtl/>
        </w:rPr>
        <w:t xml:space="preserve"> ، ج1 ، ص 846 .</w:t>
      </w:r>
    </w:p>
    <w:p w:rsidR="00C2014A" w:rsidRPr="008B5672" w:rsidRDefault="00C2014A" w:rsidP="00C2014A">
      <w:pPr>
        <w:pStyle w:val="a5"/>
        <w:rPr>
          <w:rtl/>
          <w:lang w:bidi="ar-DZ"/>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005" w:rsidRDefault="00BB7005">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E67" w:rsidRPr="00BB7005" w:rsidRDefault="00345F0A" w:rsidP="00BB7005">
    <w:pPr>
      <w:pStyle w:val="a3"/>
      <w:pBdr>
        <w:bottom w:val="thickThinSmallGap" w:sz="24" w:space="1" w:color="622423" w:themeColor="accent2" w:themeShade="7F"/>
      </w:pBdr>
      <w:rPr>
        <w:rFonts w:ascii="Andalus" w:eastAsiaTheme="majorEastAsia" w:hAnsi="Andalus" w:cs="Andalus"/>
        <w:color w:val="000000" w:themeColor="text1"/>
        <w:sz w:val="36"/>
        <w:szCs w:val="36"/>
      </w:rPr>
    </w:pPr>
    <w:r w:rsidRPr="00BB7005">
      <w:rPr>
        <w:rFonts w:ascii="Andalus" w:eastAsiaTheme="majorEastAsia" w:hAnsi="Andalus" w:cs="Andalus" w:hint="cs"/>
        <w:sz w:val="36"/>
        <w:szCs w:val="36"/>
        <w:rtl/>
      </w:rPr>
      <w:t xml:space="preserve">الفصل الثالث </w:t>
    </w:r>
    <w:r w:rsidR="00DB6E67" w:rsidRPr="00BB7005">
      <w:rPr>
        <w:rFonts w:ascii="Andalus" w:eastAsiaTheme="majorEastAsia" w:hAnsi="Andalus" w:cs="Andalus"/>
        <w:sz w:val="36"/>
        <w:szCs w:val="36"/>
        <w:rtl/>
      </w:rPr>
      <w:t xml:space="preserve">: </w:t>
    </w:r>
    <w:r w:rsidRPr="00BB7005">
      <w:rPr>
        <w:rFonts w:ascii="Andalus" w:eastAsiaTheme="majorEastAsia" w:hAnsi="Andalus" w:cs="Andalus" w:hint="cs"/>
        <w:color w:val="000000" w:themeColor="text1"/>
        <w:sz w:val="36"/>
        <w:szCs w:val="36"/>
        <w:rtl/>
      </w:rPr>
      <w:t>معايير</w:t>
    </w:r>
    <w:r w:rsidR="00DB6E67" w:rsidRPr="00BB7005">
      <w:rPr>
        <w:rFonts w:ascii="Andalus" w:eastAsiaTheme="majorEastAsia" w:hAnsi="Andalus" w:cs="Andalus"/>
        <w:color w:val="000000" w:themeColor="text1"/>
        <w:sz w:val="36"/>
        <w:szCs w:val="36"/>
        <w:rtl/>
      </w:rPr>
      <w:t xml:space="preserve"> التعسف في استعمال الحق</w:t>
    </w:r>
    <w:r w:rsidRPr="00BB7005">
      <w:rPr>
        <w:rFonts w:ascii="Andalus" w:eastAsiaTheme="majorEastAsia" w:hAnsi="Andalus" w:cs="Andalus" w:hint="cs"/>
        <w:color w:val="000000" w:themeColor="text1"/>
        <w:sz w:val="36"/>
        <w:szCs w:val="36"/>
        <w:rtl/>
      </w:rPr>
      <w:t xml:space="preserve"> في الفقه الإسلامي و القانون المدني </w:t>
    </w:r>
    <w:r w:rsidR="00DB6E67" w:rsidRPr="00BB7005">
      <w:rPr>
        <w:rFonts w:ascii="Andalus" w:eastAsiaTheme="majorEastAsia" w:hAnsi="Andalus" w:cs="Andalus"/>
        <w:color w:val="000000" w:themeColor="text1"/>
        <w:sz w:val="36"/>
        <w:szCs w:val="36"/>
        <w:rtl/>
      </w:rPr>
      <w:t xml:space="preserve"> </w:t>
    </w:r>
  </w:p>
  <w:p w:rsidR="00DB6E67" w:rsidRDefault="00DB6E67">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005" w:rsidRDefault="00BB7005">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915D0"/>
    <w:multiLevelType w:val="hybridMultilevel"/>
    <w:tmpl w:val="DE9C96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9A45EC6"/>
    <w:multiLevelType w:val="hybridMultilevel"/>
    <w:tmpl w:val="AB3EF3C6"/>
    <w:lvl w:ilvl="0" w:tplc="D4BE00A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1986270"/>
    <w:multiLevelType w:val="hybridMultilevel"/>
    <w:tmpl w:val="FBB843C8"/>
    <w:lvl w:ilvl="0" w:tplc="63901910">
      <w:start w:val="1"/>
      <w:numFmt w:val="decimal"/>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3">
    <w:nsid w:val="365E7608"/>
    <w:multiLevelType w:val="hybridMultilevel"/>
    <w:tmpl w:val="CBC4D97C"/>
    <w:lvl w:ilvl="0" w:tplc="AD8A1EBE">
      <w:start w:val="9"/>
      <w:numFmt w:val="bullet"/>
      <w:lvlText w:val="-"/>
      <w:lvlJc w:val="left"/>
      <w:pPr>
        <w:tabs>
          <w:tab w:val="num" w:pos="900"/>
        </w:tabs>
        <w:ind w:left="900" w:hanging="360"/>
      </w:pPr>
      <w:rPr>
        <w:rFonts w:ascii="Times New Roman" w:eastAsia="Times New Roman" w:hAnsi="Times New Roman" w:cs="Times New Roman"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4">
    <w:nsid w:val="4C3E250F"/>
    <w:multiLevelType w:val="hybridMultilevel"/>
    <w:tmpl w:val="794CD9A0"/>
    <w:lvl w:ilvl="0" w:tplc="E68E9804">
      <w:start w:val="1"/>
      <w:numFmt w:val="decimalZero"/>
      <w:lvlText w:val="%1-"/>
      <w:lvlJc w:val="left"/>
      <w:pPr>
        <w:tabs>
          <w:tab w:val="num" w:pos="1050"/>
        </w:tabs>
        <w:ind w:left="1050" w:hanging="51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5">
    <w:nsid w:val="6C6F3409"/>
    <w:multiLevelType w:val="hybridMultilevel"/>
    <w:tmpl w:val="D1CCFADE"/>
    <w:lvl w:ilvl="0" w:tplc="20304D8E">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num>
  <w:num w:numId="2">
    <w:abstractNumId w:val="1"/>
  </w:num>
  <w:num w:numId="3">
    <w:abstractNumId w:val="2"/>
  </w:num>
  <w:num w:numId="4">
    <w:abstractNumId w:val="4"/>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48130"/>
    <o:shapelayout v:ext="edit">
      <o:idmap v:ext="edit" data="2"/>
    </o:shapelayout>
  </w:hdrShapeDefaults>
  <w:footnotePr>
    <w:numRestart w:val="eachPage"/>
    <w:footnote w:id="0"/>
    <w:footnote w:id="1"/>
  </w:footnotePr>
  <w:endnotePr>
    <w:endnote w:id="0"/>
    <w:endnote w:id="1"/>
  </w:endnotePr>
  <w:compat/>
  <w:rsids>
    <w:rsidRoot w:val="00832B6C"/>
    <w:rsid w:val="00025B1A"/>
    <w:rsid w:val="00065012"/>
    <w:rsid w:val="000B704D"/>
    <w:rsid w:val="000B789D"/>
    <w:rsid w:val="000D578F"/>
    <w:rsid w:val="000F5149"/>
    <w:rsid w:val="00197500"/>
    <w:rsid w:val="001A65D4"/>
    <w:rsid w:val="001D5D5C"/>
    <w:rsid w:val="002807F3"/>
    <w:rsid w:val="002864F5"/>
    <w:rsid w:val="00292487"/>
    <w:rsid w:val="00295E4B"/>
    <w:rsid w:val="002E71D4"/>
    <w:rsid w:val="00306BAE"/>
    <w:rsid w:val="00312FDB"/>
    <w:rsid w:val="003361AC"/>
    <w:rsid w:val="00345F0A"/>
    <w:rsid w:val="00394AFD"/>
    <w:rsid w:val="003C71C6"/>
    <w:rsid w:val="003F011A"/>
    <w:rsid w:val="00410C33"/>
    <w:rsid w:val="004114D6"/>
    <w:rsid w:val="004147F3"/>
    <w:rsid w:val="00424C76"/>
    <w:rsid w:val="00440AAA"/>
    <w:rsid w:val="004526DB"/>
    <w:rsid w:val="00481B70"/>
    <w:rsid w:val="00491BB2"/>
    <w:rsid w:val="004963D5"/>
    <w:rsid w:val="004E02CD"/>
    <w:rsid w:val="004E5D66"/>
    <w:rsid w:val="005824ED"/>
    <w:rsid w:val="00595A66"/>
    <w:rsid w:val="005B5475"/>
    <w:rsid w:val="005E03B5"/>
    <w:rsid w:val="005E77E7"/>
    <w:rsid w:val="00602ACC"/>
    <w:rsid w:val="00662104"/>
    <w:rsid w:val="0067389F"/>
    <w:rsid w:val="006749E1"/>
    <w:rsid w:val="00686BAD"/>
    <w:rsid w:val="006A0E11"/>
    <w:rsid w:val="006E1F2E"/>
    <w:rsid w:val="00700D3D"/>
    <w:rsid w:val="007241A0"/>
    <w:rsid w:val="00756005"/>
    <w:rsid w:val="007732F3"/>
    <w:rsid w:val="007F7DE6"/>
    <w:rsid w:val="00820E05"/>
    <w:rsid w:val="00825C89"/>
    <w:rsid w:val="0083086F"/>
    <w:rsid w:val="00832B6C"/>
    <w:rsid w:val="00880315"/>
    <w:rsid w:val="00882817"/>
    <w:rsid w:val="008D2E33"/>
    <w:rsid w:val="008D63A6"/>
    <w:rsid w:val="008F59D2"/>
    <w:rsid w:val="0091683B"/>
    <w:rsid w:val="0092130A"/>
    <w:rsid w:val="00954D77"/>
    <w:rsid w:val="00957961"/>
    <w:rsid w:val="00962294"/>
    <w:rsid w:val="00976A45"/>
    <w:rsid w:val="009A4CAB"/>
    <w:rsid w:val="009F31B8"/>
    <w:rsid w:val="00A31BBB"/>
    <w:rsid w:val="00A530BF"/>
    <w:rsid w:val="00A81E23"/>
    <w:rsid w:val="00AA433F"/>
    <w:rsid w:val="00AD511E"/>
    <w:rsid w:val="00AF0262"/>
    <w:rsid w:val="00B2540C"/>
    <w:rsid w:val="00B27698"/>
    <w:rsid w:val="00B53582"/>
    <w:rsid w:val="00BB7005"/>
    <w:rsid w:val="00BD13E3"/>
    <w:rsid w:val="00BD6FE8"/>
    <w:rsid w:val="00BF5E2B"/>
    <w:rsid w:val="00C121F8"/>
    <w:rsid w:val="00C2014A"/>
    <w:rsid w:val="00C24D1F"/>
    <w:rsid w:val="00C46800"/>
    <w:rsid w:val="00C54044"/>
    <w:rsid w:val="00C95167"/>
    <w:rsid w:val="00C97F9F"/>
    <w:rsid w:val="00CA0785"/>
    <w:rsid w:val="00CA3E53"/>
    <w:rsid w:val="00CA6331"/>
    <w:rsid w:val="00CB0B6F"/>
    <w:rsid w:val="00CB5A68"/>
    <w:rsid w:val="00CF2828"/>
    <w:rsid w:val="00D20D64"/>
    <w:rsid w:val="00D458E0"/>
    <w:rsid w:val="00D74848"/>
    <w:rsid w:val="00DB6E67"/>
    <w:rsid w:val="00DD2119"/>
    <w:rsid w:val="00E03505"/>
    <w:rsid w:val="00E264A8"/>
    <w:rsid w:val="00E32CD9"/>
    <w:rsid w:val="00E41587"/>
    <w:rsid w:val="00E42906"/>
    <w:rsid w:val="00E555DC"/>
    <w:rsid w:val="00E7796E"/>
    <w:rsid w:val="00EE4ADE"/>
    <w:rsid w:val="00EE5EF3"/>
    <w:rsid w:val="00F13441"/>
    <w:rsid w:val="00F20DC7"/>
    <w:rsid w:val="00F26C92"/>
    <w:rsid w:val="00F507D7"/>
    <w:rsid w:val="00F56B97"/>
    <w:rsid w:val="00F63194"/>
    <w:rsid w:val="00F70F10"/>
    <w:rsid w:val="00F771C7"/>
    <w:rsid w:val="00FA61C7"/>
    <w:rsid w:val="00FD3EF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5F0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32B6C"/>
    <w:pPr>
      <w:tabs>
        <w:tab w:val="center" w:pos="4153"/>
        <w:tab w:val="right" w:pos="8306"/>
      </w:tabs>
    </w:pPr>
  </w:style>
  <w:style w:type="character" w:customStyle="1" w:styleId="Char">
    <w:name w:val="رأس صفحة Char"/>
    <w:basedOn w:val="a0"/>
    <w:link w:val="a3"/>
    <w:uiPriority w:val="99"/>
    <w:rsid w:val="00832B6C"/>
  </w:style>
  <w:style w:type="paragraph" w:styleId="a4">
    <w:name w:val="footer"/>
    <w:basedOn w:val="a"/>
    <w:link w:val="Char0"/>
    <w:uiPriority w:val="99"/>
    <w:unhideWhenUsed/>
    <w:rsid w:val="00832B6C"/>
    <w:pPr>
      <w:tabs>
        <w:tab w:val="center" w:pos="4153"/>
        <w:tab w:val="right" w:pos="8306"/>
      </w:tabs>
    </w:pPr>
  </w:style>
  <w:style w:type="character" w:customStyle="1" w:styleId="Char0">
    <w:name w:val="تذييل صفحة Char"/>
    <w:basedOn w:val="a0"/>
    <w:link w:val="a4"/>
    <w:uiPriority w:val="99"/>
    <w:rsid w:val="00832B6C"/>
  </w:style>
  <w:style w:type="paragraph" w:styleId="a5">
    <w:name w:val="footnote text"/>
    <w:basedOn w:val="a"/>
    <w:link w:val="Char1"/>
    <w:unhideWhenUsed/>
    <w:rsid w:val="00EE4ADE"/>
    <w:rPr>
      <w:sz w:val="20"/>
      <w:szCs w:val="20"/>
    </w:rPr>
  </w:style>
  <w:style w:type="character" w:customStyle="1" w:styleId="Char1">
    <w:name w:val="نص حاشية سفلية Char"/>
    <w:basedOn w:val="a0"/>
    <w:link w:val="a5"/>
    <w:rsid w:val="00EE4ADE"/>
    <w:rPr>
      <w:sz w:val="20"/>
      <w:szCs w:val="20"/>
    </w:rPr>
  </w:style>
  <w:style w:type="character" w:styleId="a6">
    <w:name w:val="footnote reference"/>
    <w:basedOn w:val="a0"/>
    <w:unhideWhenUsed/>
    <w:rsid w:val="00EE4ADE"/>
    <w:rPr>
      <w:vertAlign w:val="superscript"/>
    </w:rPr>
  </w:style>
  <w:style w:type="paragraph" w:styleId="a7">
    <w:name w:val="List Paragraph"/>
    <w:basedOn w:val="a"/>
    <w:uiPriority w:val="34"/>
    <w:qFormat/>
    <w:rsid w:val="004963D5"/>
    <w:pPr>
      <w:ind w:left="720"/>
      <w:contextualSpacing/>
    </w:pPr>
  </w:style>
  <w:style w:type="character" w:styleId="Hyperlink">
    <w:name w:val="Hyperlink"/>
    <w:basedOn w:val="a0"/>
    <w:uiPriority w:val="99"/>
    <w:unhideWhenUsed/>
    <w:rsid w:val="000F514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olukah.net"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68DD3A-C4E9-454B-ADAD-53879F77B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509</TotalTime>
  <Pages>22</Pages>
  <Words>5128</Words>
  <Characters>29236</Characters>
  <Application>Microsoft Office Word</Application>
  <DocSecurity>0</DocSecurity>
  <Lines>243</Lines>
  <Paragraphs>68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34296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tarmount</dc:creator>
  <cp:lastModifiedBy>tarmount</cp:lastModifiedBy>
  <cp:revision>51</cp:revision>
  <cp:lastPrinted>2014-06-01T15:00:00Z</cp:lastPrinted>
  <dcterms:created xsi:type="dcterms:W3CDTF">2014-04-24T13:18:00Z</dcterms:created>
  <dcterms:modified xsi:type="dcterms:W3CDTF">2014-06-08T07:16:00Z</dcterms:modified>
</cp:coreProperties>
</file>