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45E5" w:rsidRPr="00AC1183" w:rsidRDefault="002F45E5" w:rsidP="002F45E5">
      <w:pPr>
        <w:pStyle w:val="a3"/>
        <w:numPr>
          <w:ilvl w:val="0"/>
          <w:numId w:val="1"/>
        </w:numPr>
        <w:spacing w:line="360" w:lineRule="auto"/>
        <w:ind w:left="567" w:hanging="567"/>
        <w:jc w:val="both"/>
        <w:rPr>
          <w:rFonts w:asciiTheme="majorBidi" w:hAnsiTheme="majorBidi" w:cstheme="majorBidi"/>
          <w:b/>
          <w:bCs/>
          <w:sz w:val="28"/>
          <w:szCs w:val="28"/>
        </w:rPr>
      </w:pPr>
      <w:r w:rsidRPr="00AC1183">
        <w:rPr>
          <w:rFonts w:asciiTheme="majorBidi" w:hAnsiTheme="majorBidi" w:cstheme="majorBidi"/>
          <w:b/>
          <w:bCs/>
          <w:sz w:val="28"/>
          <w:szCs w:val="28"/>
        </w:rPr>
        <w:t>Définitions </w:t>
      </w:r>
    </w:p>
    <w:p w:rsidR="002F45E5" w:rsidRPr="00AC1183" w:rsidRDefault="002F45E5" w:rsidP="002F45E5">
      <w:pPr>
        <w:pStyle w:val="a3"/>
        <w:numPr>
          <w:ilvl w:val="1"/>
          <w:numId w:val="2"/>
        </w:numPr>
        <w:spacing w:line="360" w:lineRule="auto"/>
        <w:jc w:val="both"/>
        <w:rPr>
          <w:rFonts w:asciiTheme="majorBidi" w:hAnsiTheme="majorBidi" w:cstheme="majorBidi"/>
          <w:b/>
          <w:bCs/>
          <w:sz w:val="24"/>
          <w:szCs w:val="24"/>
        </w:rPr>
      </w:pPr>
      <w:r>
        <w:rPr>
          <w:rFonts w:asciiTheme="majorBidi" w:hAnsiTheme="majorBidi" w:cstheme="majorBidi"/>
          <w:b/>
          <w:bCs/>
          <w:sz w:val="24"/>
          <w:szCs w:val="24"/>
        </w:rPr>
        <w:t>C</w:t>
      </w:r>
      <w:r w:rsidRPr="00AC1183">
        <w:rPr>
          <w:rFonts w:asciiTheme="majorBidi" w:hAnsiTheme="majorBidi" w:cstheme="majorBidi"/>
          <w:b/>
          <w:bCs/>
          <w:sz w:val="24"/>
          <w:szCs w:val="24"/>
        </w:rPr>
        <w:t>ellules souches </w:t>
      </w:r>
    </w:p>
    <w:p w:rsidR="002F45E5" w:rsidRPr="00181753" w:rsidRDefault="002F45E5" w:rsidP="002F45E5">
      <w:pPr>
        <w:shd w:val="clear" w:color="auto" w:fill="FFFFFF"/>
        <w:spacing w:after="100" w:line="360" w:lineRule="auto"/>
        <w:jc w:val="both"/>
        <w:rPr>
          <w:rFonts w:asciiTheme="majorBidi" w:hAnsiTheme="majorBidi" w:cstheme="majorBidi"/>
          <w:sz w:val="24"/>
          <w:szCs w:val="24"/>
        </w:rPr>
      </w:pPr>
      <w:r>
        <w:rPr>
          <w:rFonts w:asciiTheme="majorBidi" w:hAnsiTheme="majorBidi" w:cstheme="majorBidi"/>
          <w:sz w:val="24"/>
          <w:szCs w:val="24"/>
        </w:rPr>
        <w:t xml:space="preserve">        Cellule souche traduit du terme anglais  </w:t>
      </w:r>
      <w:r w:rsidRPr="00181753">
        <w:rPr>
          <w:rFonts w:asciiTheme="majorBidi" w:hAnsiTheme="majorBidi" w:cstheme="majorBidi"/>
          <w:sz w:val="24"/>
          <w:szCs w:val="24"/>
        </w:rPr>
        <w:t xml:space="preserve">« stem cell » (CS), est </w:t>
      </w:r>
      <w:r>
        <w:rPr>
          <w:rFonts w:asciiTheme="majorBidi" w:hAnsiTheme="majorBidi" w:cstheme="majorBidi"/>
          <w:sz w:val="24"/>
          <w:szCs w:val="24"/>
        </w:rPr>
        <w:t xml:space="preserve">introduit </w:t>
      </w:r>
      <w:r w:rsidRPr="00181753">
        <w:rPr>
          <w:rFonts w:asciiTheme="majorBidi" w:hAnsiTheme="majorBidi" w:cstheme="majorBidi"/>
          <w:sz w:val="24"/>
          <w:szCs w:val="24"/>
        </w:rPr>
        <w:t>en 1883. Les CS se définissent par leur capacité d’auto-renouvellement à</w:t>
      </w:r>
      <w:r>
        <w:rPr>
          <w:rFonts w:asciiTheme="majorBidi" w:hAnsiTheme="majorBidi" w:cstheme="majorBidi" w:hint="cs"/>
          <w:sz w:val="24"/>
          <w:szCs w:val="24"/>
          <w:rtl/>
        </w:rPr>
        <w:t xml:space="preserve"> </w:t>
      </w:r>
      <w:r w:rsidRPr="00181753">
        <w:rPr>
          <w:rFonts w:asciiTheme="majorBidi" w:hAnsiTheme="majorBidi" w:cstheme="majorBidi"/>
          <w:sz w:val="24"/>
          <w:szCs w:val="24"/>
        </w:rPr>
        <w:t>l’identique et leur aptitude à se différencier vers des types cellulaires davantage spécialisés. Ainsi, au cours du développement, ces cellules conduisent aux différents tissus qui constitueront l’organisme et, chez l’adulte, elles permettent le renouvellement naturel des tissus et contribuent à leur réparation en cas de lésion (</w:t>
      </w:r>
      <w:r>
        <w:rPr>
          <w:rFonts w:asciiTheme="majorBidi" w:hAnsiTheme="majorBidi" w:cstheme="majorBidi"/>
          <w:sz w:val="24"/>
          <w:szCs w:val="24"/>
        </w:rPr>
        <w:t>2</w:t>
      </w:r>
      <w:r w:rsidRPr="00181753">
        <w:rPr>
          <w:rFonts w:asciiTheme="majorBidi" w:hAnsiTheme="majorBidi" w:cstheme="majorBidi"/>
          <w:sz w:val="24"/>
          <w:szCs w:val="24"/>
        </w:rPr>
        <w:t>).</w:t>
      </w:r>
    </w:p>
    <w:p w:rsidR="002F45E5" w:rsidRPr="00B26771" w:rsidRDefault="002F45E5" w:rsidP="002F45E5">
      <w:pPr>
        <w:autoSpaceDE w:val="0"/>
        <w:autoSpaceDN w:val="0"/>
        <w:adjustRightInd w:val="0"/>
        <w:spacing w:after="0" w:line="360" w:lineRule="auto"/>
        <w:jc w:val="both"/>
        <w:rPr>
          <w:rFonts w:asciiTheme="majorBidi" w:hAnsiTheme="majorBidi" w:cstheme="majorBidi"/>
          <w:bCs/>
          <w:sz w:val="24"/>
          <w:szCs w:val="24"/>
        </w:rPr>
      </w:pPr>
      <w:r w:rsidRPr="00B26771">
        <w:rPr>
          <w:rFonts w:asciiTheme="majorBidi" w:hAnsiTheme="majorBidi" w:cstheme="majorBidi"/>
          <w:bCs/>
          <w:sz w:val="24"/>
          <w:szCs w:val="24"/>
        </w:rPr>
        <w:t>Il ya différents types de cellules souches :</w:t>
      </w:r>
    </w:p>
    <w:p w:rsidR="002F45E5" w:rsidRPr="00E0483C" w:rsidRDefault="002F45E5" w:rsidP="002F45E5">
      <w:pPr>
        <w:autoSpaceDE w:val="0"/>
        <w:autoSpaceDN w:val="0"/>
        <w:adjustRightInd w:val="0"/>
        <w:spacing w:after="0" w:line="360" w:lineRule="auto"/>
        <w:jc w:val="both"/>
        <w:rPr>
          <w:rFonts w:ascii="Times New Roman" w:hAnsi="Times New Roman" w:cs="Times New Roman"/>
        </w:rPr>
      </w:pPr>
    </w:p>
    <w:p w:rsidR="002F45E5" w:rsidRPr="000C3ED2" w:rsidRDefault="002F45E5" w:rsidP="002F45E5">
      <w:pPr>
        <w:pStyle w:val="a3"/>
        <w:numPr>
          <w:ilvl w:val="0"/>
          <w:numId w:val="3"/>
        </w:numPr>
        <w:autoSpaceDE w:val="0"/>
        <w:autoSpaceDN w:val="0"/>
        <w:adjustRightInd w:val="0"/>
        <w:spacing w:after="0" w:line="360" w:lineRule="auto"/>
        <w:jc w:val="both"/>
        <w:rPr>
          <w:rFonts w:ascii="Times New Roman" w:hAnsi="Times New Roman" w:cs="Times New Roman"/>
          <w:b/>
          <w:bCs/>
        </w:rPr>
      </w:pPr>
      <w:r w:rsidRPr="005B06D4">
        <w:rPr>
          <w:rFonts w:ascii="Times New Roman" w:hAnsi="Times New Roman" w:cs="Times New Roman"/>
          <w:b/>
          <w:bCs/>
          <w:sz w:val="24"/>
          <w:szCs w:val="24"/>
        </w:rPr>
        <w:t>Cellules souches adultes </w:t>
      </w:r>
    </w:p>
    <w:p w:rsidR="002F45E5" w:rsidRPr="000C3ED2" w:rsidRDefault="002F45E5" w:rsidP="002F45E5">
      <w:pPr>
        <w:autoSpaceDE w:val="0"/>
        <w:autoSpaceDN w:val="0"/>
        <w:adjustRightInd w:val="0"/>
        <w:spacing w:after="0" w:line="360" w:lineRule="auto"/>
        <w:ind w:left="360"/>
        <w:jc w:val="both"/>
        <w:rPr>
          <w:rFonts w:ascii="Times New Roman" w:hAnsi="Times New Roman" w:cs="Times New Roman"/>
          <w:b/>
          <w:bCs/>
        </w:rPr>
      </w:pPr>
    </w:p>
    <w:p w:rsidR="002F45E5" w:rsidRPr="005B06D4" w:rsidRDefault="002F45E5" w:rsidP="002F45E5">
      <w:pPr>
        <w:autoSpaceDE w:val="0"/>
        <w:autoSpaceDN w:val="0"/>
        <w:adjustRightInd w:val="0"/>
        <w:spacing w:after="0" w:line="360" w:lineRule="auto"/>
        <w:jc w:val="both"/>
        <w:rPr>
          <w:rFonts w:ascii="Times New Roman" w:hAnsi="Times New Roman" w:cs="Times New Roman"/>
          <w:b/>
          <w:bCs/>
        </w:rPr>
      </w:pPr>
      <w:r>
        <w:rPr>
          <w:rFonts w:ascii="Times New Roman" w:hAnsi="Times New Roman" w:cs="Times New Roman"/>
          <w:sz w:val="24"/>
          <w:szCs w:val="24"/>
        </w:rPr>
        <w:t xml:space="preserve">        L</w:t>
      </w:r>
      <w:r w:rsidRPr="005B06D4">
        <w:rPr>
          <w:rFonts w:ascii="Times New Roman" w:hAnsi="Times New Roman" w:cs="Times New Roman"/>
          <w:sz w:val="24"/>
          <w:szCs w:val="24"/>
        </w:rPr>
        <w:t>a meilleure façon de défini</w:t>
      </w:r>
      <w:r>
        <w:rPr>
          <w:rFonts w:ascii="Times New Roman" w:hAnsi="Times New Roman" w:cs="Times New Roman"/>
          <w:sz w:val="24"/>
          <w:szCs w:val="24"/>
        </w:rPr>
        <w:t>r une cellule souche c’est à trouves</w:t>
      </w:r>
      <w:r w:rsidRPr="005B06D4">
        <w:rPr>
          <w:rFonts w:ascii="Times New Roman" w:hAnsi="Times New Roman" w:cs="Times New Roman"/>
          <w:sz w:val="24"/>
          <w:szCs w:val="24"/>
        </w:rPr>
        <w:t xml:space="preserve"> sa fonction : une cellule souche tissulaire (dite somatique pour la distinguer des cellules souches germinales) assure l’homéostasie, c’est-à-dire le maintien physiologique d’un organe ou d’un tissu, en remplaçant les cellules mortes, que ce soit naturellement ou après</w:t>
      </w:r>
      <w:r>
        <w:rPr>
          <w:rFonts w:ascii="Times New Roman" w:hAnsi="Times New Roman" w:cs="Times New Roman" w:hint="cs"/>
          <w:sz w:val="24"/>
          <w:szCs w:val="24"/>
          <w:rtl/>
        </w:rPr>
        <w:t xml:space="preserve"> </w:t>
      </w:r>
      <w:r w:rsidRPr="005B06D4">
        <w:rPr>
          <w:rFonts w:ascii="Times New Roman" w:hAnsi="Times New Roman" w:cs="Times New Roman"/>
          <w:sz w:val="24"/>
          <w:szCs w:val="24"/>
        </w:rPr>
        <w:t>une lésion, assurant ainsi la pérennité de la fonction de l’organe pendant la vie de l’individu. Elle remplit cette</w:t>
      </w:r>
      <w:r>
        <w:rPr>
          <w:rFonts w:ascii="Times New Roman" w:hAnsi="Times New Roman" w:cs="Times New Roman" w:hint="cs"/>
          <w:sz w:val="24"/>
          <w:szCs w:val="24"/>
          <w:rtl/>
        </w:rPr>
        <w:t xml:space="preserve"> </w:t>
      </w:r>
      <w:r w:rsidRPr="005B06D4">
        <w:rPr>
          <w:rFonts w:ascii="Times New Roman" w:hAnsi="Times New Roman" w:cs="Times New Roman"/>
          <w:sz w:val="24"/>
          <w:szCs w:val="24"/>
        </w:rPr>
        <w:t>fonction, d’une part en se multipliant à l’identique (ce qui évite le tarissement du réservoir de cellules souches), d’autre part en se différenciant, acquérant ainsi les caractéristiques du tissu à réparer</w:t>
      </w:r>
      <w:r w:rsidRPr="004425DB">
        <w:rPr>
          <w:rFonts w:ascii="Times New Roman" w:hAnsi="Times New Roman" w:cs="Times New Roman"/>
          <w:sz w:val="24"/>
          <w:szCs w:val="24"/>
        </w:rPr>
        <w:t>(</w:t>
      </w:r>
      <w:r>
        <w:rPr>
          <w:rFonts w:ascii="Times New Roman" w:hAnsi="Times New Roman" w:cs="Times New Roman"/>
          <w:sz w:val="24"/>
          <w:szCs w:val="24"/>
        </w:rPr>
        <w:t>3</w:t>
      </w:r>
      <w:r w:rsidRPr="004425DB">
        <w:rPr>
          <w:rFonts w:ascii="Times New Roman" w:hAnsi="Times New Roman" w:cs="Times New Roman"/>
          <w:sz w:val="24"/>
          <w:szCs w:val="24"/>
        </w:rPr>
        <w:t>)</w:t>
      </w:r>
      <w:r>
        <w:rPr>
          <w:rFonts w:ascii="Times New Roman" w:hAnsi="Times New Roman" w:cs="Times New Roman"/>
          <w:sz w:val="24"/>
          <w:szCs w:val="24"/>
        </w:rPr>
        <w:t>.</w:t>
      </w:r>
    </w:p>
    <w:p w:rsidR="002F45E5" w:rsidRDefault="002F45E5" w:rsidP="002F45E5">
      <w:pPr>
        <w:autoSpaceDE w:val="0"/>
        <w:autoSpaceDN w:val="0"/>
        <w:adjustRightInd w:val="0"/>
        <w:spacing w:after="0" w:line="360" w:lineRule="auto"/>
        <w:jc w:val="both"/>
        <w:rPr>
          <w:rFonts w:ascii="Times New Roman" w:hAnsi="Times New Roman" w:cs="Times New Roman"/>
        </w:rPr>
      </w:pPr>
    </w:p>
    <w:p w:rsidR="002F45E5" w:rsidRPr="001D0317" w:rsidRDefault="002F45E5" w:rsidP="002F45E5">
      <w:pPr>
        <w:pStyle w:val="a3"/>
        <w:numPr>
          <w:ilvl w:val="0"/>
          <w:numId w:val="3"/>
        </w:numPr>
        <w:autoSpaceDE w:val="0"/>
        <w:autoSpaceDN w:val="0"/>
        <w:adjustRightInd w:val="0"/>
        <w:spacing w:after="0" w:line="360" w:lineRule="auto"/>
        <w:jc w:val="both"/>
        <w:rPr>
          <w:rFonts w:ascii="Times New Roman" w:hAnsi="Times New Roman" w:cs="Times New Roman"/>
          <w:sz w:val="20"/>
          <w:szCs w:val="20"/>
        </w:rPr>
      </w:pPr>
      <w:r w:rsidRPr="00A85457">
        <w:rPr>
          <w:rFonts w:ascii="Times New Roman" w:hAnsi="Times New Roman" w:cs="Times New Roman"/>
          <w:b/>
          <w:bCs/>
          <w:sz w:val="24"/>
          <w:szCs w:val="24"/>
        </w:rPr>
        <w:t>Cellules souches fœtales </w:t>
      </w:r>
    </w:p>
    <w:p w:rsidR="002F45E5" w:rsidRPr="001D0317" w:rsidRDefault="002F45E5" w:rsidP="002F45E5">
      <w:pPr>
        <w:autoSpaceDE w:val="0"/>
        <w:autoSpaceDN w:val="0"/>
        <w:adjustRightInd w:val="0"/>
        <w:spacing w:after="0" w:line="360" w:lineRule="auto"/>
        <w:ind w:left="360"/>
        <w:jc w:val="both"/>
        <w:rPr>
          <w:rFonts w:ascii="Times New Roman" w:hAnsi="Times New Roman" w:cs="Times New Roman"/>
          <w:sz w:val="20"/>
          <w:szCs w:val="20"/>
          <w:rtl/>
        </w:rPr>
      </w:pPr>
    </w:p>
    <w:p w:rsidR="002F45E5" w:rsidRPr="00A85457" w:rsidRDefault="002F45E5" w:rsidP="002F45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A85457">
        <w:rPr>
          <w:rFonts w:ascii="Times New Roman" w:hAnsi="Times New Roman" w:cs="Times New Roman"/>
          <w:sz w:val="24"/>
          <w:szCs w:val="24"/>
        </w:rPr>
        <w:t>Elles sont issues de tissus fœtaux à un stade beaucoup plus tardif (5-9 semaines) que le stade de blastocyste</w:t>
      </w:r>
      <w:r>
        <w:rPr>
          <w:rFonts w:ascii="Times New Roman" w:hAnsi="Times New Roman" w:cs="Times New Roman"/>
          <w:sz w:val="24"/>
          <w:szCs w:val="24"/>
        </w:rPr>
        <w:t xml:space="preserve"> </w:t>
      </w:r>
      <w:r w:rsidRPr="00A85457">
        <w:rPr>
          <w:rFonts w:ascii="Times New Roman" w:hAnsi="Times New Roman" w:cs="Times New Roman"/>
          <w:sz w:val="24"/>
          <w:szCs w:val="24"/>
        </w:rPr>
        <w:t>embryonnaire et sont isolées à partir de fœtus résultant d’avortements. On distinguera ici deux classes :</w:t>
      </w:r>
    </w:p>
    <w:p w:rsidR="002F45E5" w:rsidRDefault="002F45E5" w:rsidP="002F45E5">
      <w:pPr>
        <w:pStyle w:val="a3"/>
        <w:numPr>
          <w:ilvl w:val="0"/>
          <w:numId w:val="4"/>
        </w:numPr>
        <w:autoSpaceDE w:val="0"/>
        <w:autoSpaceDN w:val="0"/>
        <w:adjustRightInd w:val="0"/>
        <w:spacing w:after="0" w:line="360" w:lineRule="auto"/>
        <w:jc w:val="both"/>
      </w:pPr>
      <w:r>
        <w:rPr>
          <w:rFonts w:ascii="Times New Roman" w:hAnsi="Times New Roman" w:cs="Times New Roman"/>
          <w:sz w:val="24"/>
          <w:szCs w:val="24"/>
        </w:rPr>
        <w:t>Cellules somatiques fœtales comme les tissus adultes et</w:t>
      </w:r>
      <w:r w:rsidRPr="00C21754">
        <w:rPr>
          <w:rFonts w:ascii="Times New Roman" w:hAnsi="Times New Roman" w:cs="Times New Roman"/>
          <w:sz w:val="24"/>
          <w:szCs w:val="24"/>
        </w:rPr>
        <w:t xml:space="preserve"> les tissus fœtaux contiennent des cellules souches : deux de ces tissus sont particulièrement importants dans une perspective thérapeutique : </w:t>
      </w:r>
      <w:r w:rsidRPr="00C21754">
        <w:rPr>
          <w:rFonts w:ascii="Times New Roman" w:hAnsi="Times New Roman" w:cs="Times New Roman"/>
          <w:b/>
          <w:sz w:val="24"/>
          <w:szCs w:val="24"/>
        </w:rPr>
        <w:t>(i)</w:t>
      </w:r>
      <w:r w:rsidRPr="00C21754">
        <w:rPr>
          <w:rFonts w:ascii="Times New Roman" w:hAnsi="Times New Roman" w:cs="Times New Roman"/>
          <w:sz w:val="24"/>
          <w:szCs w:val="24"/>
        </w:rPr>
        <w:t xml:space="preserve"> les cellules souches des zones germinatives du système nerveux central dans le traitement de certaines pathologies neuro-dégénératives (maladie de Parkinson ou de Huntington). En effet, l’allogreffe de neurones fœtaux a prouvé son efficacité, tandis que, dans ce cas, l’utilisation de cellules souches nerveuses adultes, (pour autant qu’elles </w:t>
      </w:r>
      <w:r w:rsidRPr="00C21754">
        <w:rPr>
          <w:rFonts w:ascii="Times New Roman" w:hAnsi="Times New Roman" w:cs="Times New Roman"/>
          <w:sz w:val="24"/>
          <w:szCs w:val="24"/>
        </w:rPr>
        <w:lastRenderedPageBreak/>
        <w:t xml:space="preserve">existent), est totalement exclue. </w:t>
      </w:r>
      <w:r w:rsidRPr="00C21754">
        <w:rPr>
          <w:rFonts w:ascii="Times New Roman" w:hAnsi="Times New Roman" w:cs="Times New Roman"/>
          <w:b/>
          <w:sz w:val="24"/>
          <w:szCs w:val="24"/>
        </w:rPr>
        <w:t>(ii)</w:t>
      </w:r>
      <w:r w:rsidRPr="00C21754">
        <w:rPr>
          <w:rFonts w:ascii="Times New Roman" w:hAnsi="Times New Roman" w:cs="Times New Roman"/>
          <w:sz w:val="24"/>
          <w:szCs w:val="24"/>
        </w:rPr>
        <w:t xml:space="preserve"> les hépatocytes fœtaux qui font l'objet d'une recherche active en vue de transplantation. </w:t>
      </w:r>
    </w:p>
    <w:p w:rsidR="002F45E5" w:rsidRPr="00A85457" w:rsidRDefault="002F45E5" w:rsidP="002F45E5">
      <w:pPr>
        <w:pStyle w:val="a3"/>
        <w:numPr>
          <w:ilvl w:val="0"/>
          <w:numId w:val="4"/>
        </w:numPr>
        <w:autoSpaceDE w:val="0"/>
        <w:autoSpaceDN w:val="0"/>
        <w:adjustRightInd w:val="0"/>
        <w:spacing w:after="0" w:line="360" w:lineRule="auto"/>
        <w:jc w:val="both"/>
        <w:rPr>
          <w:rFonts w:ascii="Times New Roman" w:hAnsi="Times New Roman" w:cs="Times New Roman"/>
          <w:sz w:val="24"/>
          <w:szCs w:val="24"/>
        </w:rPr>
      </w:pPr>
      <w:r w:rsidRPr="00A85457">
        <w:rPr>
          <w:rFonts w:ascii="Times New Roman" w:hAnsi="Times New Roman" w:cs="Times New Roman"/>
          <w:sz w:val="24"/>
          <w:szCs w:val="24"/>
        </w:rPr>
        <w:t>Cellules germinales (EG</w:t>
      </w:r>
      <w:r>
        <w:rPr>
          <w:rFonts w:ascii="Times New Roman" w:hAnsi="Times New Roman" w:cs="Times New Roman"/>
          <w:sz w:val="24"/>
          <w:szCs w:val="24"/>
        </w:rPr>
        <w:t>C</w:t>
      </w:r>
      <w:r w:rsidRPr="00A85457">
        <w:rPr>
          <w:rFonts w:ascii="Times New Roman" w:hAnsi="Times New Roman" w:cs="Times New Roman"/>
          <w:sz w:val="24"/>
          <w:szCs w:val="24"/>
        </w:rPr>
        <w:t>) : Elles sont issues de l’ébauche du tissu germinal de fœtus. Elles sont “</w:t>
      </w:r>
      <w:r w:rsidRPr="00A85457">
        <w:rPr>
          <w:rFonts w:ascii="Times New Roman" w:hAnsi="Times New Roman" w:cs="Times New Roman"/>
          <w:i/>
          <w:iCs/>
          <w:sz w:val="24"/>
          <w:szCs w:val="24"/>
        </w:rPr>
        <w:t xml:space="preserve">pluripotentes </w:t>
      </w:r>
      <w:r w:rsidRPr="00A85457">
        <w:rPr>
          <w:rFonts w:ascii="Times New Roman" w:hAnsi="Times New Roman" w:cs="Times New Roman"/>
          <w:sz w:val="24"/>
          <w:szCs w:val="24"/>
        </w:rPr>
        <w:t>” comme les cellules ES</w:t>
      </w:r>
      <w:r>
        <w:rPr>
          <w:rFonts w:ascii="Times New Roman" w:hAnsi="Times New Roman" w:cs="Times New Roman"/>
          <w:sz w:val="24"/>
          <w:szCs w:val="24"/>
        </w:rPr>
        <w:t xml:space="preserve"> </w:t>
      </w:r>
      <w:r w:rsidRPr="00A85457">
        <w:rPr>
          <w:rFonts w:ascii="Times New Roman" w:hAnsi="Times New Roman" w:cs="Times New Roman"/>
          <w:sz w:val="24"/>
          <w:szCs w:val="24"/>
        </w:rPr>
        <w:t>ét</w:t>
      </w:r>
      <w:r>
        <w:rPr>
          <w:rFonts w:ascii="Times New Roman" w:hAnsi="Times New Roman" w:cs="Times New Roman"/>
          <w:sz w:val="24"/>
          <w:szCs w:val="24"/>
        </w:rPr>
        <w:t>a</w:t>
      </w:r>
      <w:r w:rsidRPr="00A85457">
        <w:rPr>
          <w:rFonts w:ascii="Times New Roman" w:hAnsi="Times New Roman" w:cs="Times New Roman"/>
          <w:sz w:val="24"/>
          <w:szCs w:val="24"/>
        </w:rPr>
        <w:t>nt la même capacité de prolifération que ces dernières. Leur génome est toutefois moins stable que celui des</w:t>
      </w:r>
      <w:r>
        <w:rPr>
          <w:rFonts w:ascii="Times New Roman" w:hAnsi="Times New Roman" w:cs="Times New Roman" w:hint="cs"/>
          <w:sz w:val="24"/>
          <w:szCs w:val="24"/>
          <w:rtl/>
        </w:rPr>
        <w:t xml:space="preserve"> </w:t>
      </w:r>
      <w:r w:rsidRPr="00A85457">
        <w:rPr>
          <w:rFonts w:ascii="Times New Roman" w:hAnsi="Times New Roman" w:cs="Times New Roman"/>
          <w:sz w:val="24"/>
          <w:szCs w:val="24"/>
        </w:rPr>
        <w:t>ES, ce qui les rend, pour l’instant, inutilisables dans une perspective thérapeutique, alors qu’elles ouvrent</w:t>
      </w:r>
      <w:r>
        <w:rPr>
          <w:rFonts w:ascii="Times New Roman" w:hAnsi="Times New Roman" w:cs="Times New Roman" w:hint="cs"/>
          <w:sz w:val="24"/>
          <w:szCs w:val="24"/>
          <w:rtl/>
        </w:rPr>
        <w:t xml:space="preserve"> </w:t>
      </w:r>
      <w:r w:rsidRPr="00A85457">
        <w:rPr>
          <w:rFonts w:ascii="Times New Roman" w:hAnsi="Times New Roman" w:cs="Times New Roman"/>
          <w:sz w:val="24"/>
          <w:szCs w:val="24"/>
        </w:rPr>
        <w:t>d’importantes perspectives en recherche fondamentale.</w:t>
      </w:r>
      <w:r>
        <w:rPr>
          <w:rFonts w:ascii="Times New Roman" w:hAnsi="Times New Roman" w:cs="Times New Roman"/>
          <w:sz w:val="24"/>
          <w:szCs w:val="24"/>
        </w:rPr>
        <w:t xml:space="preserve"> (3</w:t>
      </w:r>
      <w:r w:rsidRPr="004425DB">
        <w:rPr>
          <w:rFonts w:ascii="Times New Roman" w:hAnsi="Times New Roman" w:cs="Times New Roman"/>
          <w:sz w:val="24"/>
          <w:szCs w:val="24"/>
        </w:rPr>
        <w:t>)</w:t>
      </w:r>
      <w:r>
        <w:rPr>
          <w:rFonts w:ascii="Times New Roman" w:hAnsi="Times New Roman" w:cs="Times New Roman"/>
          <w:sz w:val="24"/>
          <w:szCs w:val="24"/>
        </w:rPr>
        <w:t>.</w:t>
      </w:r>
    </w:p>
    <w:p w:rsidR="002F45E5" w:rsidRPr="00E0483C" w:rsidRDefault="002F45E5" w:rsidP="002F45E5">
      <w:pPr>
        <w:autoSpaceDE w:val="0"/>
        <w:autoSpaceDN w:val="0"/>
        <w:adjustRightInd w:val="0"/>
        <w:spacing w:after="0" w:line="360" w:lineRule="auto"/>
        <w:jc w:val="both"/>
        <w:rPr>
          <w:rFonts w:ascii="Times New Roman" w:hAnsi="Times New Roman" w:cs="Times New Roman"/>
          <w:b/>
          <w:bCs/>
          <w:sz w:val="24"/>
          <w:szCs w:val="24"/>
        </w:rPr>
      </w:pPr>
    </w:p>
    <w:p w:rsidR="002F45E5" w:rsidRPr="00D97F3F" w:rsidRDefault="002F45E5" w:rsidP="002F45E5">
      <w:pPr>
        <w:pStyle w:val="a3"/>
        <w:numPr>
          <w:ilvl w:val="0"/>
          <w:numId w:val="5"/>
        </w:numPr>
        <w:autoSpaceDE w:val="0"/>
        <w:autoSpaceDN w:val="0"/>
        <w:adjustRightInd w:val="0"/>
        <w:spacing w:after="0" w:line="360" w:lineRule="auto"/>
        <w:jc w:val="both"/>
        <w:rPr>
          <w:rFonts w:ascii="Times New Roman" w:hAnsi="Times New Roman" w:cs="Times New Roman"/>
          <w:sz w:val="24"/>
          <w:szCs w:val="24"/>
        </w:rPr>
      </w:pPr>
      <w:r w:rsidRPr="00E0483C">
        <w:rPr>
          <w:rFonts w:ascii="Times New Roman" w:hAnsi="Times New Roman" w:cs="Times New Roman"/>
          <w:b/>
          <w:bCs/>
          <w:sz w:val="24"/>
          <w:szCs w:val="24"/>
        </w:rPr>
        <w:t>Cellules embryonnaires ES pluripotentes </w:t>
      </w:r>
    </w:p>
    <w:p w:rsidR="002F45E5" w:rsidRPr="00D97F3F" w:rsidRDefault="002F45E5" w:rsidP="002F45E5">
      <w:pPr>
        <w:autoSpaceDE w:val="0"/>
        <w:autoSpaceDN w:val="0"/>
        <w:adjustRightInd w:val="0"/>
        <w:spacing w:after="0" w:line="360" w:lineRule="auto"/>
        <w:jc w:val="both"/>
        <w:rPr>
          <w:rFonts w:ascii="Times New Roman" w:hAnsi="Times New Roman" w:cs="Times New Roman"/>
          <w:sz w:val="24"/>
          <w:szCs w:val="24"/>
        </w:rPr>
      </w:pPr>
    </w:p>
    <w:p w:rsidR="002F45E5" w:rsidRDefault="002F45E5" w:rsidP="002F45E5">
      <w:pPr>
        <w:tabs>
          <w:tab w:val="left" w:pos="375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26771">
        <w:rPr>
          <w:rFonts w:ascii="Times New Roman" w:hAnsi="Times New Roman" w:cs="Times New Roman"/>
          <w:sz w:val="24"/>
          <w:szCs w:val="24"/>
        </w:rPr>
        <w:t>Elles sont issues de la masse interne du “ blastocyste ”, une structure de 16-40 cellules issues des divisions de</w:t>
      </w:r>
      <w:r>
        <w:rPr>
          <w:rFonts w:ascii="Times New Roman" w:hAnsi="Times New Roman" w:cs="Times New Roman" w:hint="cs"/>
          <w:sz w:val="24"/>
          <w:szCs w:val="24"/>
          <w:rtl/>
        </w:rPr>
        <w:t xml:space="preserve"> </w:t>
      </w:r>
      <w:r w:rsidRPr="00B26771">
        <w:rPr>
          <w:rFonts w:ascii="Times New Roman" w:hAnsi="Times New Roman" w:cs="Times New Roman"/>
          <w:sz w:val="24"/>
          <w:szCs w:val="24"/>
        </w:rPr>
        <w:t>l’ovocyte fécondé. Le feuillet externe du blastocyste donnera le placenta. S’il est implanté dans l’utérus, le blastocyste entier peut se développer en un fœtus viable. Au stade de blastocyste (5</w:t>
      </w:r>
      <w:r w:rsidRPr="0025097C">
        <w:rPr>
          <w:rFonts w:ascii="Times New Roman" w:hAnsi="Times New Roman" w:cs="Times New Roman"/>
          <w:b/>
          <w:bCs/>
          <w:sz w:val="24"/>
          <w:szCs w:val="24"/>
          <w:vertAlign w:val="superscript"/>
        </w:rPr>
        <w:t>ème</w:t>
      </w:r>
      <w:r w:rsidRPr="00B26771">
        <w:rPr>
          <w:rFonts w:ascii="Times New Roman" w:hAnsi="Times New Roman" w:cs="Times New Roman"/>
          <w:sz w:val="24"/>
          <w:szCs w:val="24"/>
        </w:rPr>
        <w:t xml:space="preserve"> jour de développement), chacune des cellules de la masse interne du blastocyste (ES) est pluripotente, voire totipotente puisqu’elle peut produire tous les feuillets embryonnaires (mésoderme, endoderme, ectoderme) et les tissus qui en dérivent, ainsi que les cellules germinales. Une fois le blastocyste dissocié, les cellules ES qui en sont extraites ont perdu toute possibilité de se développe</w:t>
      </w:r>
      <w:r>
        <w:rPr>
          <w:rFonts w:ascii="Times New Roman" w:hAnsi="Times New Roman" w:cs="Times New Roman"/>
          <w:sz w:val="24"/>
          <w:szCs w:val="24"/>
        </w:rPr>
        <w:t>r ultérieurement en un embryon.</w:t>
      </w:r>
    </w:p>
    <w:p w:rsidR="002F45E5" w:rsidRDefault="002F45E5" w:rsidP="002F45E5">
      <w:pPr>
        <w:tabs>
          <w:tab w:val="left" w:pos="3750"/>
        </w:tabs>
        <w:spacing w:after="0" w:line="360" w:lineRule="auto"/>
        <w:jc w:val="both"/>
        <w:rPr>
          <w:rFonts w:ascii="Times New Roman" w:hAnsi="Times New Roman" w:cs="Times New Roman"/>
          <w:sz w:val="24"/>
          <w:szCs w:val="24"/>
        </w:rPr>
      </w:pPr>
      <w:r w:rsidRPr="00B2677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26771">
        <w:rPr>
          <w:rFonts w:ascii="Times New Roman" w:hAnsi="Times New Roman" w:cs="Times New Roman"/>
          <w:sz w:val="24"/>
          <w:szCs w:val="24"/>
        </w:rPr>
        <w:t>Cependant</w:t>
      </w:r>
      <w:r>
        <w:rPr>
          <w:rFonts w:ascii="Times New Roman" w:hAnsi="Times New Roman" w:cs="Times New Roman"/>
          <w:sz w:val="24"/>
          <w:szCs w:val="24"/>
        </w:rPr>
        <w:t>,</w:t>
      </w:r>
      <w:r w:rsidRPr="00B26771">
        <w:rPr>
          <w:rFonts w:ascii="Times New Roman" w:hAnsi="Times New Roman" w:cs="Times New Roman"/>
          <w:sz w:val="24"/>
          <w:szCs w:val="24"/>
        </w:rPr>
        <w:t xml:space="preserve"> elles peuvent être cultivées au laboratoire à l’infini tout</w:t>
      </w:r>
      <w:r>
        <w:rPr>
          <w:rFonts w:ascii="Times New Roman" w:hAnsi="Times New Roman" w:cs="Times New Roman"/>
          <w:sz w:val="24"/>
          <w:szCs w:val="24"/>
        </w:rPr>
        <w:t xml:space="preserve"> en conservant leur caractère  “ pluripotent</w:t>
      </w:r>
      <w:r w:rsidRPr="00B26771">
        <w:rPr>
          <w:rFonts w:ascii="Times New Roman" w:hAnsi="Times New Roman" w:cs="Times New Roman"/>
          <w:sz w:val="24"/>
          <w:szCs w:val="24"/>
        </w:rPr>
        <w:t xml:space="preserve"> ” et en gardant un génome intact. Il est donc possible d’obtenir des millions de cellules ES pluripotentes à partir d’un petit nombre de cellules embryonnaires de blastocyste. Placées dans des conditions de culture précises, ces cellules ont également la capacité de se</w:t>
      </w:r>
      <w:r>
        <w:rPr>
          <w:rFonts w:ascii="Times New Roman" w:hAnsi="Times New Roman" w:cs="Times New Roman" w:hint="cs"/>
          <w:sz w:val="24"/>
          <w:szCs w:val="24"/>
          <w:rtl/>
        </w:rPr>
        <w:t xml:space="preserve"> </w:t>
      </w:r>
      <w:r w:rsidRPr="00B26771">
        <w:rPr>
          <w:rFonts w:ascii="Times New Roman" w:hAnsi="Times New Roman" w:cs="Times New Roman"/>
          <w:sz w:val="24"/>
          <w:szCs w:val="24"/>
        </w:rPr>
        <w:t>différencier en des cellules spécialisées correspondant à tous les tissus de l’organis</w:t>
      </w:r>
      <w:r>
        <w:rPr>
          <w:rFonts w:ascii="Times New Roman" w:hAnsi="Times New Roman" w:cs="Times New Roman"/>
          <w:sz w:val="24"/>
          <w:szCs w:val="24"/>
        </w:rPr>
        <w:t>me (cœur, sang, neurones,.....).</w:t>
      </w:r>
    </w:p>
    <w:p w:rsidR="002F45E5" w:rsidRDefault="002F45E5" w:rsidP="002F45E5">
      <w:pPr>
        <w:tabs>
          <w:tab w:val="left" w:pos="3750"/>
        </w:tabs>
        <w:spacing w:after="0" w:line="360" w:lineRule="auto"/>
        <w:jc w:val="both"/>
        <w:rPr>
          <w:rFonts w:ascii="Times New Roman" w:hAnsi="Times New Roman" w:cs="Times New Roman"/>
          <w:sz w:val="24"/>
          <w:szCs w:val="24"/>
        </w:rPr>
      </w:pPr>
      <w:r w:rsidRPr="00B26771">
        <w:rPr>
          <w:rFonts w:ascii="Times New Roman" w:hAnsi="Times New Roman" w:cs="Times New Roman"/>
          <w:sz w:val="24"/>
          <w:szCs w:val="24"/>
        </w:rPr>
        <w:t xml:space="preserve"> </w:t>
      </w:r>
      <w:r>
        <w:rPr>
          <w:rFonts w:ascii="Times New Roman" w:hAnsi="Times New Roman" w:cs="Times New Roman"/>
          <w:sz w:val="24"/>
          <w:szCs w:val="24"/>
        </w:rPr>
        <w:t xml:space="preserve">       Les cellules ES peuve</w:t>
      </w:r>
      <w:r w:rsidRPr="00B26771">
        <w:rPr>
          <w:rFonts w:ascii="Times New Roman" w:hAnsi="Times New Roman" w:cs="Times New Roman"/>
          <w:sz w:val="24"/>
          <w:szCs w:val="24"/>
        </w:rPr>
        <w:t xml:space="preserve">nt reformer un embryon mais à la stricte condition qu’elles soient réintroduites dans un blastocyste appelé hôte. En aucun cas, elles ne sont capables de générer, à </w:t>
      </w:r>
      <w:r>
        <w:rPr>
          <w:rFonts w:ascii="Times New Roman" w:hAnsi="Times New Roman" w:cs="Times New Roman"/>
          <w:sz w:val="24"/>
          <w:szCs w:val="24"/>
        </w:rPr>
        <w:t>elles seules, un embryon viable (3</w:t>
      </w:r>
      <w:r w:rsidRPr="004425DB">
        <w:rPr>
          <w:rFonts w:ascii="Times New Roman" w:hAnsi="Times New Roman" w:cs="Times New Roman"/>
          <w:sz w:val="24"/>
          <w:szCs w:val="24"/>
        </w:rPr>
        <w:t>)</w:t>
      </w:r>
      <w:r>
        <w:rPr>
          <w:rFonts w:ascii="Times New Roman" w:hAnsi="Times New Roman" w:cs="Times New Roman"/>
          <w:sz w:val="24"/>
          <w:szCs w:val="24"/>
        </w:rPr>
        <w:t>.</w:t>
      </w:r>
    </w:p>
    <w:p w:rsidR="002F45E5" w:rsidRDefault="002F45E5" w:rsidP="002F45E5">
      <w:pPr>
        <w:tabs>
          <w:tab w:val="left" w:pos="3750"/>
        </w:tabs>
        <w:spacing w:after="0" w:line="360" w:lineRule="auto"/>
        <w:jc w:val="both"/>
        <w:rPr>
          <w:rFonts w:ascii="Times New Roman" w:hAnsi="Times New Roman" w:cs="Times New Roman"/>
          <w:sz w:val="24"/>
          <w:szCs w:val="24"/>
        </w:rPr>
      </w:pPr>
    </w:p>
    <w:p w:rsidR="002F45E5" w:rsidRDefault="002F45E5" w:rsidP="002F45E5">
      <w:pPr>
        <w:tabs>
          <w:tab w:val="left" w:pos="3750"/>
        </w:tabs>
        <w:spacing w:after="0" w:line="360" w:lineRule="auto"/>
        <w:jc w:val="both"/>
        <w:rPr>
          <w:rFonts w:ascii="Times New Roman" w:hAnsi="Times New Roman" w:cs="Times New Roman"/>
          <w:sz w:val="24"/>
          <w:szCs w:val="24"/>
        </w:rPr>
      </w:pPr>
    </w:p>
    <w:p w:rsidR="002F45E5" w:rsidRDefault="002F45E5" w:rsidP="002F45E5">
      <w:pPr>
        <w:tabs>
          <w:tab w:val="left" w:pos="3750"/>
        </w:tabs>
        <w:spacing w:after="0" w:line="360" w:lineRule="auto"/>
        <w:jc w:val="both"/>
        <w:rPr>
          <w:rFonts w:ascii="Times New Roman" w:hAnsi="Times New Roman" w:cs="Times New Roman"/>
          <w:sz w:val="24"/>
          <w:szCs w:val="24"/>
        </w:rPr>
      </w:pPr>
    </w:p>
    <w:p w:rsidR="002F45E5" w:rsidRDefault="002F45E5" w:rsidP="002F45E5">
      <w:pPr>
        <w:tabs>
          <w:tab w:val="left" w:pos="3750"/>
        </w:tabs>
        <w:spacing w:after="0" w:line="360" w:lineRule="auto"/>
        <w:jc w:val="both"/>
        <w:rPr>
          <w:rFonts w:ascii="Times New Roman" w:hAnsi="Times New Roman" w:cs="Times New Roman"/>
          <w:sz w:val="24"/>
          <w:szCs w:val="24"/>
        </w:rPr>
      </w:pPr>
    </w:p>
    <w:p w:rsidR="002F45E5" w:rsidRPr="00EB5D66" w:rsidRDefault="002F45E5" w:rsidP="002F45E5">
      <w:pPr>
        <w:pStyle w:val="a3"/>
        <w:numPr>
          <w:ilvl w:val="0"/>
          <w:numId w:val="5"/>
        </w:numPr>
        <w:autoSpaceDE w:val="0"/>
        <w:autoSpaceDN w:val="0"/>
        <w:adjustRightInd w:val="0"/>
        <w:spacing w:after="0" w:line="360" w:lineRule="auto"/>
        <w:jc w:val="both"/>
        <w:rPr>
          <w:rFonts w:ascii="Times New Roman" w:hAnsi="Times New Roman" w:cs="Times New Roman"/>
          <w:b/>
          <w:sz w:val="24"/>
          <w:szCs w:val="24"/>
        </w:rPr>
      </w:pPr>
      <w:r w:rsidRPr="00EB5D66">
        <w:rPr>
          <w:rFonts w:ascii="Times New Roman" w:hAnsi="Times New Roman" w:cs="Times New Roman"/>
          <w:b/>
          <w:bCs/>
          <w:sz w:val="24"/>
          <w:szCs w:val="24"/>
        </w:rPr>
        <w:lastRenderedPageBreak/>
        <w:t>Cellules précurseurs </w:t>
      </w:r>
    </w:p>
    <w:p w:rsidR="002F45E5" w:rsidRPr="003E6232" w:rsidRDefault="002F45E5" w:rsidP="002F45E5">
      <w:pPr>
        <w:autoSpaceDE w:val="0"/>
        <w:autoSpaceDN w:val="0"/>
        <w:adjustRightInd w:val="0"/>
        <w:spacing w:after="0" w:line="360" w:lineRule="auto"/>
        <w:jc w:val="both"/>
        <w:rPr>
          <w:rFonts w:ascii="Times New Roman" w:hAnsi="Times New Roman" w:cs="Times New Roman"/>
          <w:sz w:val="24"/>
          <w:szCs w:val="24"/>
        </w:rPr>
      </w:pPr>
    </w:p>
    <w:p w:rsidR="002F45E5" w:rsidRDefault="002F45E5" w:rsidP="002F45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26771">
        <w:rPr>
          <w:rFonts w:ascii="Times New Roman" w:hAnsi="Times New Roman" w:cs="Times New Roman"/>
          <w:sz w:val="24"/>
          <w:szCs w:val="24"/>
        </w:rPr>
        <w:t>Quoiqu'on ne puisse pas réellement les placer sur le même plan que les trois types précédents, une mention doit être faite de ce que l'on appe</w:t>
      </w:r>
      <w:r>
        <w:rPr>
          <w:rFonts w:ascii="Times New Roman" w:hAnsi="Times New Roman" w:cs="Times New Roman"/>
          <w:sz w:val="24"/>
          <w:szCs w:val="24"/>
        </w:rPr>
        <w:t>lle les cellules (précurseurs).</w:t>
      </w:r>
    </w:p>
    <w:p w:rsidR="002F45E5" w:rsidRDefault="002F45E5" w:rsidP="002F45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Agency FB" w:hAnsi="Agency FB" w:cs="Times New Roman"/>
          <w:sz w:val="24"/>
          <w:szCs w:val="24"/>
        </w:rPr>
        <w:t xml:space="preserve">       </w:t>
      </w:r>
      <w:r w:rsidRPr="00B26771">
        <w:rPr>
          <w:rFonts w:ascii="Times New Roman" w:hAnsi="Times New Roman" w:cs="Times New Roman"/>
          <w:sz w:val="24"/>
          <w:szCs w:val="24"/>
        </w:rPr>
        <w:t>Elles sont issues des divisions des cellules souches mais ont déjà acquis, lors de leur développement, un certain degré de spécialisation et sont physiologiquement fonctionnelles. Bien qu’ayant perdu les caractéristiques des cellules souches proprement dites (elles ne sont plus multipotent</w:t>
      </w:r>
      <w:r>
        <w:rPr>
          <w:rFonts w:ascii="Times New Roman" w:hAnsi="Times New Roman" w:cs="Times New Roman"/>
          <w:sz w:val="24"/>
          <w:szCs w:val="24"/>
        </w:rPr>
        <w:t>es</w:t>
      </w:r>
      <w:r w:rsidRPr="00B26771">
        <w:rPr>
          <w:rFonts w:ascii="Times New Roman" w:hAnsi="Times New Roman" w:cs="Times New Roman"/>
          <w:sz w:val="24"/>
          <w:szCs w:val="24"/>
        </w:rPr>
        <w:t>, se divisent moins l</w:t>
      </w:r>
      <w:r>
        <w:rPr>
          <w:rFonts w:ascii="Times New Roman" w:hAnsi="Times New Roman" w:cs="Times New Roman"/>
          <w:sz w:val="24"/>
          <w:szCs w:val="24"/>
        </w:rPr>
        <w:t>ongtemps et moins efficacement).</w:t>
      </w:r>
    </w:p>
    <w:p w:rsidR="002F45E5" w:rsidRDefault="002F45E5" w:rsidP="002F45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w:t>
      </w:r>
      <w:r w:rsidRPr="00B26771">
        <w:rPr>
          <w:rFonts w:ascii="Times New Roman" w:hAnsi="Times New Roman" w:cs="Times New Roman"/>
          <w:sz w:val="24"/>
          <w:szCs w:val="24"/>
        </w:rPr>
        <w:t>lles peuvent néanmoins être obtenues en</w:t>
      </w:r>
      <w:r>
        <w:t xml:space="preserve"> </w:t>
      </w:r>
      <w:r w:rsidRPr="00B26771">
        <w:rPr>
          <w:rFonts w:ascii="Times New Roman" w:hAnsi="Times New Roman" w:cs="Times New Roman"/>
          <w:sz w:val="24"/>
          <w:szCs w:val="24"/>
        </w:rPr>
        <w:t>grand nombre à partir des cellules souches. Dans certains cas, elles pourraient être utilisées en thérapeutique pour pallier un déficit transitoire d’un organe ou d’un tissu. A cette catégorie appartiennent : les cellules musculaires (dites satellites), les hépatocytes fœtaux, les précurseurs hématopoïétiques, les cellules des îlots pancréatiqu</w:t>
      </w:r>
      <w:r>
        <w:rPr>
          <w:rFonts w:ascii="Times New Roman" w:hAnsi="Times New Roman" w:cs="Times New Roman"/>
          <w:sz w:val="24"/>
          <w:szCs w:val="24"/>
        </w:rPr>
        <w:t>es (diabète) et certains neurones (3</w:t>
      </w:r>
      <w:r w:rsidRPr="004425DB">
        <w:rPr>
          <w:rFonts w:ascii="Times New Roman" w:hAnsi="Times New Roman" w:cs="Times New Roman"/>
          <w:sz w:val="24"/>
          <w:szCs w:val="24"/>
        </w:rPr>
        <w:t>)</w:t>
      </w:r>
      <w:r>
        <w:rPr>
          <w:rFonts w:ascii="Times New Roman" w:hAnsi="Times New Roman" w:cs="Times New Roman"/>
          <w:sz w:val="24"/>
          <w:szCs w:val="24"/>
        </w:rPr>
        <w:t>.</w:t>
      </w:r>
    </w:p>
    <w:p w:rsidR="002F45E5" w:rsidRPr="009D549C" w:rsidRDefault="002F45E5" w:rsidP="002F45E5">
      <w:pPr>
        <w:autoSpaceDE w:val="0"/>
        <w:autoSpaceDN w:val="0"/>
        <w:adjustRightInd w:val="0"/>
        <w:spacing w:after="0" w:line="360" w:lineRule="auto"/>
        <w:jc w:val="both"/>
      </w:pPr>
    </w:p>
    <w:p w:rsidR="002F45E5" w:rsidRDefault="002F45E5" w:rsidP="002F45E5">
      <w:pPr>
        <w:spacing w:after="0" w:line="360" w:lineRule="auto"/>
        <w:jc w:val="both"/>
        <w:rPr>
          <w:rFonts w:asciiTheme="majorBidi" w:hAnsiTheme="majorBidi" w:cstheme="majorBidi"/>
          <w:b/>
          <w:bCs/>
          <w:sz w:val="28"/>
          <w:szCs w:val="28"/>
          <w:rtl/>
        </w:rPr>
      </w:pPr>
      <w:r w:rsidRPr="008947B2">
        <w:rPr>
          <w:rFonts w:asciiTheme="majorBidi" w:hAnsiTheme="majorBidi" w:cstheme="majorBidi"/>
          <w:b/>
          <w:bCs/>
          <w:sz w:val="28"/>
          <w:szCs w:val="28"/>
        </w:rPr>
        <w:t>1 .2.</w:t>
      </w:r>
      <w:r w:rsidRPr="007434A3">
        <w:rPr>
          <w:rFonts w:asciiTheme="majorBidi" w:hAnsiTheme="majorBidi" w:cstheme="majorBidi"/>
          <w:b/>
          <w:bCs/>
          <w:sz w:val="28"/>
          <w:szCs w:val="28"/>
        </w:rPr>
        <w:t>Les cellules souches mésenchymateuses </w:t>
      </w:r>
    </w:p>
    <w:p w:rsidR="002F45E5" w:rsidRPr="008947B2" w:rsidRDefault="002F45E5" w:rsidP="002F45E5">
      <w:pPr>
        <w:spacing w:after="0" w:line="360" w:lineRule="auto"/>
        <w:jc w:val="both"/>
        <w:rPr>
          <w:rFonts w:asciiTheme="majorBidi" w:hAnsiTheme="majorBidi" w:cstheme="majorBidi"/>
          <w:b/>
          <w:bCs/>
          <w:sz w:val="28"/>
          <w:szCs w:val="28"/>
        </w:rPr>
      </w:pPr>
    </w:p>
    <w:p w:rsidR="002F45E5" w:rsidRDefault="002F45E5" w:rsidP="002F45E5">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947B2">
        <w:rPr>
          <w:rFonts w:asciiTheme="majorBidi" w:hAnsiTheme="majorBidi" w:cstheme="majorBidi"/>
          <w:sz w:val="24"/>
          <w:szCs w:val="24"/>
        </w:rPr>
        <w:t>Les cellules souches mésenchymateuses (CSM) sont des cellules souches tissulaires multipotentielles donnant naissance aux tissus conjonctifs du squelette :os, cartilage, stroma médullaire à différenciation vasculaire musculaire lisse et adipocytes .De façon plus contestée, elles donneraient également naissance aux cellules musculaires sarcomériques</w:t>
      </w:r>
      <w:r>
        <w:rPr>
          <w:rFonts w:asciiTheme="majorBidi" w:hAnsiTheme="majorBidi" w:cstheme="majorBidi"/>
          <w:sz w:val="24"/>
          <w:szCs w:val="24"/>
        </w:rPr>
        <w:t xml:space="preserve"> </w:t>
      </w:r>
      <w:r w:rsidRPr="008947B2">
        <w:rPr>
          <w:rFonts w:asciiTheme="majorBidi" w:hAnsiTheme="majorBidi" w:cstheme="majorBidi"/>
          <w:sz w:val="24"/>
          <w:szCs w:val="24"/>
        </w:rPr>
        <w:t xml:space="preserve">(squelettiques et cardiaques) et aux cellules endothéliales, voire à des cellules d’origine non mésodermique, tels </w:t>
      </w:r>
      <w:r>
        <w:rPr>
          <w:rFonts w:asciiTheme="majorBidi" w:hAnsiTheme="majorBidi" w:cstheme="majorBidi"/>
          <w:sz w:val="24"/>
          <w:szCs w:val="24"/>
        </w:rPr>
        <w:t>que</w:t>
      </w:r>
      <w:r w:rsidRPr="008947B2">
        <w:rPr>
          <w:rFonts w:asciiTheme="majorBidi" w:hAnsiTheme="majorBidi" w:cstheme="majorBidi"/>
          <w:sz w:val="24"/>
          <w:szCs w:val="24"/>
        </w:rPr>
        <w:t xml:space="preserve"> les hépatocytes ou les cellules neurales. L’application de l’ensemble des cellules souches à l’étude des cellules souches mésenchymateuses montre que ces cellules constituent une catégorie singulière, différente, à bien des égards, des cellules souches classiques de l’hématopoïèse.</w:t>
      </w:r>
    </w:p>
    <w:p w:rsidR="002F45E5" w:rsidRPr="008947B2" w:rsidRDefault="002F45E5" w:rsidP="002F45E5">
      <w:pPr>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8947B2">
        <w:rPr>
          <w:rFonts w:asciiTheme="majorBidi" w:hAnsiTheme="majorBidi" w:cstheme="majorBidi"/>
          <w:sz w:val="24"/>
          <w:szCs w:val="24"/>
        </w:rPr>
        <w:t xml:space="preserve"> </w:t>
      </w:r>
      <w:r>
        <w:rPr>
          <w:rFonts w:asciiTheme="majorBidi" w:hAnsiTheme="majorBidi" w:cstheme="majorBidi"/>
          <w:sz w:val="24"/>
          <w:szCs w:val="24"/>
        </w:rPr>
        <w:t>On envisager</w:t>
      </w:r>
      <w:r w:rsidRPr="008947B2">
        <w:rPr>
          <w:rFonts w:asciiTheme="majorBidi" w:hAnsiTheme="majorBidi" w:cstheme="majorBidi"/>
          <w:sz w:val="24"/>
          <w:szCs w:val="24"/>
        </w:rPr>
        <w:t xml:space="preserve"> ici les différenciations adipocytaire, ostéoblastique, c</w:t>
      </w:r>
      <w:r>
        <w:rPr>
          <w:rFonts w:asciiTheme="majorBidi" w:hAnsiTheme="majorBidi" w:cstheme="majorBidi"/>
          <w:sz w:val="24"/>
          <w:szCs w:val="24"/>
        </w:rPr>
        <w:t xml:space="preserve">hondrocytaire, cardiomyocytaire </w:t>
      </w:r>
      <w:r w:rsidRPr="008947B2">
        <w:rPr>
          <w:rFonts w:asciiTheme="majorBidi" w:hAnsiTheme="majorBidi" w:cstheme="majorBidi"/>
          <w:sz w:val="24"/>
          <w:szCs w:val="24"/>
        </w:rPr>
        <w:t>et neurale .Le cara</w:t>
      </w:r>
      <w:r>
        <w:rPr>
          <w:rFonts w:asciiTheme="majorBidi" w:hAnsiTheme="majorBidi" w:cstheme="majorBidi"/>
          <w:sz w:val="24"/>
          <w:szCs w:val="24"/>
        </w:rPr>
        <w:t xml:space="preserve">ctère multipotent et le pouvoir </w:t>
      </w:r>
      <w:r w:rsidRPr="008947B2">
        <w:rPr>
          <w:rFonts w:asciiTheme="majorBidi" w:hAnsiTheme="majorBidi" w:cstheme="majorBidi"/>
          <w:sz w:val="24"/>
          <w:szCs w:val="24"/>
        </w:rPr>
        <w:t xml:space="preserve">immunomodulateur des cellules souches mésenchymateuses en font de bonnes candidates pour  des utilisations en thérapie cellulaire à  visée réparatrice et pour des </w:t>
      </w:r>
      <w:r w:rsidRPr="008947B2">
        <w:rPr>
          <w:rFonts w:asciiTheme="majorBidi" w:hAnsiTheme="majorBidi" w:cstheme="majorBidi"/>
          <w:sz w:val="24"/>
          <w:szCs w:val="24"/>
        </w:rPr>
        <w:lastRenderedPageBreak/>
        <w:t>interventions immunomodulatrices. Nous passerons en revue l’utilisation des cellules souches mésenchymateuses  dans le cadre des hémopath</w:t>
      </w:r>
      <w:r>
        <w:rPr>
          <w:rFonts w:asciiTheme="majorBidi" w:hAnsiTheme="majorBidi" w:cstheme="majorBidi"/>
          <w:sz w:val="24"/>
          <w:szCs w:val="24"/>
        </w:rPr>
        <w:t>ies et des pathologies osseuses (7).</w:t>
      </w:r>
    </w:p>
    <w:p w:rsidR="002F45E5" w:rsidRPr="007434A3" w:rsidRDefault="002F45E5" w:rsidP="002F45E5">
      <w:pPr>
        <w:spacing w:before="240" w:after="0" w:line="360" w:lineRule="auto"/>
        <w:ind w:left="284"/>
        <w:jc w:val="both"/>
        <w:rPr>
          <w:rFonts w:asciiTheme="majorBidi" w:hAnsiTheme="majorBidi" w:cstheme="majorBidi"/>
          <w:b/>
          <w:bCs/>
          <w:sz w:val="28"/>
          <w:szCs w:val="28"/>
        </w:rPr>
      </w:pPr>
      <w:r w:rsidRPr="007434A3">
        <w:rPr>
          <w:rFonts w:asciiTheme="majorBidi" w:hAnsiTheme="majorBidi" w:cstheme="majorBidi"/>
          <w:b/>
          <w:bCs/>
          <w:sz w:val="28"/>
          <w:szCs w:val="28"/>
        </w:rPr>
        <w:t>1.3 .La transplantation </w:t>
      </w:r>
    </w:p>
    <w:p w:rsidR="002F45E5" w:rsidRDefault="002F45E5" w:rsidP="002F45E5">
      <w:pPr>
        <w:autoSpaceDE w:val="0"/>
        <w:autoSpaceDN w:val="0"/>
        <w:adjustRightInd w:val="0"/>
        <w:spacing w:after="0" w:line="360" w:lineRule="auto"/>
        <w:jc w:val="both"/>
        <w:rPr>
          <w:rFonts w:ascii="Times New Roman" w:hAnsi="Times New Roman" w:cs="Times New Roman"/>
          <w:sz w:val="24"/>
          <w:szCs w:val="24"/>
        </w:rPr>
      </w:pPr>
    </w:p>
    <w:p w:rsidR="002F45E5" w:rsidRDefault="002F45E5" w:rsidP="002F45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A5266">
        <w:rPr>
          <w:rFonts w:ascii="Times New Roman" w:hAnsi="Times New Roman" w:cs="Times New Roman"/>
          <w:sz w:val="24"/>
          <w:szCs w:val="24"/>
        </w:rPr>
        <w:t>Une transplantation de cellules souches est une entreprise interdisciplinaire complexe qui commence</w:t>
      </w:r>
      <w:r>
        <w:rPr>
          <w:rFonts w:ascii="Times New Roman" w:hAnsi="Times New Roman" w:cs="Times New Roman" w:hint="cs"/>
          <w:sz w:val="24"/>
          <w:szCs w:val="24"/>
          <w:rtl/>
        </w:rPr>
        <w:t xml:space="preserve"> </w:t>
      </w:r>
      <w:r w:rsidRPr="007A5266">
        <w:rPr>
          <w:rFonts w:ascii="Times New Roman" w:hAnsi="Times New Roman" w:cs="Times New Roman"/>
          <w:sz w:val="24"/>
          <w:szCs w:val="24"/>
        </w:rPr>
        <w:t>par le diagnostic correct et inclut un suivi chronique à vie du patient. L’option d’une transplantation</w:t>
      </w:r>
      <w:r>
        <w:rPr>
          <w:rFonts w:ascii="Times New Roman" w:hAnsi="Times New Roman" w:cs="Times New Roman" w:hint="cs"/>
          <w:sz w:val="24"/>
          <w:szCs w:val="24"/>
          <w:rtl/>
        </w:rPr>
        <w:t xml:space="preserve"> </w:t>
      </w:r>
      <w:r w:rsidRPr="007A5266">
        <w:rPr>
          <w:rFonts w:ascii="Times New Roman" w:hAnsi="Times New Roman" w:cs="Times New Roman"/>
          <w:sz w:val="24"/>
          <w:szCs w:val="24"/>
        </w:rPr>
        <w:t>de cellules souches devrait être envisagée et la recherche d’un donneur</w:t>
      </w:r>
      <w:r>
        <w:rPr>
          <w:rFonts w:ascii="Times New Roman" w:hAnsi="Times New Roman" w:cs="Times New Roman"/>
          <w:sz w:val="24"/>
          <w:szCs w:val="24"/>
        </w:rPr>
        <w:t xml:space="preserve"> doit </w:t>
      </w:r>
      <w:r w:rsidRPr="007A5266">
        <w:rPr>
          <w:rFonts w:ascii="Times New Roman" w:hAnsi="Times New Roman" w:cs="Times New Roman"/>
          <w:sz w:val="24"/>
          <w:szCs w:val="24"/>
        </w:rPr>
        <w:t>être entre</w:t>
      </w:r>
      <w:r>
        <w:rPr>
          <w:rFonts w:ascii="Times New Roman" w:hAnsi="Times New Roman" w:cs="Times New Roman" w:hint="cs"/>
          <w:sz w:val="24"/>
          <w:szCs w:val="24"/>
          <w:rtl/>
        </w:rPr>
        <w:t xml:space="preserve"> </w:t>
      </w:r>
      <w:r w:rsidRPr="007A5266">
        <w:rPr>
          <w:rFonts w:ascii="Times New Roman" w:hAnsi="Times New Roman" w:cs="Times New Roman"/>
          <w:sz w:val="24"/>
          <w:szCs w:val="24"/>
        </w:rPr>
        <w:t>prise</w:t>
      </w:r>
      <w:r>
        <w:rPr>
          <w:rFonts w:ascii="Times New Roman" w:hAnsi="Times New Roman" w:cs="Times New Roman" w:hint="cs"/>
          <w:sz w:val="24"/>
          <w:szCs w:val="24"/>
          <w:rtl/>
        </w:rPr>
        <w:t xml:space="preserve"> </w:t>
      </w:r>
      <w:r w:rsidRPr="007A5266">
        <w:rPr>
          <w:rFonts w:ascii="Times New Roman" w:hAnsi="Times New Roman" w:cs="Times New Roman"/>
          <w:sz w:val="24"/>
          <w:szCs w:val="24"/>
        </w:rPr>
        <w:t xml:space="preserve">pour toutes les maladies énumérées </w:t>
      </w:r>
      <w:r>
        <w:rPr>
          <w:rFonts w:ascii="Times New Roman" w:hAnsi="Times New Roman" w:cs="Times New Roman"/>
          <w:sz w:val="24"/>
          <w:szCs w:val="24"/>
        </w:rPr>
        <w:t>(1</w:t>
      </w:r>
      <w:r w:rsidRPr="007A5266">
        <w:rPr>
          <w:rFonts w:ascii="Times New Roman" w:hAnsi="Times New Roman" w:cs="Times New Roman"/>
          <w:sz w:val="24"/>
          <w:szCs w:val="24"/>
        </w:rPr>
        <w:t>).</w:t>
      </w:r>
    </w:p>
    <w:p w:rsidR="002F45E5" w:rsidRPr="007A5266" w:rsidRDefault="002F45E5" w:rsidP="002F45E5">
      <w:pPr>
        <w:autoSpaceDE w:val="0"/>
        <w:autoSpaceDN w:val="0"/>
        <w:adjustRightInd w:val="0"/>
        <w:spacing w:after="0" w:line="360" w:lineRule="auto"/>
        <w:jc w:val="both"/>
        <w:rPr>
          <w:rFonts w:ascii="Times New Roman" w:hAnsi="Times New Roman" w:cs="Times New Roman"/>
          <w:sz w:val="24"/>
          <w:szCs w:val="24"/>
        </w:rPr>
      </w:pPr>
    </w:p>
    <w:p w:rsidR="002F45E5" w:rsidRPr="007434A3" w:rsidRDefault="002F45E5" w:rsidP="002F45E5">
      <w:pPr>
        <w:pStyle w:val="a3"/>
        <w:numPr>
          <w:ilvl w:val="0"/>
          <w:numId w:val="6"/>
        </w:numPr>
        <w:spacing w:line="360" w:lineRule="auto"/>
        <w:jc w:val="both"/>
        <w:rPr>
          <w:rFonts w:asciiTheme="majorBidi" w:hAnsiTheme="majorBidi" w:cstheme="majorBidi"/>
          <w:b/>
          <w:bCs/>
          <w:sz w:val="24"/>
          <w:szCs w:val="24"/>
        </w:rPr>
      </w:pPr>
      <w:r w:rsidRPr="007434A3">
        <w:rPr>
          <w:rFonts w:asciiTheme="majorBidi" w:hAnsiTheme="majorBidi" w:cstheme="majorBidi"/>
          <w:b/>
          <w:bCs/>
          <w:sz w:val="24"/>
          <w:szCs w:val="24"/>
        </w:rPr>
        <w:t>Transplantation des cellules souches </w:t>
      </w:r>
    </w:p>
    <w:p w:rsidR="002F45E5" w:rsidRPr="00E7419D" w:rsidRDefault="002F45E5" w:rsidP="002F45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A7290">
        <w:rPr>
          <w:rFonts w:ascii="Times New Roman" w:hAnsi="Times New Roman" w:cs="Times New Roman"/>
          <w:sz w:val="24"/>
          <w:szCs w:val="24"/>
        </w:rPr>
        <w:t>On parle souvent des cellules souches comme du traitement du XXIe siècle. A l’exemple de «Dolly», des succès spectaculaires qui, jusqu’à leur réalisation, étaient considérés comme impossibles même par les experts, ont éveillé l’intérêt du profane pour la recherche sur les cellules souches et nourri des espoirs d’applications thérapeutiques.</w:t>
      </w:r>
    </w:p>
    <w:p w:rsidR="002F45E5" w:rsidRDefault="002F45E5" w:rsidP="002F45E5">
      <w:pPr>
        <w:tabs>
          <w:tab w:val="left" w:pos="3857"/>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6A7290">
        <w:rPr>
          <w:rFonts w:ascii="Times New Roman" w:hAnsi="Times New Roman" w:cs="Times New Roman"/>
          <w:sz w:val="24"/>
          <w:szCs w:val="24"/>
        </w:rPr>
        <w:t>Cet espoir a été renforcé par des rapports sur la génération in vitro de lignées de cellules souches embryonnaires humaines et il a été associé à l’idée de pouvoir guérir bientôt des maladies chroniques graves demeurées jusqu’ici incurables comme le diabète, la maladie d’Alzheimer, de Parkinson et bien d’autres encore. Comme lors de chaque percée scientifique, celle-ci a suscité des craintes et des soucis: questions éthiques sur les limites et les possibilités des techniques médicales, questions philosophiques et juridiques sur le début de la vie et questions sociologiques sur les conséquences des techniques médicales modernes dans une société vieillissante.</w:t>
      </w:r>
    </w:p>
    <w:p w:rsidR="002F45E5" w:rsidRPr="009B32F3" w:rsidRDefault="002F45E5" w:rsidP="002F45E5">
      <w:pPr>
        <w:tabs>
          <w:tab w:val="left" w:pos="3857"/>
        </w:tabs>
        <w:autoSpaceDE w:val="0"/>
        <w:autoSpaceDN w:val="0"/>
        <w:adjustRightInd w:val="0"/>
        <w:spacing w:after="0" w:line="360" w:lineRule="auto"/>
        <w:jc w:val="both"/>
        <w:rPr>
          <w:rFonts w:ascii="Times New Roman" w:hAnsi="Times New Roman" w:cs="Times New Roman"/>
          <w:sz w:val="24"/>
          <w:szCs w:val="24"/>
        </w:rPr>
      </w:pPr>
      <w:r w:rsidRPr="006A7290">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A7290">
        <w:rPr>
          <w:rFonts w:ascii="Times New Roman" w:hAnsi="Times New Roman" w:cs="Times New Roman"/>
          <w:sz w:val="24"/>
          <w:szCs w:val="24"/>
        </w:rPr>
        <w:t xml:space="preserve">Malgré ces doutes et ces préoccupations, la Suisse a résolument dit «oui» à la recherche sur les cellules souches. La perspective de voir se développer des possibilités thérapeutiques est considérée comme importante. Des projets de recherche sont en cours ou en préparation à de nombreux niveaux. Mais il faudra attendre plusieurs années, voire des décennies, pour pouvoir se prononcer sur leurs résultats et leurs répercussions. Il nous paraît dès lors judicieux d’examiner de plus près une forme aujourd’hui établie de traitement par des cellules souches: la transplantation de </w:t>
      </w:r>
      <w:r w:rsidRPr="006A7290">
        <w:rPr>
          <w:rFonts w:ascii="Times New Roman" w:hAnsi="Times New Roman" w:cs="Times New Roman"/>
          <w:sz w:val="24"/>
          <w:szCs w:val="24"/>
        </w:rPr>
        <w:lastRenderedPageBreak/>
        <w:t xml:space="preserve">cellules souches hématopoïétiques (greffe de cellules </w:t>
      </w:r>
      <w:r>
        <w:rPr>
          <w:rFonts w:ascii="Times New Roman" w:hAnsi="Times New Roman" w:cs="Times New Roman"/>
          <w:sz w:val="24"/>
          <w:szCs w:val="24"/>
        </w:rPr>
        <w:t>souches sanguines) ;</w:t>
      </w:r>
      <w:r w:rsidRPr="006A7290">
        <w:rPr>
          <w:rFonts w:ascii="Times New Roman" w:hAnsi="Times New Roman" w:cs="Times New Roman"/>
          <w:sz w:val="24"/>
          <w:szCs w:val="24"/>
        </w:rPr>
        <w:t xml:space="preserve"> un modèle de ce type de traitement pour l’avenir </w:t>
      </w:r>
      <w:r>
        <w:rPr>
          <w:rFonts w:ascii="Times New Roman" w:hAnsi="Times New Roman" w:cs="Times New Roman"/>
          <w:sz w:val="24"/>
          <w:szCs w:val="24"/>
        </w:rPr>
        <w:t>(1</w:t>
      </w:r>
      <w:r w:rsidRPr="007A5266">
        <w:rPr>
          <w:rFonts w:ascii="Times New Roman" w:hAnsi="Times New Roman" w:cs="Times New Roman"/>
          <w:sz w:val="24"/>
          <w:szCs w:val="24"/>
        </w:rPr>
        <w:t>).</w:t>
      </w:r>
    </w:p>
    <w:p w:rsidR="002F45E5" w:rsidRPr="00B80429" w:rsidRDefault="002F45E5" w:rsidP="002F45E5">
      <w:pPr>
        <w:spacing w:line="360" w:lineRule="auto"/>
        <w:ind w:left="60"/>
        <w:jc w:val="both"/>
        <w:rPr>
          <w:rFonts w:asciiTheme="majorBidi" w:hAnsiTheme="majorBidi" w:cstheme="majorBidi"/>
          <w:b/>
          <w:bCs/>
          <w:sz w:val="24"/>
          <w:szCs w:val="24"/>
        </w:rPr>
      </w:pPr>
      <w:r>
        <w:rPr>
          <w:rFonts w:asciiTheme="majorBidi" w:hAnsiTheme="majorBidi" w:cstheme="majorBidi"/>
          <w:b/>
          <w:bCs/>
          <w:sz w:val="24"/>
          <w:szCs w:val="24"/>
        </w:rPr>
        <w:t>b .</w:t>
      </w:r>
      <w:r w:rsidRPr="00535D14">
        <w:rPr>
          <w:rFonts w:asciiTheme="majorBidi" w:hAnsiTheme="majorBidi" w:cstheme="majorBidi"/>
          <w:b/>
          <w:bCs/>
          <w:sz w:val="24"/>
          <w:szCs w:val="24"/>
        </w:rPr>
        <w:t>Greffe des cellules souches hématopoïétiques</w:t>
      </w:r>
    </w:p>
    <w:p w:rsidR="002F45E5" w:rsidRPr="009B32F3" w:rsidRDefault="002F45E5" w:rsidP="002F45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32F3">
        <w:rPr>
          <w:rFonts w:ascii="Times New Roman" w:hAnsi="Times New Roman" w:cs="Times New Roman"/>
          <w:sz w:val="24"/>
          <w:szCs w:val="24"/>
        </w:rPr>
        <w:t xml:space="preserve">Les cellules souches hématopoïétiques peuvent être utilisées dans deux situations différentes. En situation autologue </w:t>
      </w:r>
      <w:r>
        <w:rPr>
          <w:rFonts w:ascii="Times New Roman" w:hAnsi="Times New Roman" w:cs="Times New Roman"/>
          <w:sz w:val="24"/>
          <w:szCs w:val="24"/>
        </w:rPr>
        <w:t>pour traiter</w:t>
      </w:r>
      <w:r w:rsidRPr="009B32F3">
        <w:rPr>
          <w:rFonts w:ascii="Times New Roman" w:hAnsi="Times New Roman" w:cs="Times New Roman"/>
          <w:sz w:val="24"/>
          <w:szCs w:val="24"/>
        </w:rPr>
        <w:t xml:space="preserve"> certaines hémopathies malignes telles que les lymphomes, les myélomes et quelques leucémies…ou certaines tumeurs solides telles que le cancer du sein ou les neuroblastomes. Les greffes de cellules souches hématopoïétiques servent pour compenser les effets délétères sur la moelle osseuse des chimiothérapies massives visant à éradiquer la tumeur.</w:t>
      </w:r>
    </w:p>
    <w:p w:rsidR="002F45E5" w:rsidRDefault="002F45E5" w:rsidP="002F45E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9B32F3">
        <w:rPr>
          <w:rFonts w:ascii="Times New Roman" w:hAnsi="Times New Roman" w:cs="Times New Roman"/>
          <w:sz w:val="24"/>
          <w:szCs w:val="24"/>
        </w:rPr>
        <w:t>En situation allogénique, sont traitées à la fois certaines hémopathies malignes mais aussi certains déficits constitutionnels ou acquis, du tissu hématopoïétique tels que les aplasies médullaires, les déficits immunitaires ou les hémoglobinopathies</w:t>
      </w:r>
      <w:r>
        <w:rPr>
          <w:rFonts w:ascii="Times New Roman" w:hAnsi="Times New Roman" w:cs="Times New Roman"/>
          <w:sz w:val="24"/>
          <w:szCs w:val="24"/>
        </w:rPr>
        <w:t xml:space="preserve"> (8</w:t>
      </w:r>
      <w:r w:rsidRPr="009B32F3">
        <w:rPr>
          <w:rFonts w:ascii="Times New Roman" w:hAnsi="Times New Roman" w:cs="Times New Roman"/>
          <w:sz w:val="24"/>
          <w:szCs w:val="24"/>
        </w:rPr>
        <w:t>)</w:t>
      </w:r>
      <w:r>
        <w:rPr>
          <w:rFonts w:ascii="Times New Roman" w:hAnsi="Times New Roman" w:cs="Times New Roman"/>
          <w:sz w:val="24"/>
          <w:szCs w:val="24"/>
        </w:rPr>
        <w:t>.</w:t>
      </w:r>
    </w:p>
    <w:p w:rsidR="002F45E5" w:rsidRPr="00535D14" w:rsidRDefault="002F45E5" w:rsidP="002F45E5">
      <w:pPr>
        <w:autoSpaceDE w:val="0"/>
        <w:autoSpaceDN w:val="0"/>
        <w:adjustRightInd w:val="0"/>
        <w:spacing w:after="0" w:line="360" w:lineRule="auto"/>
        <w:jc w:val="both"/>
        <w:rPr>
          <w:rFonts w:ascii="Times New Roman" w:hAnsi="Times New Roman" w:cs="Times New Roman"/>
          <w:sz w:val="24"/>
          <w:szCs w:val="24"/>
          <w:u w:val="single"/>
        </w:rPr>
      </w:pPr>
    </w:p>
    <w:p w:rsidR="002F45E5" w:rsidRPr="00B80429" w:rsidRDefault="002F45E5" w:rsidP="002F45E5">
      <w:pPr>
        <w:spacing w:after="0" w:line="360" w:lineRule="auto"/>
        <w:jc w:val="both"/>
        <w:rPr>
          <w:rFonts w:asciiTheme="majorBidi" w:hAnsiTheme="majorBidi" w:cstheme="majorBidi"/>
          <w:b/>
          <w:bCs/>
          <w:sz w:val="24"/>
          <w:szCs w:val="24"/>
        </w:rPr>
      </w:pPr>
      <w:r w:rsidRPr="00535D14">
        <w:rPr>
          <w:rFonts w:asciiTheme="majorBidi" w:hAnsiTheme="majorBidi" w:cstheme="majorBidi"/>
          <w:b/>
          <w:bCs/>
          <w:sz w:val="24"/>
          <w:szCs w:val="24"/>
        </w:rPr>
        <w:t>c.</w:t>
      </w:r>
      <w:r w:rsidRPr="00535D14">
        <w:rPr>
          <w:rFonts w:asciiTheme="majorBidi" w:hAnsiTheme="majorBidi" w:cstheme="majorBidi" w:hint="cs"/>
          <w:b/>
          <w:bCs/>
          <w:sz w:val="24"/>
          <w:szCs w:val="24"/>
          <w:rtl/>
        </w:rPr>
        <w:t xml:space="preserve"> </w:t>
      </w:r>
      <w:r w:rsidRPr="00535D14">
        <w:rPr>
          <w:rFonts w:asciiTheme="majorBidi" w:hAnsiTheme="majorBidi" w:cstheme="majorBidi"/>
          <w:b/>
          <w:bCs/>
          <w:sz w:val="24"/>
          <w:szCs w:val="24"/>
        </w:rPr>
        <w:t>Historique de transplantation des cellules souches hématopoïétiques</w:t>
      </w:r>
      <w:r>
        <w:rPr>
          <w:rFonts w:asciiTheme="majorBidi" w:hAnsiTheme="majorBidi" w:cstheme="majorBidi"/>
          <w:b/>
          <w:bCs/>
          <w:sz w:val="24"/>
          <w:szCs w:val="24"/>
          <w:u w:val="single"/>
        </w:rPr>
        <w:t xml:space="preserve"> </w:t>
      </w:r>
    </w:p>
    <w:p w:rsidR="002F45E5" w:rsidRPr="00EB5D66" w:rsidRDefault="002F45E5" w:rsidP="002F45E5">
      <w:pPr>
        <w:pStyle w:val="a3"/>
        <w:spacing w:after="0" w:line="360" w:lineRule="auto"/>
        <w:ind w:left="420"/>
        <w:jc w:val="both"/>
        <w:rPr>
          <w:rFonts w:asciiTheme="majorBidi" w:hAnsiTheme="majorBidi" w:cstheme="majorBidi"/>
          <w:b/>
          <w:bCs/>
          <w:sz w:val="24"/>
          <w:szCs w:val="24"/>
          <w:u w:val="single"/>
        </w:rPr>
      </w:pPr>
    </w:p>
    <w:p w:rsidR="002F45E5" w:rsidRPr="00535D14" w:rsidRDefault="002F45E5" w:rsidP="002F45E5">
      <w:pPr>
        <w:spacing w:line="360" w:lineRule="auto"/>
        <w:jc w:val="both"/>
        <w:rPr>
          <w:rFonts w:ascii="Times New Roman" w:eastAsia="Times New Roman" w:hAnsi="Times New Roman" w:cs="Times New Roman"/>
          <w:sz w:val="24"/>
          <w:szCs w:val="24"/>
        </w:rPr>
      </w:pPr>
      <w:r>
        <w:rPr>
          <w:rFonts w:asciiTheme="majorBidi" w:eastAsia="Times New Roman" w:hAnsiTheme="majorBidi" w:cstheme="majorBidi"/>
          <w:sz w:val="24"/>
          <w:szCs w:val="24"/>
        </w:rPr>
        <w:t xml:space="preserve">       </w:t>
      </w:r>
      <w:r w:rsidRPr="00EB5D66">
        <w:rPr>
          <w:rFonts w:asciiTheme="majorBidi" w:eastAsia="Times New Roman" w:hAnsiTheme="majorBidi" w:cstheme="majorBidi"/>
          <w:sz w:val="24"/>
          <w:szCs w:val="24"/>
        </w:rPr>
        <w:t>La TCSH est un traitement aujourd’hui bien établi</w:t>
      </w:r>
      <w:r w:rsidRPr="00EB5D66">
        <w:rPr>
          <w:rFonts w:ascii="Times New Roman" w:eastAsia="Times New Roman" w:hAnsi="Times New Roman" w:cs="Times New Roman"/>
          <w:sz w:val="24"/>
          <w:szCs w:val="24"/>
        </w:rPr>
        <w:t>. Plus de 300 interventions ont été réalisées en Suisse en 2006, environ 25000 en Europe, ce nombre étant estimé à 80000 dans le monde. La transplantation de cellules souches a une longue histoire. Elle a été fortement influencée par la recherche de possibilités de traitement des effets d’une forte exposition aux</w:t>
      </w:r>
      <w:r>
        <w:t xml:space="preserve"> </w:t>
      </w:r>
      <w:r w:rsidRPr="00EB5D66">
        <w:rPr>
          <w:rFonts w:ascii="Times New Roman" w:eastAsia="Times New Roman" w:hAnsi="Times New Roman" w:cs="Times New Roman"/>
          <w:sz w:val="24"/>
          <w:szCs w:val="24"/>
        </w:rPr>
        <w:t>rayonnements tels qu’ils sont apparus à la suite de l’explosion de la bombe atomique à Hiroshima et à Nagasaki. Les premiers essais de greffe de moelle osseuse ont eu lieu dans les années 50 du siècle dernier. Les résultats cliniques ont confirmé qu’une fonction de moelle osseuse déficiente pouvait être rétablie par des cellules de moelle osseuse saines.</w:t>
      </w:r>
    </w:p>
    <w:p w:rsidR="002F45E5" w:rsidRDefault="002F45E5" w:rsidP="002F45E5">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B5D66">
        <w:rPr>
          <w:rFonts w:ascii="Times New Roman" w:eastAsia="Times New Roman" w:hAnsi="Times New Roman" w:cs="Times New Roman"/>
          <w:sz w:val="24"/>
          <w:szCs w:val="24"/>
        </w:rPr>
        <w:t>Toutefois, les transplantations n’ont pas abouti à un résultat durable. En 1968 a eu lieu la première transplantation réussie de moelle osseuse prélevée chez un membre de la fratrie du patient de groupe HLA identique. Cette opération a démontré l’importance des antigènes d’histocompatibilité, marquant du même coup l’avènement d’une ère nouvelle dans la transplantation de cellules souches. Cette intervention a d’abord été réservée comme une option de dernier recours pour les patients ayant épuisé leurs possibilités de traitement, de sorte que les résultats restaient modestes. La disponibilité de nouveaux immunosuppresseurs</w:t>
      </w:r>
      <w:r>
        <w:rPr>
          <w:rFonts w:ascii="Times New Roman" w:eastAsia="Times New Roman" w:hAnsi="Times New Roman" w:cs="Times New Roman"/>
          <w:sz w:val="24"/>
          <w:szCs w:val="24"/>
        </w:rPr>
        <w:t xml:space="preserve"> p</w:t>
      </w:r>
      <w:r w:rsidRPr="00EB5D66">
        <w:rPr>
          <w:rFonts w:ascii="Times New Roman" w:eastAsia="Times New Roman" w:hAnsi="Times New Roman" w:cs="Times New Roman"/>
          <w:sz w:val="24"/>
          <w:szCs w:val="24"/>
        </w:rPr>
        <w:t xml:space="preserve">uissants </w:t>
      </w:r>
      <w:r w:rsidRPr="00EB5D66">
        <w:rPr>
          <w:rFonts w:ascii="Times New Roman" w:eastAsia="Times New Roman" w:hAnsi="Times New Roman" w:cs="Times New Roman"/>
          <w:sz w:val="24"/>
          <w:szCs w:val="24"/>
        </w:rPr>
        <w:lastRenderedPageBreak/>
        <w:t xml:space="preserve">(notamment l’introduction de la cyclosporine), ainsi que l’amélioration des soins de support et la pratique en routine du typage tissulaire ont sensiblement modifié la procédure au début des années 80. </w:t>
      </w:r>
    </w:p>
    <w:p w:rsidR="002F45E5" w:rsidRDefault="002F45E5" w:rsidP="002F45E5">
      <w:pPr>
        <w:autoSpaceDE w:val="0"/>
        <w:autoSpaceDN w:val="0"/>
        <w:adjustRightInd w:val="0"/>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       </w:t>
      </w:r>
      <w:r w:rsidRPr="00EB5D66">
        <w:rPr>
          <w:rFonts w:ascii="Times New Roman" w:eastAsia="Times New Roman" w:hAnsi="Times New Roman" w:cs="Times New Roman"/>
          <w:sz w:val="24"/>
          <w:szCs w:val="24"/>
        </w:rPr>
        <w:t>La transplantation de</w:t>
      </w:r>
      <w:r>
        <w:rPr>
          <w:rFonts w:ascii="Times New Roman" w:eastAsia="Times New Roman" w:hAnsi="Times New Roman" w:cs="Times New Roman"/>
          <w:sz w:val="24"/>
          <w:szCs w:val="24"/>
        </w:rPr>
        <w:t>s</w:t>
      </w:r>
      <w:r w:rsidRPr="00EB5D66">
        <w:rPr>
          <w:rFonts w:ascii="Times New Roman" w:eastAsia="Times New Roman" w:hAnsi="Times New Roman" w:cs="Times New Roman"/>
          <w:sz w:val="24"/>
          <w:szCs w:val="24"/>
        </w:rPr>
        <w:t xml:space="preserve"> cellules souches est devenue le traitement de première intention pour les patients leucémiques. L’indication était alors basée en premier lieu sur la présence d’un donneur de groupe HLA identique et avait pour seule limitation l’âge du patient. Ce concept a encore connu d’importantes modifications au cours des cinq à dix dernières années. Pour diverses raisons, les processus de décision sont devenus plus complexes. Les registres de donneurs  tiennent aujourd’hui à disposition plus de dix millions de donneurs non apparentés et plus de 500 000 préparations typées de cordon</w:t>
      </w:r>
      <w:r>
        <w:rPr>
          <w:rFonts w:ascii="Times New Roman" w:eastAsia="Times New Roman" w:hAnsi="Times New Roman" w:cs="Times New Roman"/>
          <w:sz w:val="24"/>
          <w:szCs w:val="24"/>
        </w:rPr>
        <w:t xml:space="preserve"> ombilical dans le monde entier</w:t>
      </w:r>
      <w:r>
        <w:rPr>
          <w:rFonts w:ascii="Times New Roman" w:hAnsi="Times New Roman" w:cs="Times New Roman"/>
          <w:sz w:val="24"/>
          <w:szCs w:val="24"/>
        </w:rPr>
        <w:t xml:space="preserve"> (1</w:t>
      </w:r>
      <w:r w:rsidRPr="00EB5D66">
        <w:rPr>
          <w:rFonts w:ascii="Times New Roman" w:hAnsi="Times New Roman" w:cs="Times New Roman"/>
          <w:sz w:val="24"/>
          <w:szCs w:val="24"/>
        </w:rPr>
        <w:t>).</w:t>
      </w:r>
    </w:p>
    <w:p w:rsidR="002F45E5" w:rsidRPr="000478A1" w:rsidRDefault="002F45E5" w:rsidP="002F45E5">
      <w:pPr>
        <w:autoSpaceDE w:val="0"/>
        <w:autoSpaceDN w:val="0"/>
        <w:adjustRightInd w:val="0"/>
        <w:spacing w:after="0" w:line="360" w:lineRule="auto"/>
        <w:jc w:val="both"/>
        <w:rPr>
          <w:rFonts w:ascii="Times New Roman" w:eastAsia="Times New Roman" w:hAnsi="Times New Roman" w:cs="Times New Roman"/>
          <w:sz w:val="24"/>
          <w:szCs w:val="24"/>
        </w:rPr>
      </w:pPr>
    </w:p>
    <w:p w:rsidR="002F45E5" w:rsidRPr="00296C2E" w:rsidRDefault="002F45E5" w:rsidP="002F45E5">
      <w:pPr>
        <w:autoSpaceDE w:val="0"/>
        <w:autoSpaceDN w:val="0"/>
        <w:adjustRightInd w:val="0"/>
        <w:spacing w:after="0" w:line="360" w:lineRule="auto"/>
        <w:ind w:left="142"/>
        <w:jc w:val="both"/>
        <w:rPr>
          <w:rFonts w:asciiTheme="majorBidi" w:hAnsiTheme="majorBidi" w:cstheme="majorBidi"/>
          <w:b/>
          <w:bCs/>
          <w:sz w:val="24"/>
          <w:szCs w:val="24"/>
        </w:rPr>
      </w:pPr>
      <w:r w:rsidRPr="00296C2E">
        <w:rPr>
          <w:rFonts w:asciiTheme="majorBidi" w:hAnsiTheme="majorBidi" w:cstheme="majorBidi"/>
          <w:b/>
          <w:bCs/>
          <w:sz w:val="24"/>
          <w:szCs w:val="24"/>
        </w:rPr>
        <w:t>d.</w:t>
      </w:r>
      <w:r>
        <w:rPr>
          <w:rFonts w:asciiTheme="majorBidi" w:hAnsiTheme="majorBidi" w:cstheme="majorBidi"/>
          <w:b/>
          <w:bCs/>
          <w:sz w:val="24"/>
          <w:szCs w:val="24"/>
        </w:rPr>
        <w:t xml:space="preserve"> Différents types de greffes</w:t>
      </w:r>
    </w:p>
    <w:p w:rsidR="002F45E5" w:rsidRPr="00F549D4" w:rsidRDefault="002F45E5" w:rsidP="002F45E5">
      <w:pPr>
        <w:pStyle w:val="a3"/>
        <w:numPr>
          <w:ilvl w:val="0"/>
          <w:numId w:val="5"/>
        </w:num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rPr>
        <w:t>Les</w:t>
      </w:r>
      <w:r w:rsidRPr="00CB2FE4">
        <w:rPr>
          <w:rFonts w:asciiTheme="majorBidi" w:hAnsiTheme="majorBidi" w:cstheme="majorBidi"/>
          <w:b/>
          <w:bCs/>
        </w:rPr>
        <w:t xml:space="preserve"> </w:t>
      </w:r>
      <w:r>
        <w:rPr>
          <w:rFonts w:asciiTheme="majorBidi" w:hAnsiTheme="majorBidi" w:cstheme="majorBidi"/>
          <w:b/>
          <w:bCs/>
        </w:rPr>
        <w:t>allogreffes</w:t>
      </w:r>
    </w:p>
    <w:p w:rsidR="002F45E5" w:rsidRDefault="002F45E5" w:rsidP="002F45E5">
      <w:pPr>
        <w:autoSpaceDE w:val="0"/>
        <w:autoSpaceDN w:val="0"/>
        <w:adjustRightInd w:val="0"/>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BF3BC3">
        <w:rPr>
          <w:rFonts w:ascii="Times New Roman" w:eastAsia="Times New Roman" w:hAnsi="Times New Roman" w:cs="Times New Roman"/>
          <w:sz w:val="24"/>
          <w:szCs w:val="24"/>
        </w:rPr>
        <w:t xml:space="preserve">L’allogreffe suppose un donneur de CSH, différent du receveur, mais sélectionné en fonction de certains critères d’histocompatibilité avec le receveur. </w:t>
      </w:r>
    </w:p>
    <w:p w:rsidR="002F45E5" w:rsidRPr="00BF3BC3" w:rsidRDefault="002F45E5" w:rsidP="002F45E5">
      <w:pPr>
        <w:autoSpaceDE w:val="0"/>
        <w:autoSpaceDN w:val="0"/>
        <w:adjustRightInd w:val="0"/>
        <w:spacing w:after="0" w:line="360" w:lineRule="auto"/>
        <w:jc w:val="both"/>
        <w:rPr>
          <w:rFonts w:ascii="Times New Roman" w:eastAsia="Times New Roman" w:hAnsi="Times New Roman" w:cs="Times New Roman"/>
          <w:sz w:val="24"/>
          <w:szCs w:val="24"/>
        </w:rPr>
      </w:pPr>
      <w:r w:rsidRPr="00BF3BC3">
        <w:rPr>
          <w:rFonts w:ascii="Times New Roman" w:eastAsia="Times New Roman" w:hAnsi="Times New Roman" w:cs="Times New Roman"/>
          <w:sz w:val="24"/>
          <w:szCs w:val="24"/>
        </w:rPr>
        <w:t xml:space="preserve">Actuellement les typages HLA sont faits au niveau allélique dit à « 4 digits » grâce à l’apport de la biologie moléculaire. Ainsi, à titre d’exemple, l’antigène A1 peut se définir : A 0101 ou A 0102…Cette définition des phénotypes exprime parfaitement le polymorphisme du système majeur d’histocompatibilité. </w:t>
      </w:r>
    </w:p>
    <w:p w:rsidR="002F45E5" w:rsidRPr="000478A1" w:rsidRDefault="002F45E5" w:rsidP="002F45E5">
      <w:pPr>
        <w:autoSpaceDE w:val="0"/>
        <w:autoSpaceDN w:val="0"/>
        <w:adjustRightInd w:val="0"/>
        <w:spacing w:after="0" w:line="360" w:lineRule="auto"/>
        <w:jc w:val="both"/>
        <w:rPr>
          <w:rFonts w:ascii="Times New Roman" w:eastAsia="Times New Roman" w:hAnsi="Times New Roman" w:cs="Times New Roman"/>
          <w:sz w:val="24"/>
          <w:szCs w:val="24"/>
        </w:rPr>
      </w:pPr>
      <w:r w:rsidRPr="00BF3BC3">
        <w:rPr>
          <w:rFonts w:ascii="Times New Roman" w:eastAsia="Times New Roman" w:hAnsi="Times New Roman" w:cs="Times New Roman"/>
          <w:sz w:val="24"/>
          <w:szCs w:val="24"/>
        </w:rPr>
        <w:t xml:space="preserve">* Dans environ 80% des cas aujourd’hui, le donneur compatible est un frère ou une sœur du receveur: Il s’agit alors d’une greffe dite « géno-identique ». Un cas particulier de greffe géno-identique est la greffe « syngénique » réalisée entre jumeaux monozygotes. </w:t>
      </w:r>
    </w:p>
    <w:p w:rsidR="002F45E5" w:rsidRPr="00BF3BC3" w:rsidRDefault="002F45E5" w:rsidP="002F45E5">
      <w:pPr>
        <w:autoSpaceDE w:val="0"/>
        <w:autoSpaceDN w:val="0"/>
        <w:adjustRightInd w:val="0"/>
        <w:spacing w:after="0" w:line="360" w:lineRule="auto"/>
        <w:jc w:val="both"/>
        <w:rPr>
          <w:rFonts w:ascii="Times New Roman" w:eastAsia="Times New Roman" w:hAnsi="Times New Roman" w:cs="Times New Roman"/>
          <w:sz w:val="24"/>
          <w:szCs w:val="24"/>
        </w:rPr>
      </w:pPr>
      <w:r w:rsidRPr="00BF3BC3">
        <w:rPr>
          <w:rFonts w:ascii="Times New Roman" w:eastAsia="Times New Roman" w:hAnsi="Times New Roman" w:cs="Times New Roman"/>
          <w:sz w:val="24"/>
          <w:szCs w:val="24"/>
        </w:rPr>
        <w:t xml:space="preserve">* Les autres greffes allogénique sont faites à partir de donneurs volontaires non apparentés, inscrits sur des fichiers nationaux et internationaux. Actuellement plus de 13 millions de donneurs volontaires sont ainsi répertoriés dans le monde. Ces greffes sont dites « phéno-identiques ». </w:t>
      </w:r>
    </w:p>
    <w:p w:rsidR="002F45E5" w:rsidRPr="00BF3BC3" w:rsidRDefault="002F45E5" w:rsidP="002F45E5">
      <w:pPr>
        <w:autoSpaceDE w:val="0"/>
        <w:autoSpaceDN w:val="0"/>
        <w:adjustRightInd w:val="0"/>
        <w:spacing w:after="0" w:line="360" w:lineRule="auto"/>
        <w:jc w:val="both"/>
        <w:rPr>
          <w:rFonts w:ascii="Times New Roman" w:eastAsia="Times New Roman" w:hAnsi="Times New Roman" w:cs="Times New Roman"/>
          <w:sz w:val="24"/>
          <w:szCs w:val="24"/>
        </w:rPr>
      </w:pPr>
      <w:r w:rsidRPr="00BF3BC3">
        <w:rPr>
          <w:rFonts w:ascii="Times New Roman" w:eastAsia="Times New Roman" w:hAnsi="Times New Roman" w:cs="Times New Roman"/>
          <w:sz w:val="24"/>
          <w:szCs w:val="24"/>
        </w:rPr>
        <w:t xml:space="preserve"> **Dans certains cas, une moindre compatibilité peut être acceptée; il s’agit alors de greffes « mismatch » où une différence existe</w:t>
      </w:r>
      <w:r>
        <w:rPr>
          <w:rFonts w:ascii="Times New Roman" w:eastAsia="Times New Roman" w:hAnsi="Times New Roman" w:cs="Times New Roman"/>
          <w:sz w:val="24"/>
          <w:szCs w:val="24"/>
        </w:rPr>
        <w:t xml:space="preserve"> </w:t>
      </w:r>
      <w:r w:rsidRPr="00BF3BC3">
        <w:rPr>
          <w:rFonts w:ascii="Times New Roman" w:eastAsia="Times New Roman" w:hAnsi="Times New Roman" w:cs="Times New Roman"/>
          <w:sz w:val="24"/>
          <w:szCs w:val="24"/>
        </w:rPr>
        <w:t xml:space="preserve">entre donneur et receveur portant sur un ou plusieurs antigènes HLA. </w:t>
      </w:r>
    </w:p>
    <w:p w:rsidR="002F45E5" w:rsidRDefault="002F45E5" w:rsidP="002F45E5">
      <w:pPr>
        <w:autoSpaceDE w:val="0"/>
        <w:autoSpaceDN w:val="0"/>
        <w:adjustRightInd w:val="0"/>
        <w:spacing w:after="0" w:line="360" w:lineRule="auto"/>
        <w:ind w:right="-142"/>
        <w:jc w:val="both"/>
        <w:rPr>
          <w:rFonts w:ascii="Times New Roman" w:eastAsia="Times New Roman" w:hAnsi="Times New Roman" w:cs="Times New Roman"/>
          <w:sz w:val="24"/>
          <w:szCs w:val="24"/>
        </w:rPr>
      </w:pPr>
      <w:r w:rsidRPr="00BF3BC3">
        <w:rPr>
          <w:rFonts w:ascii="Times New Roman" w:eastAsia="Times New Roman" w:hAnsi="Times New Roman" w:cs="Times New Roman"/>
          <w:sz w:val="24"/>
          <w:szCs w:val="24"/>
        </w:rPr>
        <w:t xml:space="preserve"> **La compatibilité érythrocytaire ABO</w:t>
      </w:r>
      <w:r>
        <w:rPr>
          <w:rFonts w:ascii="Times New Roman" w:eastAsia="Times New Roman" w:hAnsi="Times New Roman" w:cs="Times New Roman"/>
          <w:sz w:val="24"/>
          <w:szCs w:val="24"/>
        </w:rPr>
        <w:t xml:space="preserve"> et</w:t>
      </w:r>
      <w:r w:rsidRPr="00BF3BC3">
        <w:rPr>
          <w:rFonts w:ascii="Times New Roman" w:eastAsia="Times New Roman" w:hAnsi="Times New Roman" w:cs="Times New Roman"/>
          <w:sz w:val="24"/>
          <w:szCs w:val="24"/>
        </w:rPr>
        <w:t xml:space="preserve"> Rh n’est pas néces</w:t>
      </w:r>
      <w:r>
        <w:rPr>
          <w:rFonts w:ascii="Times New Roman" w:eastAsia="Times New Roman" w:hAnsi="Times New Roman" w:cs="Times New Roman"/>
          <w:sz w:val="24"/>
          <w:szCs w:val="24"/>
        </w:rPr>
        <w:t>saire entre donneur et receveur (4</w:t>
      </w:r>
      <w:r w:rsidRPr="00BF3BC3">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rsidR="002F45E5" w:rsidRPr="000478A1" w:rsidRDefault="002F45E5" w:rsidP="002F45E5">
      <w:pPr>
        <w:autoSpaceDE w:val="0"/>
        <w:autoSpaceDN w:val="0"/>
        <w:adjustRightInd w:val="0"/>
        <w:spacing w:after="0" w:line="360" w:lineRule="auto"/>
        <w:ind w:right="-142"/>
        <w:jc w:val="both"/>
        <w:rPr>
          <w:rFonts w:ascii="Times New Roman" w:eastAsia="Times New Roman" w:hAnsi="Times New Roman" w:cs="Times New Roman"/>
          <w:sz w:val="24"/>
          <w:szCs w:val="24"/>
        </w:rPr>
      </w:pPr>
      <w:r w:rsidRPr="00BF3BC3">
        <w:rPr>
          <w:rFonts w:ascii="Times New Roman" w:eastAsia="Times New Roman" w:hAnsi="Times New Roman" w:cs="Times New Roman"/>
          <w:sz w:val="24"/>
          <w:szCs w:val="24"/>
        </w:rPr>
        <w:lastRenderedPageBreak/>
        <w:tab/>
      </w:r>
    </w:p>
    <w:p w:rsidR="002F45E5" w:rsidRDefault="002F45E5" w:rsidP="002F45E5">
      <w:pPr>
        <w:pStyle w:val="a3"/>
        <w:numPr>
          <w:ilvl w:val="0"/>
          <w:numId w:val="5"/>
        </w:numPr>
        <w:autoSpaceDE w:val="0"/>
        <w:autoSpaceDN w:val="0"/>
        <w:adjustRightInd w:val="0"/>
        <w:spacing w:after="0" w:line="360" w:lineRule="auto"/>
        <w:jc w:val="both"/>
        <w:rPr>
          <w:rFonts w:ascii="Times New Roman" w:hAnsi="Times New Roman" w:cs="Times New Roman"/>
          <w:b/>
          <w:bCs/>
          <w:color w:val="000000"/>
          <w:sz w:val="23"/>
          <w:szCs w:val="23"/>
        </w:rPr>
      </w:pPr>
      <w:r w:rsidRPr="00CB2FE4">
        <w:rPr>
          <w:rFonts w:ascii="Times New Roman" w:hAnsi="Times New Roman" w:cs="Times New Roman"/>
          <w:b/>
          <w:bCs/>
          <w:color w:val="000000"/>
        </w:rPr>
        <w:t>L</w:t>
      </w:r>
      <w:r>
        <w:rPr>
          <w:rFonts w:ascii="Times New Roman" w:hAnsi="Times New Roman" w:cs="Times New Roman"/>
          <w:b/>
          <w:bCs/>
          <w:color w:val="000000"/>
        </w:rPr>
        <w:t xml:space="preserve">es </w:t>
      </w:r>
      <w:r w:rsidRPr="00CB2FE4">
        <w:rPr>
          <w:rFonts w:ascii="Times New Roman" w:hAnsi="Times New Roman" w:cs="Times New Roman"/>
          <w:b/>
          <w:bCs/>
          <w:color w:val="000000"/>
        </w:rPr>
        <w:t>greffes autologues</w:t>
      </w:r>
      <w:r>
        <w:rPr>
          <w:rFonts w:ascii="Times New Roman" w:hAnsi="Times New Roman" w:cs="Times New Roman"/>
          <w:b/>
          <w:bCs/>
          <w:color w:val="000000"/>
          <w:sz w:val="23"/>
          <w:szCs w:val="23"/>
        </w:rPr>
        <w:t> </w:t>
      </w:r>
    </w:p>
    <w:p w:rsidR="002F45E5" w:rsidRPr="007B28B7" w:rsidRDefault="002F45E5" w:rsidP="002F45E5">
      <w:pPr>
        <w:autoSpaceDE w:val="0"/>
        <w:autoSpaceDN w:val="0"/>
        <w:adjustRightInd w:val="0"/>
        <w:spacing w:after="0" w:line="360" w:lineRule="auto"/>
        <w:jc w:val="both"/>
        <w:rPr>
          <w:rFonts w:ascii="Times New Roman" w:hAnsi="Times New Roman" w:cs="Times New Roman"/>
          <w:b/>
          <w:bCs/>
          <w:color w:val="000000"/>
          <w:sz w:val="23"/>
          <w:szCs w:val="23"/>
        </w:rPr>
      </w:pPr>
    </w:p>
    <w:p w:rsidR="002F45E5" w:rsidRDefault="002F45E5" w:rsidP="002F45E5">
      <w:pPr>
        <w:autoSpaceDE w:val="0"/>
        <w:autoSpaceDN w:val="0"/>
        <w:adjustRightInd w:val="0"/>
        <w:spacing w:after="0" w:line="360" w:lineRule="auto"/>
        <w:ind w:right="-14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Le donneur et le </w:t>
      </w:r>
      <w:r w:rsidRPr="002612AF">
        <w:rPr>
          <w:rFonts w:ascii="Times New Roman" w:eastAsia="Times New Roman" w:hAnsi="Times New Roman" w:cs="Times New Roman"/>
          <w:sz w:val="24"/>
          <w:szCs w:val="24"/>
        </w:rPr>
        <w:t xml:space="preserve">receveur sont la même personne, porteuse le plus souvent d’une maladie maligne du tissu hématopoïétique ou d’une tumeur solide. Les CSH sont prélevées </w:t>
      </w:r>
      <w:r>
        <w:rPr>
          <w:rFonts w:ascii="Times New Roman" w:eastAsia="Times New Roman" w:hAnsi="Times New Roman" w:cs="Times New Roman"/>
          <w:sz w:val="24"/>
          <w:szCs w:val="24"/>
        </w:rPr>
        <w:t xml:space="preserve">tout au début </w:t>
      </w:r>
      <w:r w:rsidRPr="002612AF">
        <w:rPr>
          <w:rFonts w:ascii="Times New Roman" w:eastAsia="Times New Roman" w:hAnsi="Times New Roman" w:cs="Times New Roman"/>
          <w:sz w:val="24"/>
          <w:szCs w:val="24"/>
        </w:rPr>
        <w:t xml:space="preserve">de la maladie. </w:t>
      </w:r>
    </w:p>
    <w:p w:rsidR="002F45E5" w:rsidRDefault="002F45E5" w:rsidP="002F45E5">
      <w:pPr>
        <w:autoSpaceDE w:val="0"/>
        <w:autoSpaceDN w:val="0"/>
        <w:adjustRightInd w:val="0"/>
        <w:spacing w:after="0" w:line="360" w:lineRule="auto"/>
        <w:ind w:right="-14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Après traitement préalable ou </w:t>
      </w:r>
      <w:r w:rsidRPr="002612AF">
        <w:rPr>
          <w:rFonts w:ascii="Times New Roman" w:eastAsia="Times New Roman" w:hAnsi="Times New Roman" w:cs="Times New Roman"/>
          <w:sz w:val="24"/>
          <w:szCs w:val="24"/>
        </w:rPr>
        <w:t>non, elles subissent une congélation et sont cryoconservées pour une durée variable, jusqu’à utilisation à des fins de réinjection autologue</w:t>
      </w:r>
      <w:r>
        <w:rPr>
          <w:rFonts w:ascii="Times New Roman" w:eastAsia="Times New Roman" w:hAnsi="Times New Roman" w:cs="Times New Roman"/>
          <w:sz w:val="24"/>
          <w:szCs w:val="24"/>
        </w:rPr>
        <w:t xml:space="preserve"> (4</w:t>
      </w:r>
      <w:r w:rsidRPr="002612AF">
        <w:rPr>
          <w:rFonts w:ascii="Times New Roman" w:eastAsia="Times New Roman" w:hAnsi="Times New Roman" w:cs="Times New Roman"/>
          <w:sz w:val="24"/>
          <w:szCs w:val="24"/>
        </w:rPr>
        <w:t>)</w:t>
      </w:r>
      <w:r>
        <w:rPr>
          <w:rFonts w:ascii="Times New Roman" w:eastAsia="Times New Roman" w:hAnsi="Times New Roman" w:cs="Times New Roman"/>
          <w:sz w:val="24"/>
          <w:szCs w:val="24"/>
        </w:rPr>
        <w:t>.</w:t>
      </w:r>
    </w:p>
    <w:p w:rsidR="002F45E5" w:rsidRPr="002612AF" w:rsidRDefault="002F45E5" w:rsidP="002F45E5">
      <w:pPr>
        <w:autoSpaceDE w:val="0"/>
        <w:autoSpaceDN w:val="0"/>
        <w:adjustRightInd w:val="0"/>
        <w:spacing w:after="0" w:line="360" w:lineRule="auto"/>
        <w:ind w:right="-142"/>
        <w:jc w:val="both"/>
        <w:rPr>
          <w:rFonts w:ascii="Times New Roman" w:eastAsia="Times New Roman" w:hAnsi="Times New Roman" w:cs="Times New Roman"/>
          <w:sz w:val="24"/>
          <w:szCs w:val="24"/>
        </w:rPr>
      </w:pPr>
    </w:p>
    <w:p w:rsidR="002F45E5" w:rsidRDefault="002F45E5" w:rsidP="002F45E5">
      <w:pPr>
        <w:autoSpaceDE w:val="0"/>
        <w:autoSpaceDN w:val="0"/>
        <w:adjustRightInd w:val="0"/>
        <w:spacing w:after="0" w:line="360" w:lineRule="auto"/>
        <w:ind w:left="60"/>
        <w:jc w:val="both"/>
        <w:rPr>
          <w:rFonts w:asciiTheme="majorBidi" w:hAnsiTheme="majorBidi" w:cstheme="majorBidi"/>
          <w:b/>
          <w:bCs/>
          <w:sz w:val="28"/>
          <w:szCs w:val="28"/>
        </w:rPr>
      </w:pPr>
      <w:r w:rsidRPr="00FC159E">
        <w:rPr>
          <w:rFonts w:asciiTheme="majorBidi" w:hAnsiTheme="majorBidi" w:cstheme="majorBidi"/>
          <w:b/>
          <w:bCs/>
          <w:sz w:val="28"/>
          <w:szCs w:val="28"/>
        </w:rPr>
        <w:t>e.</w:t>
      </w:r>
      <w:r w:rsidRPr="00535D14">
        <w:rPr>
          <w:rFonts w:asciiTheme="majorBidi" w:hAnsiTheme="majorBidi" w:cstheme="majorBidi"/>
          <w:b/>
          <w:bCs/>
          <w:sz w:val="28"/>
          <w:szCs w:val="28"/>
        </w:rPr>
        <w:t xml:space="preserve"> Organe transplante</w:t>
      </w:r>
      <w:r w:rsidRPr="00FC159E">
        <w:rPr>
          <w:rFonts w:asciiTheme="majorBidi" w:hAnsiTheme="majorBidi" w:cstheme="majorBidi"/>
          <w:b/>
          <w:bCs/>
          <w:sz w:val="28"/>
          <w:szCs w:val="28"/>
        </w:rPr>
        <w:t xml:space="preserve"> </w:t>
      </w:r>
    </w:p>
    <w:p w:rsidR="002F45E5" w:rsidRPr="000478A1" w:rsidRDefault="002F45E5" w:rsidP="002F45E5">
      <w:pPr>
        <w:autoSpaceDE w:val="0"/>
        <w:autoSpaceDN w:val="0"/>
        <w:adjustRightInd w:val="0"/>
        <w:spacing w:after="0" w:line="360" w:lineRule="auto"/>
        <w:ind w:left="60"/>
        <w:jc w:val="both"/>
        <w:rPr>
          <w:rFonts w:asciiTheme="majorBidi" w:hAnsiTheme="majorBidi" w:cstheme="majorBidi"/>
          <w:b/>
          <w:bCs/>
          <w:sz w:val="28"/>
          <w:szCs w:val="28"/>
        </w:rPr>
      </w:pPr>
    </w:p>
    <w:p w:rsidR="002F45E5" w:rsidRDefault="002F45E5" w:rsidP="002F45E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F54DEA">
        <w:rPr>
          <w:rFonts w:ascii="Times New Roman" w:eastAsia="Times New Roman" w:hAnsi="Times New Roman" w:cs="Times New Roman"/>
          <w:sz w:val="24"/>
          <w:szCs w:val="24"/>
        </w:rPr>
        <w:t>Les</w:t>
      </w:r>
      <w:r>
        <w:rPr>
          <w:rFonts w:ascii="Times New Roman" w:eastAsia="Times New Roman" w:hAnsi="Times New Roman" w:cs="Times New Roman"/>
          <w:sz w:val="24"/>
          <w:szCs w:val="24"/>
        </w:rPr>
        <w:t xml:space="preserve"> </w:t>
      </w:r>
      <w:r w:rsidRPr="00F54DEA">
        <w:rPr>
          <w:rFonts w:ascii="Times New Roman" w:eastAsia="Times New Roman" w:hAnsi="Times New Roman" w:cs="Times New Roman"/>
          <w:sz w:val="24"/>
          <w:szCs w:val="24"/>
        </w:rPr>
        <w:t>transplantations</w:t>
      </w:r>
      <w:r>
        <w:rPr>
          <w:rFonts w:ascii="Times New Roman" w:eastAsia="Times New Roman" w:hAnsi="Times New Roman" w:cs="Times New Roman"/>
          <w:sz w:val="24"/>
          <w:szCs w:val="24"/>
        </w:rPr>
        <w:t xml:space="preserve"> </w:t>
      </w:r>
      <w:r w:rsidRPr="00F54DEA">
        <w:rPr>
          <w:rFonts w:ascii="Times New Roman" w:eastAsia="Times New Roman" w:hAnsi="Times New Roman" w:cs="Times New Roman"/>
          <w:sz w:val="24"/>
          <w:szCs w:val="24"/>
        </w:rPr>
        <w:t>les plus fréquentes (plus souvent fait) sont les transplantations du rein. On pratique également des transplantations du foie, du cœur, du poumon, du pancréas et plus rarement en général de l'intestin. On sai</w:t>
      </w:r>
      <w:r>
        <w:rPr>
          <w:rFonts w:ascii="Times New Roman" w:eastAsia="Times New Roman" w:hAnsi="Times New Roman" w:cs="Times New Roman"/>
          <w:sz w:val="24"/>
          <w:szCs w:val="24"/>
        </w:rPr>
        <w:t>t également greffer des tissus  de</w:t>
      </w:r>
      <w:r w:rsidRPr="00F54DEA">
        <w:rPr>
          <w:rFonts w:ascii="Times New Roman" w:eastAsia="Times New Roman" w:hAnsi="Times New Roman" w:cs="Times New Roman"/>
          <w:sz w:val="24"/>
          <w:szCs w:val="24"/>
        </w:rPr>
        <w:t xml:space="preserve"> cornée, os, valves ca</w:t>
      </w:r>
      <w:r>
        <w:rPr>
          <w:rFonts w:ascii="Times New Roman" w:eastAsia="Times New Roman" w:hAnsi="Times New Roman" w:cs="Times New Roman"/>
          <w:sz w:val="24"/>
          <w:szCs w:val="24"/>
        </w:rPr>
        <w:t xml:space="preserve">rdiaques ou vaisseaux sanguins et </w:t>
      </w:r>
      <w:r w:rsidRPr="00F54DEA">
        <w:rPr>
          <w:rFonts w:ascii="Times New Roman" w:eastAsia="Times New Roman" w:hAnsi="Times New Roman" w:cs="Times New Roman"/>
          <w:sz w:val="24"/>
          <w:szCs w:val="24"/>
        </w:rPr>
        <w:t>de la moelle osseuse. Il existe également des techniques expérimentales de transpl</w:t>
      </w:r>
      <w:r>
        <w:rPr>
          <w:rFonts w:ascii="Times New Roman" w:eastAsia="Times New Roman" w:hAnsi="Times New Roman" w:cs="Times New Roman"/>
          <w:sz w:val="24"/>
          <w:szCs w:val="24"/>
        </w:rPr>
        <w:t>antations de tissus composites.</w:t>
      </w:r>
      <w:r w:rsidRPr="00F54DEA">
        <w:rPr>
          <w:rFonts w:ascii="Times New Roman" w:eastAsia="Times New Roman" w:hAnsi="Times New Roman" w:cs="Times New Roman"/>
          <w:sz w:val="24"/>
          <w:szCs w:val="24"/>
        </w:rPr>
        <w:br/>
      </w:r>
      <w:r>
        <w:rPr>
          <w:rFonts w:ascii="Times New Roman" w:eastAsia="Times New Roman" w:hAnsi="Times New Roman" w:cs="Times New Roman"/>
          <w:b/>
          <w:bCs/>
          <w:sz w:val="24"/>
          <w:szCs w:val="24"/>
        </w:rPr>
        <w:t xml:space="preserve">     </w:t>
      </w:r>
      <w:r w:rsidRPr="00F54DEA">
        <w:rPr>
          <w:rFonts w:ascii="Times New Roman" w:eastAsia="Times New Roman" w:hAnsi="Times New Roman" w:cs="Times New Roman"/>
          <w:sz w:val="24"/>
          <w:szCs w:val="24"/>
        </w:rPr>
        <w:t>Certaines transplantations permettent de sauver des vies, d'autres d'éviter de lourds traitements (la transplantation du rein permet par exemple d'éviter la dialyse).</w:t>
      </w:r>
    </w:p>
    <w:p w:rsidR="002F45E5" w:rsidRDefault="002F45E5" w:rsidP="002F45E5">
      <w:pPr>
        <w:spacing w:after="0" w:line="360" w:lineRule="auto"/>
        <w:jc w:val="both"/>
        <w:rPr>
          <w:rFonts w:ascii="Times New Roman" w:eastAsia="Times New Roman" w:hAnsi="Times New Roman" w:cs="Times New Roman"/>
          <w:sz w:val="24"/>
          <w:szCs w:val="24"/>
        </w:rPr>
      </w:pPr>
      <w:r w:rsidRPr="0049495A">
        <w:rPr>
          <w:rFonts w:ascii="Times New Roman" w:eastAsia="Times New Roman" w:hAnsi="Times New Roman" w:cs="Times New Roman"/>
          <w:sz w:val="24"/>
          <w:szCs w:val="24"/>
        </w:rPr>
        <w:t xml:space="preserve">Il doit exister une certaine compatibilité </w:t>
      </w:r>
      <w:r w:rsidRPr="0049495A">
        <w:rPr>
          <w:rFonts w:ascii="Times New Roman" w:eastAsia="Times New Roman" w:hAnsi="Times New Roman" w:cs="Times New Roman"/>
          <w:i/>
          <w:iCs/>
          <w:sz w:val="24"/>
          <w:szCs w:val="24"/>
        </w:rPr>
        <w:t>immunologique</w:t>
      </w:r>
      <w:r w:rsidRPr="0049495A">
        <w:rPr>
          <w:rFonts w:ascii="Times New Roman" w:eastAsia="Times New Roman" w:hAnsi="Times New Roman" w:cs="Times New Roman"/>
          <w:sz w:val="24"/>
          <w:szCs w:val="24"/>
        </w:rPr>
        <w:t xml:space="preserve"> entre le receveur et l'</w:t>
      </w:r>
      <w:r w:rsidRPr="0049495A">
        <w:rPr>
          <w:rFonts w:ascii="Times New Roman" w:eastAsia="Times New Roman" w:hAnsi="Times New Roman" w:cs="Times New Roman"/>
          <w:i/>
          <w:iCs/>
          <w:sz w:val="24"/>
          <w:szCs w:val="24"/>
        </w:rPr>
        <w:t>organe transplanté</w:t>
      </w:r>
      <w:r w:rsidRPr="0049495A">
        <w:rPr>
          <w:rFonts w:ascii="Times New Roman" w:eastAsia="Times New Roman" w:hAnsi="Times New Roman" w:cs="Times New Roman"/>
          <w:sz w:val="24"/>
          <w:szCs w:val="24"/>
        </w:rPr>
        <w:t xml:space="preserve"> afin de diminuer le risque de rejet (réaction du système immunitaire du receveur contre l'organe transplanté ou greffé pouvant conduire à la destruction de ce dernier). Au minimum, une compatibilité au niveau du groupe sanguin est requise. La meilleure adéquation possible, quant au groupe </w:t>
      </w:r>
      <w:r w:rsidRPr="0049495A">
        <w:rPr>
          <w:rFonts w:ascii="Times New Roman" w:eastAsia="Times New Roman" w:hAnsi="Times New Roman" w:cs="Times New Roman"/>
          <w:i/>
          <w:iCs/>
          <w:sz w:val="24"/>
          <w:szCs w:val="24"/>
        </w:rPr>
        <w:t>HLA</w:t>
      </w:r>
      <w:r w:rsidRPr="0049495A">
        <w:rPr>
          <w:rFonts w:ascii="Times New Roman" w:eastAsia="Times New Roman" w:hAnsi="Times New Roman" w:cs="Times New Roman"/>
          <w:sz w:val="24"/>
          <w:szCs w:val="24"/>
        </w:rPr>
        <w:t xml:space="preserve">, reste souhaitable, même </w:t>
      </w:r>
      <w:r>
        <w:rPr>
          <w:rFonts w:ascii="Times New Roman" w:eastAsia="Times New Roman" w:hAnsi="Times New Roman" w:cs="Times New Roman"/>
          <w:sz w:val="24"/>
          <w:szCs w:val="24"/>
        </w:rPr>
        <w:t>si elle  est moins impérative…</w:t>
      </w:r>
    </w:p>
    <w:p w:rsidR="002F45E5" w:rsidRPr="002F45E5" w:rsidRDefault="002F45E5" w:rsidP="002F45E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484FF6">
        <w:rPr>
          <w:rFonts w:ascii="Times New Roman" w:eastAsia="Times New Roman" w:hAnsi="Times New Roman" w:cs="Times New Roman"/>
          <w:sz w:val="24"/>
          <w:szCs w:val="24"/>
        </w:rPr>
        <w:t xml:space="preserve">La </w:t>
      </w:r>
      <w:r w:rsidRPr="00484FF6">
        <w:rPr>
          <w:rFonts w:ascii="Times New Roman" w:eastAsia="Times New Roman" w:hAnsi="Times New Roman" w:cs="Times New Roman"/>
          <w:i/>
          <w:iCs/>
          <w:sz w:val="24"/>
          <w:szCs w:val="24"/>
        </w:rPr>
        <w:t>transfusion</w:t>
      </w:r>
      <w:r>
        <w:rPr>
          <w:rFonts w:ascii="Times New Roman" w:eastAsia="Times New Roman" w:hAnsi="Times New Roman" w:cs="Times New Roman"/>
          <w:i/>
          <w:iCs/>
          <w:sz w:val="24"/>
          <w:szCs w:val="24"/>
        </w:rPr>
        <w:t xml:space="preserve"> </w:t>
      </w:r>
      <w:r w:rsidRPr="00484FF6">
        <w:rPr>
          <w:rFonts w:ascii="Times New Roman" w:eastAsia="Times New Roman" w:hAnsi="Times New Roman" w:cs="Times New Roman"/>
          <w:i/>
          <w:iCs/>
          <w:sz w:val="24"/>
          <w:szCs w:val="24"/>
        </w:rPr>
        <w:t xml:space="preserve"> sanguine</w:t>
      </w:r>
      <w:r w:rsidRPr="00484FF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484FF6">
        <w:rPr>
          <w:rFonts w:ascii="Times New Roman" w:eastAsia="Times New Roman" w:hAnsi="Times New Roman" w:cs="Times New Roman"/>
          <w:sz w:val="24"/>
          <w:szCs w:val="24"/>
        </w:rPr>
        <w:t xml:space="preserve">n'est pas considérée comme une greffe car elle n'a pas les mêmes problèmes : le sang du donneur n'exige qu'une compatibilité de groupe sanguin et aucun </w:t>
      </w:r>
      <w:r>
        <w:rPr>
          <w:rFonts w:ascii="Times New Roman" w:eastAsia="Times New Roman" w:hAnsi="Times New Roman" w:cs="Times New Roman"/>
          <w:sz w:val="24"/>
          <w:szCs w:val="24"/>
        </w:rPr>
        <w:t xml:space="preserve"> </w:t>
      </w:r>
      <w:r w:rsidRPr="002F45E5">
        <w:rPr>
          <w:rStyle w:val="a4"/>
          <w:rFonts w:asciiTheme="majorBidi" w:hAnsiTheme="majorBidi" w:cstheme="majorBidi"/>
          <w:b w:val="0"/>
          <w:bCs w:val="0"/>
          <w:color w:val="000000"/>
          <w:sz w:val="24"/>
          <w:szCs w:val="24"/>
        </w:rPr>
        <w:t>traitement immunosuppresseur n'est requis, les éléments sanguins transfusés n'étant là que pour permettre au  patient de passer un cap et étant progressivement remplacés par ceux  de ce dernier.</w:t>
      </w:r>
      <w:r w:rsidRPr="002F45E5">
        <w:rPr>
          <w:rFonts w:asciiTheme="majorBidi" w:hAnsiTheme="majorBidi" w:cstheme="majorBidi"/>
          <w:b/>
          <w:bCs/>
          <w:color w:val="000000"/>
          <w:sz w:val="24"/>
          <w:szCs w:val="24"/>
        </w:rPr>
        <w:br/>
      </w:r>
      <w:r w:rsidRPr="002F45E5">
        <w:rPr>
          <w:rStyle w:val="a4"/>
          <w:rFonts w:asciiTheme="majorBidi" w:hAnsiTheme="majorBidi" w:cstheme="majorBidi"/>
          <w:b w:val="0"/>
          <w:bCs w:val="0"/>
          <w:color w:val="000000"/>
          <w:sz w:val="24"/>
          <w:szCs w:val="24"/>
        </w:rPr>
        <w:t xml:space="preserve">      Une fois greffé, l'organisme du receveur considère le nouvel organe comme un objet étranger. Le malade doit alors suivre un traitement i</w:t>
      </w:r>
      <w:r w:rsidRPr="002F45E5">
        <w:rPr>
          <w:rStyle w:val="a5"/>
          <w:rFonts w:asciiTheme="majorBidi" w:hAnsiTheme="majorBidi" w:cstheme="majorBidi"/>
          <w:color w:val="000000"/>
          <w:sz w:val="24"/>
          <w:szCs w:val="24"/>
        </w:rPr>
        <w:t>mmunosuppresseur</w:t>
      </w:r>
      <w:r w:rsidRPr="002F45E5">
        <w:rPr>
          <w:rStyle w:val="a4"/>
          <w:rFonts w:asciiTheme="majorBidi" w:hAnsiTheme="majorBidi" w:cstheme="majorBidi"/>
          <w:color w:val="000000"/>
          <w:sz w:val="24"/>
          <w:szCs w:val="24"/>
        </w:rPr>
        <w:t xml:space="preserve"> </w:t>
      </w:r>
      <w:r w:rsidRPr="002F45E5">
        <w:rPr>
          <w:rStyle w:val="a4"/>
          <w:rFonts w:asciiTheme="majorBidi" w:hAnsiTheme="majorBidi" w:cstheme="majorBidi"/>
          <w:b w:val="0"/>
          <w:bCs w:val="0"/>
          <w:color w:val="000000"/>
          <w:sz w:val="24"/>
          <w:szCs w:val="24"/>
        </w:rPr>
        <w:t>à vie</w:t>
      </w:r>
      <w:r>
        <w:rPr>
          <w:rStyle w:val="a4"/>
          <w:rFonts w:asciiTheme="majorBidi" w:hAnsiTheme="majorBidi" w:cstheme="majorBidi"/>
          <w:color w:val="000000"/>
          <w:sz w:val="24"/>
          <w:szCs w:val="24"/>
        </w:rPr>
        <w:t xml:space="preserve"> </w:t>
      </w:r>
      <w:r w:rsidRPr="002F45E5">
        <w:rPr>
          <w:rStyle w:val="a4"/>
          <w:rFonts w:asciiTheme="majorBidi" w:hAnsiTheme="majorBidi" w:cstheme="majorBidi"/>
          <w:b w:val="0"/>
          <w:bCs w:val="0"/>
          <w:color w:val="000000"/>
          <w:sz w:val="24"/>
          <w:szCs w:val="24"/>
        </w:rPr>
        <w:lastRenderedPageBreak/>
        <w:t xml:space="preserve">pour  éviter le rejet du </w:t>
      </w:r>
      <w:r w:rsidRPr="002F45E5">
        <w:rPr>
          <w:rStyle w:val="a5"/>
          <w:rFonts w:asciiTheme="majorBidi" w:hAnsiTheme="majorBidi" w:cstheme="majorBidi"/>
          <w:color w:val="000000"/>
          <w:sz w:val="24"/>
          <w:szCs w:val="24"/>
        </w:rPr>
        <w:t>greffon</w:t>
      </w:r>
      <w:r w:rsidRPr="002F45E5">
        <w:rPr>
          <w:rStyle w:val="a4"/>
          <w:rFonts w:asciiTheme="majorBidi" w:hAnsiTheme="majorBidi" w:cstheme="majorBidi"/>
          <w:b w:val="0"/>
          <w:bCs w:val="0"/>
          <w:color w:val="000000"/>
          <w:sz w:val="24"/>
          <w:szCs w:val="24"/>
        </w:rPr>
        <w:t xml:space="preserve"> (sauf pour les</w:t>
      </w:r>
      <w:r w:rsidRPr="002F45E5">
        <w:rPr>
          <w:rStyle w:val="a4"/>
          <w:rFonts w:asciiTheme="majorBidi" w:hAnsiTheme="majorBidi" w:cstheme="majorBidi" w:hint="cs"/>
          <w:b w:val="0"/>
          <w:bCs w:val="0"/>
          <w:color w:val="000000"/>
          <w:sz w:val="24"/>
          <w:szCs w:val="24"/>
          <w:rtl/>
        </w:rPr>
        <w:t xml:space="preserve"> </w:t>
      </w:r>
      <w:r w:rsidRPr="002F45E5">
        <w:rPr>
          <w:rStyle w:val="a5"/>
          <w:rFonts w:asciiTheme="majorBidi" w:hAnsiTheme="majorBidi" w:cstheme="majorBidi"/>
          <w:color w:val="000000"/>
          <w:sz w:val="24"/>
          <w:szCs w:val="24"/>
        </w:rPr>
        <w:t>valves cardiaques</w:t>
      </w:r>
      <w:r w:rsidRPr="002F45E5">
        <w:rPr>
          <w:rStyle w:val="a4"/>
          <w:rFonts w:asciiTheme="majorBidi" w:hAnsiTheme="majorBidi" w:cstheme="majorBidi"/>
          <w:b w:val="0"/>
          <w:bCs w:val="0"/>
          <w:color w:val="000000"/>
          <w:sz w:val="24"/>
          <w:szCs w:val="24"/>
        </w:rPr>
        <w:t xml:space="preserve">, qui sont traitées avant la transplantation pour ne pas susciter de rejet, et la </w:t>
      </w:r>
      <w:r w:rsidRPr="002F45E5">
        <w:rPr>
          <w:rStyle w:val="a5"/>
          <w:rFonts w:asciiTheme="majorBidi" w:hAnsiTheme="majorBidi" w:cstheme="majorBidi"/>
          <w:color w:val="000000"/>
          <w:sz w:val="24"/>
          <w:szCs w:val="24"/>
        </w:rPr>
        <w:t>cornée</w:t>
      </w:r>
      <w:r w:rsidRPr="002F45E5">
        <w:rPr>
          <w:rStyle w:val="a4"/>
          <w:rFonts w:asciiTheme="majorBidi" w:hAnsiTheme="majorBidi" w:cstheme="majorBidi"/>
          <w:b w:val="0"/>
          <w:bCs w:val="0"/>
          <w:color w:val="000000"/>
          <w:sz w:val="24"/>
          <w:szCs w:val="24"/>
        </w:rPr>
        <w:t>) (14).</w:t>
      </w:r>
    </w:p>
    <w:p w:rsidR="00FB6947" w:rsidRPr="002F45E5" w:rsidRDefault="00FB6947"/>
    <w:sectPr w:rsidR="00FB6947" w:rsidRPr="002F45E5" w:rsidSect="00FB6947">
      <w:headerReference w:type="default" r:id="rId7"/>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2D0D" w:rsidRDefault="00E02D0D" w:rsidP="002F45E5">
      <w:pPr>
        <w:spacing w:after="0" w:line="240" w:lineRule="auto"/>
      </w:pPr>
      <w:r>
        <w:separator/>
      </w:r>
    </w:p>
  </w:endnote>
  <w:endnote w:type="continuationSeparator" w:id="1">
    <w:p w:rsidR="00E02D0D" w:rsidRDefault="00E02D0D" w:rsidP="002F45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gency FB">
    <w:panose1 w:val="020B05030202020202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2D0D" w:rsidRDefault="00E02D0D" w:rsidP="002F45E5">
      <w:pPr>
        <w:spacing w:after="0" w:line="240" w:lineRule="auto"/>
      </w:pPr>
      <w:r>
        <w:separator/>
      </w:r>
    </w:p>
  </w:footnote>
  <w:footnote w:type="continuationSeparator" w:id="1">
    <w:p w:rsidR="00E02D0D" w:rsidRDefault="00E02D0D" w:rsidP="002F45E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5E5" w:rsidRPr="0098586D" w:rsidRDefault="002F45E5" w:rsidP="002F45E5">
    <w:pPr>
      <w:rPr>
        <w:rFonts w:asciiTheme="majorBidi" w:hAnsiTheme="majorBidi" w:cstheme="majorBidi"/>
        <w:b/>
        <w:i/>
        <w:iCs/>
        <w:sz w:val="24"/>
        <w:szCs w:val="24"/>
      </w:rPr>
    </w:pPr>
    <w:r w:rsidRPr="002F45E5">
      <w:rPr>
        <w:rFonts w:asciiTheme="majorBidi" w:hAnsiTheme="majorBidi" w:cstheme="majorBidi"/>
        <w:b/>
        <w:sz w:val="24"/>
        <w:szCs w:val="24"/>
      </w:rPr>
      <w:t>Chapitre I</w:t>
    </w:r>
    <w:r>
      <w:rPr>
        <w:rFonts w:asciiTheme="majorBidi" w:hAnsiTheme="majorBidi" w:cstheme="majorBidi"/>
        <w:b/>
        <w:i/>
        <w:iCs/>
        <w:sz w:val="24"/>
        <w:szCs w:val="24"/>
      </w:rPr>
      <w:t xml:space="preserve"> </w:t>
    </w:r>
    <w:r w:rsidRPr="0098586D">
      <w:rPr>
        <w:rFonts w:asciiTheme="majorBidi" w:hAnsiTheme="majorBidi" w:cstheme="majorBidi"/>
        <w:b/>
        <w:i/>
        <w:iCs/>
        <w:sz w:val="24"/>
        <w:szCs w:val="24"/>
      </w:rPr>
      <w:t>:</w:t>
    </w:r>
    <w:r>
      <w:rPr>
        <w:rFonts w:asciiTheme="majorBidi" w:hAnsiTheme="majorBidi" w:cstheme="majorBidi"/>
        <w:b/>
        <w:i/>
        <w:iCs/>
        <w:sz w:val="24"/>
        <w:szCs w:val="24"/>
      </w:rPr>
      <w:t xml:space="preserve"> </w:t>
    </w:r>
    <w:r w:rsidRPr="0098586D">
      <w:rPr>
        <w:rFonts w:asciiTheme="majorBidi" w:hAnsiTheme="majorBidi" w:cstheme="majorBidi"/>
        <w:b/>
        <w:sz w:val="24"/>
        <w:szCs w:val="24"/>
      </w:rPr>
      <w:t>Généralités sur les cellules souches mésenchymateuses</w:t>
    </w:r>
  </w:p>
  <w:p w:rsidR="002F45E5" w:rsidRDefault="002F45E5">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051561"/>
    <w:multiLevelType w:val="hybridMultilevel"/>
    <w:tmpl w:val="6BE25398"/>
    <w:lvl w:ilvl="0" w:tplc="2AFC8720">
      <w:start w:val="1"/>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75249C4"/>
    <w:multiLevelType w:val="multilevel"/>
    <w:tmpl w:val="4FCC9692"/>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34B96ADE"/>
    <w:multiLevelType w:val="multilevel"/>
    <w:tmpl w:val="D9A67250"/>
    <w:lvl w:ilvl="0">
      <w:start w:val="1"/>
      <w:numFmt w:val="bullet"/>
      <w:lvlText w:val=""/>
      <w:lvlJc w:val="left"/>
      <w:pPr>
        <w:ind w:left="360" w:hanging="360"/>
      </w:pPr>
      <w:rPr>
        <w:rFonts w:ascii="Wingdings" w:hAnsi="Wingding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nsid w:val="603A49E1"/>
    <w:multiLevelType w:val="hybridMultilevel"/>
    <w:tmpl w:val="79AE7A1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68F07D27"/>
    <w:multiLevelType w:val="multilevel"/>
    <w:tmpl w:val="38D0D4A0"/>
    <w:lvl w:ilvl="0">
      <w:start w:val="1"/>
      <w:numFmt w:val="decimal"/>
      <w:lvlText w:val="%1."/>
      <w:lvlJc w:val="left"/>
      <w:pPr>
        <w:ind w:left="360" w:hanging="360"/>
      </w:pPr>
      <w:rPr>
        <w:b/>
        <w:sz w:val="28"/>
        <w:szCs w:val="28"/>
      </w:rPr>
    </w:lvl>
    <w:lvl w:ilvl="1">
      <w:start w:val="1"/>
      <w:numFmt w:val="decimal"/>
      <w:lvlText w:val="%1.%2."/>
      <w:lvlJc w:val="left"/>
      <w:pPr>
        <w:ind w:left="716" w:hanging="432"/>
      </w:pPr>
      <w:rPr>
        <w:b/>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C8544CD"/>
    <w:multiLevelType w:val="hybridMultilevel"/>
    <w:tmpl w:val="AE964B9C"/>
    <w:lvl w:ilvl="0" w:tplc="89C2432E">
      <w:start w:val="1"/>
      <w:numFmt w:val="lowerLetter"/>
      <w:lvlText w:val="%1-"/>
      <w:lvlJc w:val="left"/>
      <w:pPr>
        <w:ind w:left="420" w:hanging="360"/>
      </w:pPr>
      <w:rPr>
        <w:rFonts w:hint="default"/>
      </w:rPr>
    </w:lvl>
    <w:lvl w:ilvl="1" w:tplc="040C0019" w:tentative="1">
      <w:start w:val="1"/>
      <w:numFmt w:val="lowerLetter"/>
      <w:lvlText w:val="%2."/>
      <w:lvlJc w:val="left"/>
      <w:pPr>
        <w:ind w:left="1140" w:hanging="360"/>
      </w:pPr>
    </w:lvl>
    <w:lvl w:ilvl="2" w:tplc="040C001B" w:tentative="1">
      <w:start w:val="1"/>
      <w:numFmt w:val="lowerRoman"/>
      <w:lvlText w:val="%3."/>
      <w:lvlJc w:val="right"/>
      <w:pPr>
        <w:ind w:left="1860" w:hanging="180"/>
      </w:pPr>
    </w:lvl>
    <w:lvl w:ilvl="3" w:tplc="040C000F" w:tentative="1">
      <w:start w:val="1"/>
      <w:numFmt w:val="decimal"/>
      <w:lvlText w:val="%4."/>
      <w:lvlJc w:val="left"/>
      <w:pPr>
        <w:ind w:left="2580" w:hanging="360"/>
      </w:pPr>
    </w:lvl>
    <w:lvl w:ilvl="4" w:tplc="040C0019" w:tentative="1">
      <w:start w:val="1"/>
      <w:numFmt w:val="lowerLetter"/>
      <w:lvlText w:val="%5."/>
      <w:lvlJc w:val="left"/>
      <w:pPr>
        <w:ind w:left="3300" w:hanging="360"/>
      </w:pPr>
    </w:lvl>
    <w:lvl w:ilvl="5" w:tplc="040C001B" w:tentative="1">
      <w:start w:val="1"/>
      <w:numFmt w:val="lowerRoman"/>
      <w:lvlText w:val="%6."/>
      <w:lvlJc w:val="right"/>
      <w:pPr>
        <w:ind w:left="4020" w:hanging="180"/>
      </w:pPr>
    </w:lvl>
    <w:lvl w:ilvl="6" w:tplc="040C000F" w:tentative="1">
      <w:start w:val="1"/>
      <w:numFmt w:val="decimal"/>
      <w:lvlText w:val="%7."/>
      <w:lvlJc w:val="left"/>
      <w:pPr>
        <w:ind w:left="4740" w:hanging="360"/>
      </w:pPr>
    </w:lvl>
    <w:lvl w:ilvl="7" w:tplc="040C0019" w:tentative="1">
      <w:start w:val="1"/>
      <w:numFmt w:val="lowerLetter"/>
      <w:lvlText w:val="%8."/>
      <w:lvlJc w:val="left"/>
      <w:pPr>
        <w:ind w:left="5460" w:hanging="360"/>
      </w:pPr>
    </w:lvl>
    <w:lvl w:ilvl="8" w:tplc="040C001B" w:tentative="1">
      <w:start w:val="1"/>
      <w:numFmt w:val="lowerRoman"/>
      <w:lvlText w:val="%9."/>
      <w:lvlJc w:val="right"/>
      <w:pPr>
        <w:ind w:left="6180" w:hanging="180"/>
      </w:pPr>
    </w:lvl>
  </w:abstractNum>
  <w:num w:numId="1">
    <w:abstractNumId w:val="1"/>
  </w:num>
  <w:num w:numId="2">
    <w:abstractNumId w:val="4"/>
  </w:num>
  <w:num w:numId="3">
    <w:abstractNumId w:val="3"/>
  </w:num>
  <w:num w:numId="4">
    <w:abstractNumId w:val="0"/>
  </w:num>
  <w:num w:numId="5">
    <w:abstractNumId w:val="2"/>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FELayout/>
  </w:compat>
  <w:rsids>
    <w:rsidRoot w:val="002F45E5"/>
    <w:rsid w:val="002F45E5"/>
    <w:rsid w:val="00971459"/>
    <w:rsid w:val="00E02D0D"/>
    <w:rsid w:val="00FB694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694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F45E5"/>
    <w:pPr>
      <w:ind w:left="720"/>
      <w:contextualSpacing/>
    </w:pPr>
  </w:style>
  <w:style w:type="character" w:styleId="a4">
    <w:name w:val="Strong"/>
    <w:basedOn w:val="a0"/>
    <w:uiPriority w:val="22"/>
    <w:qFormat/>
    <w:rsid w:val="002F45E5"/>
    <w:rPr>
      <w:b/>
      <w:bCs/>
    </w:rPr>
  </w:style>
  <w:style w:type="character" w:styleId="a5">
    <w:name w:val="Emphasis"/>
    <w:basedOn w:val="a0"/>
    <w:uiPriority w:val="20"/>
    <w:qFormat/>
    <w:rsid w:val="002F45E5"/>
    <w:rPr>
      <w:i/>
      <w:iCs/>
    </w:rPr>
  </w:style>
  <w:style w:type="paragraph" w:styleId="a6">
    <w:name w:val="header"/>
    <w:basedOn w:val="a"/>
    <w:link w:val="Char"/>
    <w:uiPriority w:val="99"/>
    <w:semiHidden/>
    <w:unhideWhenUsed/>
    <w:rsid w:val="002F45E5"/>
    <w:pPr>
      <w:tabs>
        <w:tab w:val="center" w:pos="4153"/>
        <w:tab w:val="right" w:pos="8306"/>
      </w:tabs>
      <w:spacing w:after="0" w:line="240" w:lineRule="auto"/>
    </w:pPr>
  </w:style>
  <w:style w:type="character" w:customStyle="1" w:styleId="Char">
    <w:name w:val="رأس صفحة Char"/>
    <w:basedOn w:val="a0"/>
    <w:link w:val="a6"/>
    <w:uiPriority w:val="99"/>
    <w:semiHidden/>
    <w:rsid w:val="002F45E5"/>
  </w:style>
  <w:style w:type="paragraph" w:styleId="a7">
    <w:name w:val="footer"/>
    <w:basedOn w:val="a"/>
    <w:link w:val="Char0"/>
    <w:uiPriority w:val="99"/>
    <w:semiHidden/>
    <w:unhideWhenUsed/>
    <w:rsid w:val="002F45E5"/>
    <w:pPr>
      <w:tabs>
        <w:tab w:val="center" w:pos="4153"/>
        <w:tab w:val="right" w:pos="8306"/>
      </w:tabs>
      <w:spacing w:after="0" w:line="240" w:lineRule="auto"/>
    </w:pPr>
  </w:style>
  <w:style w:type="character" w:customStyle="1" w:styleId="Char0">
    <w:name w:val="تذييل صفحة Char"/>
    <w:basedOn w:val="a0"/>
    <w:link w:val="a7"/>
    <w:uiPriority w:val="99"/>
    <w:semiHidden/>
    <w:rsid w:val="002F45E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8</Pages>
  <Words>2275</Words>
  <Characters>12970</Characters>
  <Application>Microsoft Office Word</Application>
  <DocSecurity>0</DocSecurity>
  <Lines>108</Lines>
  <Paragraphs>30</Paragraphs>
  <ScaleCrop>false</ScaleCrop>
  <Company>cyber</Company>
  <LinksUpToDate>false</LinksUpToDate>
  <CharactersWithSpaces>15215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cyber</dc:creator>
  <cp:keywords/>
  <dc:description/>
  <cp:lastModifiedBy>poste</cp:lastModifiedBy>
  <cp:revision>3</cp:revision>
  <dcterms:created xsi:type="dcterms:W3CDTF">2011-06-28T14:01:00Z</dcterms:created>
  <dcterms:modified xsi:type="dcterms:W3CDTF">2011-06-28T15:56:00Z</dcterms:modified>
</cp:coreProperties>
</file>